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DEEAF6"/>
  <w:body>
    <w:p w14:paraId="3605C8B2" w14:textId="77777777" w:rsidR="00700BA5" w:rsidRPr="00700BA5" w:rsidRDefault="00700BA5" w:rsidP="00700BA5">
      <w:pPr>
        <w:spacing w:after="120" w:line="276" w:lineRule="auto"/>
        <w:contextualSpacing w:val="0"/>
        <w:jc w:val="center"/>
        <w:rPr>
          <w:rFonts w:ascii="Arial" w:eastAsiaTheme="minorHAnsi" w:hAnsi="Arial" w:cs="Arial"/>
          <w:b/>
          <w:noProof w:val="0"/>
          <w:color w:val="000000"/>
          <w:sz w:val="22"/>
          <w:szCs w:val="22"/>
          <w:lang w:val="en-US"/>
        </w:rPr>
      </w:pPr>
      <w:bookmarkStart w:id="0" w:name="str_1"/>
      <w:bookmarkEnd w:id="0"/>
      <w:r w:rsidRPr="00700BA5">
        <w:rPr>
          <w:rFonts w:ascii="Arial" w:eastAsiaTheme="minorHAnsi" w:hAnsi="Arial" w:cs="Arial"/>
          <w:b/>
          <w:noProof w:val="0"/>
          <w:color w:val="000000"/>
          <w:sz w:val="22"/>
          <w:szCs w:val="22"/>
          <w:lang w:val="en-US"/>
        </w:rPr>
        <w:t>ПРАВИЛНИК</w:t>
      </w:r>
    </w:p>
    <w:p w14:paraId="16F113D5" w14:textId="77777777" w:rsidR="00700BA5" w:rsidRPr="00700BA5" w:rsidRDefault="00700BA5" w:rsidP="00700BA5">
      <w:pPr>
        <w:spacing w:after="120" w:line="276" w:lineRule="auto"/>
        <w:contextualSpacing w:val="0"/>
        <w:jc w:val="center"/>
        <w:rPr>
          <w:rFonts w:ascii="Arial" w:eastAsiaTheme="minorHAnsi" w:hAnsi="Arial" w:cs="Arial"/>
          <w:b/>
          <w:noProof w:val="0"/>
          <w:color w:val="000000"/>
          <w:sz w:val="22"/>
          <w:szCs w:val="22"/>
          <w:lang w:val="en-US"/>
        </w:rPr>
      </w:pPr>
      <w:r w:rsidRPr="00700BA5">
        <w:rPr>
          <w:rFonts w:ascii="Arial" w:eastAsiaTheme="minorHAnsi" w:hAnsi="Arial" w:cs="Arial"/>
          <w:b/>
          <w:noProof w:val="0"/>
          <w:color w:val="000000"/>
          <w:sz w:val="22"/>
          <w:szCs w:val="22"/>
          <w:lang w:val="en-US"/>
        </w:rPr>
        <w:t>О МОНИТОРИНГУ И ИЗВЕШТАВАЊУ О ЕМИСИЈАМА ГАСОВА СА ЕФЕКТОМ СТАКЛEНЕ БАШТЕ</w:t>
      </w:r>
    </w:p>
    <w:p w14:paraId="7C2CFE37" w14:textId="39928A93" w:rsidR="00717B5A" w:rsidRDefault="00700BA5" w:rsidP="00700BA5">
      <w:pPr>
        <w:spacing w:after="120" w:line="276" w:lineRule="auto"/>
        <w:contextualSpacing w:val="0"/>
        <w:jc w:val="center"/>
        <w:rPr>
          <w:rFonts w:ascii="Arial" w:eastAsiaTheme="minorHAnsi" w:hAnsi="Arial" w:cs="Arial"/>
          <w:b/>
          <w:noProof w:val="0"/>
          <w:color w:val="000000"/>
          <w:sz w:val="22"/>
          <w:szCs w:val="22"/>
          <w:lang w:val="en-US"/>
        </w:rPr>
      </w:pPr>
      <w:r w:rsidRPr="00700BA5">
        <w:rPr>
          <w:rFonts w:ascii="Arial" w:eastAsiaTheme="minorHAnsi" w:hAnsi="Arial" w:cs="Arial"/>
          <w:b/>
          <w:noProof w:val="0"/>
          <w:color w:val="000000"/>
          <w:sz w:val="22"/>
          <w:szCs w:val="22"/>
          <w:lang w:val="en-US"/>
        </w:rPr>
        <w:t>("Сл. гласник РС", бр. 118/2023)</w:t>
      </w:r>
    </w:p>
    <w:p w14:paraId="65218A2D" w14:textId="77777777" w:rsidR="00C56CC9" w:rsidRPr="00C56CC9" w:rsidRDefault="00C56CC9" w:rsidP="00C56CC9">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1.</w:t>
      </w:r>
    </w:p>
    <w:p w14:paraId="52BEC679" w14:textId="77777777" w:rsidR="00C56CC9" w:rsidRPr="00C56CC9" w:rsidRDefault="00C56CC9" w:rsidP="00C56CC9">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МИНИМАЛНИ САДРЖАЈ ПЛАНА МОНИТОРИНГА</w:t>
      </w:r>
    </w:p>
    <w:p w14:paraId="7BD0FFE6" w14:textId="77777777" w:rsidR="00C56CC9" w:rsidRPr="00C56CC9" w:rsidRDefault="00C56CC9" w:rsidP="00C56CC9">
      <w:pPr>
        <w:spacing w:before="330" w:after="120"/>
        <w:ind w:firstLine="480"/>
        <w:contextualSpacing w:val="0"/>
        <w:jc w:val="center"/>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А. МИНИМАЛНИ САДРЖАЈ ПЛАНА МОНИТОРИНГА ЗА ПОСТРОЈЕЊЕ</w:t>
      </w:r>
    </w:p>
    <w:p w14:paraId="1BF602A2"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План мониторинга за постројење садржи:</w:t>
      </w:r>
    </w:p>
    <w:p w14:paraId="47CFBFDE"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I. Опште информације о постројењу:</w:t>
      </w:r>
    </w:p>
    <w:p w14:paraId="08007846"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опис постројења и активности које се обављају у постројењу где се врши мониторинг, укључујући попис извора емисија GHG и токова извора где ће се вршити мониторинг за сваку активност која се одвија унутар постројења, који испуњава следеће захтеве:</w:t>
      </w:r>
    </w:p>
    <w:p w14:paraId="1512D9FE"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а) опис мора бити довољан да покаже да се не појављују недостаци података, нити двоструко рачунање емисија GHG;</w:t>
      </w:r>
    </w:p>
    <w:p w14:paraId="0F41A078"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б) једноставан дијаграм извора емисија GHG, токова извора, места узорковања и мерне опреме морају се додати ако то захтева надлежни орган или ако се тиме поједностављује описивање постројења или навођење извора емисија, токова извора, мерних инструмената и свих других делова постројења релевантних за методологију мониторинга, укључујући активности тока података и контролне активности;</w:t>
      </w:r>
    </w:p>
    <w:p w14:paraId="63B5E21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опис поступка управљања доделом одговорности за спровођење мониторинга и извештавање у постројењу и за управљање способностима задужених лица;</w:t>
      </w:r>
    </w:p>
    <w:p w14:paraId="53AFD65C"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опис поступка за редовно оцењивање примерености плана мониторинга, који обухвата најмање:</w:t>
      </w:r>
    </w:p>
    <w:p w14:paraId="1BBF7C3D"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а) проверу пописа извора емисија гасова и токова извора водећи рачуна да су обухваћени сви извори емисија гасова и токови извора и да су све релевантне измене у природи и функционисању постројења укључене у план мониторинга;</w:t>
      </w:r>
    </w:p>
    <w:p w14:paraId="1C0DEA75"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б) процену усклађености са праговима несигурности за податке о активностима и друге параметре, ако је применљиво, за примењене нивое за сваки извор емисија гасова и ток извора;</w:t>
      </w:r>
    </w:p>
    <w:p w14:paraId="5CE84A1E"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ц) процену могућих мера за побољшање примењене методологије мониторинга;</w:t>
      </w:r>
    </w:p>
    <w:p w14:paraId="567042E7"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опис писаних поступака за активности протока података у складу са чланом 48. овог правилника, укључујући према потреби дијаграм ради веће јасноће;</w:t>
      </w:r>
    </w:p>
    <w:p w14:paraId="2BC3883D"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5. опис писаних поступака за контролне активности у складу са чланом 49. овог правилника;</w:t>
      </w:r>
    </w:p>
    <w:p w14:paraId="074E4A5B"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6. ако је примењиво, информације о одговарајућим везама са активностима које се изводе у оквиру система управљања и контроле заштите животне средине Заједнице (ЕMAS), система обухваћених стандардом SRPS ISO 14001 и осталих система управљања животном средином, укључујући информације о поступцима и контролама које се односе на мониторинг и извештавање о емисијама GHG;</w:t>
      </w:r>
    </w:p>
    <w:p w14:paraId="61872F64"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7. број верзије плана мониторинга и датум од којег та верзија плана мониторинга важи;</w:t>
      </w:r>
    </w:p>
    <w:p w14:paraId="1A32013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8. категорија постројења.</w:t>
      </w:r>
    </w:p>
    <w:p w14:paraId="0B659EC8"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II. Детаљан опис методологије на основу прорачуна, ако се примењује, a који садржи:</w:t>
      </w:r>
    </w:p>
    <w:p w14:paraId="5489258A"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детаљан опис примењене методологије на основу прорачуна, укључујући попис свих улазних података и коришћених формула за прорачун, попис примењених нивоа за податке о активностима и све релевантне факторе прорачуна за сваки ток извора над којима ће се вршити мониторинг;</w:t>
      </w:r>
    </w:p>
    <w:p w14:paraId="2C71F288"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категоризацију токова извора на главне, мање и </w:t>
      </w:r>
      <w:r w:rsidRPr="00B34F09">
        <w:rPr>
          <w:rFonts w:ascii="Arial" w:eastAsia="Times New Roman" w:hAnsi="Arial" w:cs="Arial"/>
          <w:i/>
          <w:iCs/>
          <w:noProof w:val="0"/>
          <w:color w:val="000000"/>
          <w:sz w:val="20"/>
          <w:szCs w:val="20"/>
          <w:lang w:val="en-US"/>
        </w:rPr>
        <w:t>de minimis</w:t>
      </w:r>
      <w:r w:rsidRPr="00C56CC9">
        <w:rPr>
          <w:rFonts w:ascii="Arial" w:eastAsia="Times New Roman" w:hAnsi="Arial" w:cs="Arial"/>
          <w:noProof w:val="0"/>
          <w:color w:val="000000"/>
          <w:sz w:val="20"/>
          <w:szCs w:val="20"/>
          <w:lang w:val="en-US"/>
        </w:rPr>
        <w:t> токове извора ако је применљиво и ако оператер намерава да користи поједностављења за мање и </w:t>
      </w:r>
      <w:r w:rsidRPr="00B34F09">
        <w:rPr>
          <w:rFonts w:ascii="Arial" w:eastAsia="Times New Roman" w:hAnsi="Arial" w:cs="Arial"/>
          <w:i/>
          <w:iCs/>
          <w:noProof w:val="0"/>
          <w:color w:val="000000"/>
          <w:sz w:val="20"/>
          <w:szCs w:val="20"/>
          <w:lang w:val="en-US"/>
        </w:rPr>
        <w:t>de minimis</w:t>
      </w:r>
      <w:r w:rsidRPr="00C56CC9">
        <w:rPr>
          <w:rFonts w:ascii="Arial" w:eastAsia="Times New Roman" w:hAnsi="Arial" w:cs="Arial"/>
          <w:noProof w:val="0"/>
          <w:color w:val="000000"/>
          <w:sz w:val="20"/>
          <w:szCs w:val="20"/>
          <w:lang w:val="en-US"/>
        </w:rPr>
        <w:t> токове извора;</w:t>
      </w:r>
    </w:p>
    <w:p w14:paraId="2A720541"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опис коришћених мерних система, њихово мерно подручје, утврђену несигурност и тачну локацију мерних инструмената који ће се користити за сваки ток извора над којима ће се вршити мониторинг;</w:t>
      </w:r>
    </w:p>
    <w:p w14:paraId="73404AC7"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стандардне вредности које се користе за факторе прорачуна уз навођење извора фактора или релевантног извора из којег ће се стандардни фактор периодично преузимати, за сваки ток извора, ако је применљиво;</w:t>
      </w:r>
    </w:p>
    <w:p w14:paraId="0481AF08"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5. попис аналитичких метода које се користе за одређивање свих релевантних фактора прорачуна за све токове извора и опис писаних поступака за ове анализе, ако је применљиво;</w:t>
      </w:r>
    </w:p>
    <w:p w14:paraId="7E246765"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6. опис поступка на којем се заснива план узорковања за узорковање горива и материјала за анализу, као и поступак коришћен за ревизију адекватности плана узорковања, ако је применљиво;</w:t>
      </w:r>
    </w:p>
    <w:p w14:paraId="559F9550"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7. попис лабораторија које изводе релевантне аналитичке поступке, а у случају да лабораторија није акредитована, како је наведено у члану 31. став 1. овог правилника, и опис коришћеног поступка да би се показала усклађеност са еквивалентним захтевима у складу са чланом 31. ст. 2. и 3. овог правилника, ако је примењиво.</w:t>
      </w:r>
    </w:p>
    <w:p w14:paraId="662FEF35"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III. Детаљан опис примењене методологије мониторинга у складу са чланом 19. овог правилника за све токове извора и извор емисија гасова, за које се не користи ниједна методологија са нивоом и опис писаног поступка који се користи за повезану анализу несигурности, ако се примењује алтернативна методологија мониторинга.</w:t>
      </w:r>
    </w:p>
    <w:p w14:paraId="57F8B997"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IV. Детаљан опис методологија на основу мерења, ако се примењује, који садржи следеће:</w:t>
      </w:r>
    </w:p>
    <w:p w14:paraId="7BF4C0ED"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lastRenderedPageBreak/>
        <w:t>1. детаљан опис методе мерења, укључујући опис свих писаних поступака који се односе на мерење, и то:</w:t>
      </w:r>
    </w:p>
    <w:p w14:paraId="779A3396"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свих формула за прорачун које се користе за агрегацију података и за утврђивање годишње емисије гасова свих појединачних извора емисије;</w:t>
      </w:r>
    </w:p>
    <w:p w14:paraId="71BA0C7B"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метода за утврђивање да ли се могу израчунати валидни часови или краћи референтни периоди за сваки појединачни параметар и за замену података који недостају у складу са чланом 42. овог правилника;</w:t>
      </w:r>
    </w:p>
    <w:p w14:paraId="097DC8CB"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попис свих релевантних емисионих места у току уобичајеног рада и у току рестриктивних и транзиционих фаза, укључујући периоде прекида производње или фаза пуштања у рад, допуњено дијаграмом процеса на захтев надлежног органа;</w:t>
      </w:r>
    </w:p>
    <w:p w14:paraId="398CBBD5"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ако је проток димног гаса добијен прорачуном, опис писаног поступка за тај прорачун за сваки појединачни извор емисије над којим се врши мониторинг применом методологије на основу мерења;</w:t>
      </w:r>
    </w:p>
    <w:p w14:paraId="670EBB0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попис целокупне релевантне опреме, са подацима о учесталости мерења, мерним подручјем и нивоом несигурности;</w:t>
      </w:r>
    </w:p>
    <w:p w14:paraId="3B2A2E3F"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5. попис примењених стандарда и свих одступања;</w:t>
      </w:r>
    </w:p>
    <w:p w14:paraId="5C3D08E4"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6. опис писаног поступка за вршење поткрепљујућих прорачуна у складу са чланом 43. овог правилника, ако је применљиво;</w:t>
      </w:r>
    </w:p>
    <w:p w14:paraId="2C8B0326"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7. опис методе којом се одређивање емисија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који потиче од биомасе и одузет је од измерених емисија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као и опис писаног поступка који се користи за то, ако је применљиво;</w:t>
      </w:r>
    </w:p>
    <w:p w14:paraId="6C0486FE"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8) категоризацију извора емисија на веће и мање изворе емисија, ако је примењиво, и када оператер намерава да користи поједностављење за мање изворе емисија.</w:t>
      </w:r>
    </w:p>
    <w:p w14:paraId="04BBB557"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V. Поред елемената наведених у тачки IV, детаљан опис методологије мониторинга ако се врши мониторинг емисија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по потреби у облику описа писаног поступка који је примењен, укључујући:</w:t>
      </w:r>
    </w:p>
    <w:p w14:paraId="30286FD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методе и параметре који се користе за одређивање количине материјала коришћених у процесу производње и максималне количине материјала коришћеног при пуном капацитету;</w:t>
      </w:r>
    </w:p>
    <w:p w14:paraId="1A5795E0"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методе и параметре који се користе за одређивање количине производа који се произведе по часу, израженог као азотна киселина (100%), адипинска киселина (100%), капролактам, глиоксал или глиоксилна киселина по часу;</w:t>
      </w:r>
    </w:p>
    <w:p w14:paraId="2D1D7523"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методе и параметре који се користе за одређивање концентрације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у димном гасу из сваког појединачног извора емисије, мерно подручје и несигурност, детаље о свим алтернативним методама које се користе ако се концентрације нађу изван радног опсега, као и опис ситуација када постоји могућност да се то деси;</w:t>
      </w:r>
    </w:p>
    <w:p w14:paraId="5E23937C"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методе прорачуна које се користе за одређивање емисија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из периодичних несмањених извора у производњи азотне киселине, адипинске киселине, капролактама, глиоксала и глиоксилне киселине;</w:t>
      </w:r>
    </w:p>
    <w:p w14:paraId="15DDD8BC"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5. начине и обим у којем постројење ради под варијабилним оптерећењем и начин на који се врши оперативно управљање;</w:t>
      </w:r>
    </w:p>
    <w:p w14:paraId="7AD07238"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6. методе и све формуле за прорачун које се користе за одређивање годишњих емисија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и одговарајућих вредности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(е) за сваки извор емисије;</w:t>
      </w:r>
    </w:p>
    <w:p w14:paraId="29BACAF4"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7. информације о условима процеса који одступају од нормалног рада, индикације потенцијалне учесталости јављања и трајања таквих услова, као и индикације количине емисија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за време трајања тих одступајућих процесних услова, као што је квар опреме за смањење емисија.</w:t>
      </w:r>
    </w:p>
    <w:p w14:paraId="7E08A8CF"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VI. Детаљан опис методологије мониторинга ако се врши мониторинг перфлуороугљеника из производње примарног алуминијума, према потреби, у облику описа примењених писаних поступака, укључујући:</w:t>
      </w:r>
    </w:p>
    <w:p w14:paraId="2D4119EB"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датуме мерења за одређивање емисионих фактора специфичних за постројење, емисионог фактора по методи нагиба за CF</w:t>
      </w:r>
      <w:r w:rsidRPr="00B34F09">
        <w:rPr>
          <w:rFonts w:ascii="Arial" w:eastAsia="Times New Roman" w:hAnsi="Arial" w:cs="Arial"/>
          <w:noProof w:val="0"/>
          <w:color w:val="000000"/>
          <w:sz w:val="20"/>
          <w:szCs w:val="20"/>
          <w:vertAlign w:val="subscript"/>
          <w:lang w:val="en-US"/>
        </w:rPr>
        <w:t>4</w:t>
      </w:r>
      <w:r w:rsidRPr="00C56CC9">
        <w:rPr>
          <w:rFonts w:ascii="Arial" w:eastAsia="Times New Roman" w:hAnsi="Arial" w:cs="Arial"/>
          <w:noProof w:val="0"/>
          <w:color w:val="000000"/>
          <w:sz w:val="20"/>
          <w:szCs w:val="20"/>
          <w:lang w:val="en-US"/>
        </w:rPr>
        <w:t> или коефицијента пренапона и тежински удео C</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C56CC9">
        <w:rPr>
          <w:rFonts w:ascii="Arial" w:eastAsia="Times New Roman" w:hAnsi="Arial" w:cs="Arial"/>
          <w:noProof w:val="0"/>
          <w:color w:val="000000"/>
          <w:sz w:val="20"/>
          <w:szCs w:val="20"/>
          <w:lang w:val="en-US"/>
        </w:rPr>
        <w:t>, и распоред планираних датума мерења, ако је применљиво;</w:t>
      </w:r>
    </w:p>
    <w:p w14:paraId="358C04A5"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протокол који описује поступак који се користи за одређивање емисионих фактора специфичних за постројење за CF</w:t>
      </w:r>
      <w:r w:rsidRPr="00B34F09">
        <w:rPr>
          <w:rFonts w:ascii="Arial" w:eastAsia="Times New Roman" w:hAnsi="Arial" w:cs="Arial"/>
          <w:noProof w:val="0"/>
          <w:color w:val="000000"/>
          <w:sz w:val="20"/>
          <w:szCs w:val="20"/>
          <w:vertAlign w:val="subscript"/>
          <w:lang w:val="en-US"/>
        </w:rPr>
        <w:t>4</w:t>
      </w:r>
      <w:r w:rsidRPr="00C56CC9">
        <w:rPr>
          <w:rFonts w:ascii="Arial" w:eastAsia="Times New Roman" w:hAnsi="Arial" w:cs="Arial"/>
          <w:noProof w:val="0"/>
          <w:color w:val="000000"/>
          <w:sz w:val="20"/>
          <w:szCs w:val="20"/>
          <w:lang w:val="en-US"/>
        </w:rPr>
        <w:t> и C</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C56CC9">
        <w:rPr>
          <w:rFonts w:ascii="Arial" w:eastAsia="Times New Roman" w:hAnsi="Arial" w:cs="Arial"/>
          <w:noProof w:val="0"/>
          <w:color w:val="000000"/>
          <w:sz w:val="20"/>
          <w:szCs w:val="20"/>
          <w:lang w:val="en-US"/>
        </w:rPr>
        <w:t>, при чему мора да се покаже да су мерења била и да ће бити вршена довољно дуго да би измерене вредности могле да конвергирају, али у сваком случају најмање 72 часа, ако је применљиво;</w:t>
      </w:r>
    </w:p>
    <w:p w14:paraId="579AF13A"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методологију за одређивање ефикасности сакупљања за фугитивне емисије гасова у постројењима за производњу примарног алуминијума, ако је применљиво;</w:t>
      </w:r>
    </w:p>
    <w:p w14:paraId="6E251C41"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опис врсте ћелије и врсте аноде.</w:t>
      </w:r>
    </w:p>
    <w:p w14:paraId="20B9CFD1"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VII. Детаљан опис методологије мониторинга ако се врши трансфер инхерентног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као дела горива у складу са чланом 45. овог правилника или трансфер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у складу са чланом 46. овог правилника или трансфер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у складу са чланом 47. овог правилника, ако је применљиво, у облику описа примењених писаних поступака, укључујући:</w:t>
      </w:r>
    </w:p>
    <w:p w14:paraId="1366557A"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1. локацију опреме за мерење температуре и притиска у транспортној мрежи, ако је применљиво;</w:t>
      </w:r>
    </w:p>
    <w:p w14:paraId="57E9E6E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2. поступке за превенцију, откривање и квантификовање цурења из транспортне мреже, ако је применљиво;</w:t>
      </w:r>
    </w:p>
    <w:p w14:paraId="434C5E53"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3. код транспортних мрежа, процедуре које ефикасно обезбеђују да се CO</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преноси само у постројења која имају важећу дозволу за емисије GHG, или у којима се сав испуштени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ефикасно надгледа и прорачунава, у складу са чланом 46. овог правилника, ако је применљиво;</w:t>
      </w:r>
    </w:p>
    <w:p w14:paraId="63CB5C49"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4. идентификацију пријемних и преносних постројења у складу са идентификационом ознаком постројења;</w:t>
      </w:r>
    </w:p>
    <w:p w14:paraId="0BA036F6"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5. опис система за континуирано мерење који се користи на местима трансфера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или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између постројења која преносе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или N</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О, у складу са чл. 45, 46. или 47. овог правилника, ако је применљиво;</w:t>
      </w:r>
    </w:p>
    <w:p w14:paraId="1C693810"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lastRenderedPageBreak/>
        <w:t>6. опис методе конзервативне процене која се користи за одређивање удела биомасе у пренесеном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у складу са чл. 45. или 46. овог правилника, ако је применљиво;</w:t>
      </w:r>
    </w:p>
    <w:p w14:paraId="0B98763D"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7. методологије за утврђивање количине емисија или CO</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испуштеног у водени стуб због могућих пропуштања, као и примењене и евентуално прилагођене методологије за одређивање количине стварних емисија или CО</w:t>
      </w:r>
      <w:r w:rsidRPr="00B34F09">
        <w:rPr>
          <w:rFonts w:ascii="Arial" w:eastAsia="Times New Roman" w:hAnsi="Arial" w:cs="Arial"/>
          <w:noProof w:val="0"/>
          <w:color w:val="000000"/>
          <w:sz w:val="20"/>
          <w:szCs w:val="20"/>
          <w:vertAlign w:val="subscript"/>
          <w:lang w:val="en-US"/>
        </w:rPr>
        <w:t>2</w:t>
      </w:r>
      <w:r w:rsidRPr="00C56CC9">
        <w:rPr>
          <w:rFonts w:ascii="Arial" w:eastAsia="Times New Roman" w:hAnsi="Arial" w:cs="Arial"/>
          <w:noProof w:val="0"/>
          <w:color w:val="000000"/>
          <w:sz w:val="20"/>
          <w:szCs w:val="20"/>
          <w:lang w:val="en-US"/>
        </w:rPr>
        <w:t> испуштеног у водени стуб због пропуштања, како је утврђено у Прилогу 3, Одељак 23. овог правилника, ако је примењиво;</w:t>
      </w:r>
    </w:p>
    <w:p w14:paraId="72FCAD04"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VIII. Опис поступка који се примењује за процену дали су токови извора биомасе у складу са чланом 35. ст. 6. – 10. овог правилника, ако је применљиво.</w:t>
      </w:r>
    </w:p>
    <w:p w14:paraId="62866EC2"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IX. Опис поступка који се користи за одређивање количине биогаса на основу евиденције о куповини у складу са чланом 36. став 6. овог правилника, ако је применљиво.</w:t>
      </w:r>
    </w:p>
    <w:p w14:paraId="5A53EF80" w14:textId="77777777" w:rsidR="00C56CC9" w:rsidRPr="00C56CC9" w:rsidRDefault="00C56CC9" w:rsidP="00C56CC9">
      <w:pPr>
        <w:ind w:firstLine="480"/>
        <w:contextualSpacing w:val="0"/>
        <w:rPr>
          <w:rFonts w:ascii="Arial" w:eastAsia="Times New Roman" w:hAnsi="Arial" w:cs="Arial"/>
          <w:noProof w:val="0"/>
          <w:color w:val="000000"/>
          <w:sz w:val="20"/>
          <w:szCs w:val="20"/>
          <w:lang w:val="en-US"/>
        </w:rPr>
      </w:pPr>
      <w:r w:rsidRPr="00C56CC9">
        <w:rPr>
          <w:rFonts w:ascii="Arial" w:eastAsia="Times New Roman" w:hAnsi="Arial" w:cs="Arial"/>
          <w:noProof w:val="0"/>
          <w:color w:val="000000"/>
          <w:sz w:val="20"/>
          <w:szCs w:val="20"/>
          <w:lang w:val="en-US"/>
        </w:rPr>
        <w:t> </w:t>
      </w:r>
    </w:p>
    <w:p w14:paraId="6117F856"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2</w:t>
      </w:r>
    </w:p>
    <w:p w14:paraId="6F9ED83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ПРАГОВИ НИВОА ЗА МЕТОДOЛОГИЈЕ ЗА ОСНОВУ ПРОРАЧУНА ЗА ПОСТРОЈЕЊА</w:t>
      </w:r>
    </w:p>
    <w:p w14:paraId="3BDA12D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Дефиниција нивоа за податке о активностима</w:t>
      </w:r>
    </w:p>
    <w:p w14:paraId="3812BAC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Прагови несигурности дати у Табели 1. примењују се на нивое који се односе на захтеве везане за податке о активностима у складу са чланом 25. став 1. тачка 1) и чланом 26. став 3. Прагови несигурности тумаче се као максимално дозвољене несигурности за утврђивање токова извора у току периода извештавања.</w:t>
      </w:r>
    </w:p>
    <w:p w14:paraId="4193F58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Табела 1. не обухвата прописане активности и не примењује се биланс масе, оператер за те активности користи нивое који су наведени у Табели 1. под насловом: „Сагоревање горива и горива која се користе као улазни материјал у процесу”.</w:t>
      </w:r>
    </w:p>
    <w:p w14:paraId="643F0D5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1. Нивои за податке о активностима (максимално дозвољена несигурност за сваки ниво</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13"/>
        <w:gridCol w:w="5083"/>
        <w:gridCol w:w="722"/>
        <w:gridCol w:w="722"/>
        <w:gridCol w:w="697"/>
        <w:gridCol w:w="613"/>
      </w:tblGrid>
      <w:tr w:rsidR="00951703" w:rsidRPr="00951703" w14:paraId="40E2B5B6"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EF9F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Активност/врста тока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C76D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Параметар на који се примењује несигурност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CB81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4332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E763E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Ниво3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F039B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Ниво 4</w:t>
            </w:r>
          </w:p>
        </w:tc>
      </w:tr>
      <w:tr w:rsidR="00951703" w:rsidRPr="00951703" w14:paraId="4A3F25D5"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1E2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Сагоревање горива и горива која се користе као улазни материјал у процесу</w:t>
            </w:r>
          </w:p>
        </w:tc>
      </w:tr>
      <w:tr w:rsidR="00951703" w:rsidRPr="00951703" w14:paraId="1AD264CD"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9B27D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Комерцијална стандардна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53ECD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[t] или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B20B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82A38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767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D4B9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3FC3D9EB"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71BC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Остала гасовита и течна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C44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[t] или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C70C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ABA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06ED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D43A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1F2D47C0"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8BD4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Чврста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50F6B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15A7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D4C9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3E8C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951A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5472E989"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264F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Спаљивање бакљама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9231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спаљеног гаса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53CF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577F8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C5382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07707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6D0D1C7"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7618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димног гаса: карбонат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8BE1F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утрошеног карбоната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681D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46DC4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7E2BC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620E7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4239C92"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0C992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гипс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5B7F0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произведеног гипса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24E2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14C94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7A017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96B17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4C14A2B"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3A3B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уреа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DC2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утрошене уреје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274A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595FC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BC5B4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0610D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63CFBCC"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473E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Рафинисање минералних уља</w:t>
            </w:r>
          </w:p>
        </w:tc>
      </w:tr>
      <w:tr w:rsidR="00951703" w:rsidRPr="00951703" w14:paraId="2AA6612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947F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Регенерација катализатора из процеса крековања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E75D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Захтеви за несигурност важе одвојено за сваки извор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FC64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7CF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A8FC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E3AE6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r>
      <w:tr w:rsidR="00951703" w:rsidRPr="00951703" w14:paraId="502DE9A6"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E94CA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кокса</w:t>
            </w:r>
          </w:p>
        </w:tc>
      </w:tr>
      <w:tr w:rsidR="00951703" w:rsidRPr="00951703" w14:paraId="292890CA"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6956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238F3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3B2CB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F579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4070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31A2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10FECC5A"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75E7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Печење и синтеровање руда метала</w:t>
            </w:r>
          </w:p>
        </w:tc>
      </w:tr>
      <w:tr w:rsidR="00951703" w:rsidRPr="00951703" w14:paraId="26EA76A7"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F24E1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Доток карбоната и резидуе из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ABC24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Карбонатни улазни материјал и резидуе из процеса из процеса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4998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6F3DC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A2F22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30DF1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4B7F6BD"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D6B89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743D1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96D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CDC41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E9AE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DF25C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055D5A28"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818F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гвожђа и челика</w:t>
            </w:r>
          </w:p>
        </w:tc>
      </w:tr>
      <w:tr w:rsidR="00951703" w:rsidRPr="00951703" w14:paraId="0850CCED"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58709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 као улазни материјали у процес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E4682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проток масе у и из постројања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7D184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185F4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B76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E0A61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03996E5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D24A4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78901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3D67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C5DC5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A25C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D4DF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58431CE3"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2A0D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цементног клинкера</w:t>
            </w:r>
          </w:p>
        </w:tc>
      </w:tr>
      <w:tr w:rsidR="00951703" w:rsidRPr="00951703" w14:paraId="2926ECA5"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B80BA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основу материјала који улази у пећ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A3E1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15AC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7A02C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C93F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37B8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326DD01"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5140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Произведени клинкер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2137D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Произведени клинкер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680D5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D3D0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0372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48FD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7687527"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F947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Прашина из цементне пећи (CKD)</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3840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Прашина из цементне пећи (CKD) или</w:t>
            </w:r>
            <w:r w:rsidRPr="00B34F09">
              <w:rPr>
                <w:rFonts w:ascii="Arial" w:eastAsia="Times New Roman" w:hAnsi="Arial" w:cs="Arial"/>
                <w:i/>
                <w:iCs/>
                <w:noProof w:val="0"/>
                <w:color w:val="000000"/>
                <w:sz w:val="20"/>
                <w:szCs w:val="20"/>
                <w:lang w:val="en-US"/>
              </w:rPr>
              <w:t> bypass</w:t>
            </w:r>
            <w:r w:rsidRPr="00951703">
              <w:rPr>
                <w:rFonts w:ascii="Arial" w:eastAsia="Times New Roman" w:hAnsi="Arial" w:cs="Arial"/>
                <w:noProof w:val="0"/>
                <w:color w:val="000000"/>
                <w:sz w:val="20"/>
                <w:szCs w:val="20"/>
                <w:lang w:val="en-US"/>
              </w:rPr>
              <w:t> прашина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2C8E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r w:rsidRPr="00B34F09">
              <w:rPr>
                <w:rFonts w:ascii="Arial" w:eastAsia="Times New Roman" w:hAnsi="Arial" w:cs="Arial"/>
                <w:noProof w:val="0"/>
                <w:color w:val="000000"/>
                <w:sz w:val="20"/>
                <w:szCs w:val="20"/>
                <w:vertAlign w:val="superscript"/>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E55C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DD02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AAD2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E987AA9"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631F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Некарбонатни угљеник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B1C7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Свака сировина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40E0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EA151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38A7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8EA68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65C8E0F"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A6A6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креча и калцинисање доломита и магнезита</w:t>
            </w:r>
          </w:p>
        </w:tc>
      </w:tr>
      <w:tr w:rsidR="00951703" w:rsidRPr="00951703" w14:paraId="5DDB6BC8"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28F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Карбонати и други материјали у процесу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FA530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релевантни материјал који улази у пећ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505C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AF10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CC90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D32F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EB7F855"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C2B6B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Земноалкални оксиди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E95DC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Произведени креч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BEA0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0D94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0C34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3BD71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4725A6E"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BEA05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Прашина из пећи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19B3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Прашина из пећи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228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r w:rsidRPr="00B34F09">
              <w:rPr>
                <w:rFonts w:ascii="Arial" w:eastAsia="Times New Roman" w:hAnsi="Arial" w:cs="Arial"/>
                <w:noProof w:val="0"/>
                <w:color w:val="000000"/>
                <w:sz w:val="20"/>
                <w:szCs w:val="20"/>
                <w:vertAlign w:val="superscript"/>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D23E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AB741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90A76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7EF9DD29"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04032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стакла и минералне вуне</w:t>
            </w:r>
          </w:p>
        </w:tc>
      </w:tr>
      <w:tr w:rsidR="00951703" w:rsidRPr="00951703" w14:paraId="54544B4B"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A6609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Карбонати и други материјали у процесу (улаз)</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D51E1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Свака карбонатна сировина или адитиви повезани са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F0DF0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A9EF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5521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020A5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C4141BD"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D9529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керамичких производа</w:t>
            </w:r>
          </w:p>
        </w:tc>
      </w:tr>
      <w:tr w:rsidR="00951703" w:rsidRPr="00951703" w14:paraId="46C0CD9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83F14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Доток угљеника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C60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Свака карбонатна сировина или адитив повезан са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A4A60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835A8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35A9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B5F6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EB71B6D"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9B63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Алкални оксид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407E6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Бруто производња укључујући одбачене производе и комадиће из пећи и пошиљке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3EA4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2EA7A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E1703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9A54E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6790EB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A3D66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димног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65E56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Утрошени суви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1F21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4967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14D91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D932A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804F0D3"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35E7A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целулозе и папира</w:t>
            </w:r>
          </w:p>
        </w:tc>
      </w:tr>
      <w:tr w:rsidR="00951703" w:rsidRPr="00951703" w14:paraId="34A06F25"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978B7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Додатне хемикалије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CF4D7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 Na</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DCCA1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42B79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89FB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C54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E333069"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D4A7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индустријске чађи</w:t>
            </w:r>
          </w:p>
        </w:tc>
      </w:tr>
      <w:tr w:rsidR="00951703" w:rsidRPr="00951703" w14:paraId="476B7247"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D4FB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C3D8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49CCE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47AD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D1A5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BC1B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61DC3961"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0BDA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амонијака</w:t>
            </w:r>
          </w:p>
        </w:tc>
      </w:tr>
      <w:tr w:rsidR="00951703" w:rsidRPr="00951703" w14:paraId="09A9FE7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921D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која улази у процес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46D2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која се доводи у процес [t] или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5B931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257AE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E871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6520D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00D34041"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933E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водоника и синтетског гаса</w:t>
            </w:r>
          </w:p>
        </w:tc>
      </w:tr>
      <w:tr w:rsidR="00951703" w:rsidRPr="00951703" w14:paraId="1E4720B1"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54A4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која улази у процес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31E7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која се доводи у процес за производњу водоника [t] или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784C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2E32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5F680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264C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2BC8CEDE"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BDF5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EC9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44055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8CFE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07456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FF22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23C9CB77"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B4E5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расутих органских хемикалија</w:t>
            </w:r>
          </w:p>
        </w:tc>
      </w:tr>
      <w:tr w:rsidR="00951703" w:rsidRPr="00951703" w14:paraId="378FE048"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8F6A5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EEC0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6294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E6C7D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8C58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3D02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6C3B4BDA"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9BFC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или прерада ферозних и обојених метала, укључујући секундарни алумијум</w:t>
            </w:r>
          </w:p>
        </w:tc>
      </w:tr>
      <w:tr w:rsidR="00951703" w:rsidRPr="00951703" w14:paraId="36DB67B4"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D9D3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из производних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9B23E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материјал или резидуа из процеса која се користи као улазни материјал у процесу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BD901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4D924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F28C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17606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1CDB903"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635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CC9F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FD17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8101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F5F7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6EC0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377A4666" w14:textId="77777777" w:rsidTr="007E2EB9">
        <w:tc>
          <w:tcPr>
            <w:tcW w:w="0" w:type="auto"/>
            <w:gridSpan w:val="6"/>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3F67B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Производња примарног алуминијума</w:t>
            </w:r>
          </w:p>
        </w:tc>
      </w:tr>
      <w:tr w:rsidR="00951703" w:rsidRPr="00951703" w14:paraId="403A8D48"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EB98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386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Сваки улазни и излазни материјал [t]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BEAD4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0ABB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1A8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72191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r>
      <w:tr w:rsidR="00951703" w:rsidRPr="00951703" w14:paraId="3ADFE189"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4AE6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(метода нагиба)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88633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xml:space="preserve">Производња примарног алуминијума у [t], трајање анодног ефеката у минутима [број анодних ефеката / </w:t>
            </w:r>
            <w:r w:rsidRPr="00951703">
              <w:rPr>
                <w:rFonts w:ascii="Arial" w:eastAsia="Times New Roman" w:hAnsi="Arial" w:cs="Arial"/>
                <w:noProof w:val="0"/>
                <w:color w:val="000000"/>
                <w:sz w:val="20"/>
                <w:szCs w:val="20"/>
                <w:lang w:val="en-US"/>
              </w:rPr>
              <w:lastRenderedPageBreak/>
              <w:t>ћелија-дан] и [минути трајања анодног ефеката/појава]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53EDA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D11F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AC60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0250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7BF5B6A" w14:textId="77777777" w:rsidTr="007E2EB9">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DC29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(метод пренапона)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2745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примарног алумунијума у [t], шренапон анодног ефекта [mV] и искоришћење струје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B47D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4C317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1186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5FF82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bl>
    <w:p w14:paraId="7322BF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Напомене за Табелу 1</w:t>
      </w:r>
    </w:p>
    <w:p w14:paraId="17111BD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За мониторинг емисија из регенерације катализатора из процеса крековања (друге регенерације катализатора и флексикоксаре) у рафинеријама минералног уља, захтевана несигурност је повезана са укупном несигурношћу свих емисија из тог извора.</w:t>
      </w:r>
    </w:p>
    <w:p w14:paraId="0665526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Количина [t] прашине из цементне пећи или прашине из пећи (ако је применљиво) која напушта систем пећи у извештајном периоду, процењено коришћењем смерница за добру индустријску праксу.</w:t>
      </w:r>
    </w:p>
    <w:p w14:paraId="78182B9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Дефиниција нивоа за обрачунске факторе за емисије из сагоревања</w:t>
      </w:r>
    </w:p>
    <w:p w14:paraId="524C18D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Оператери врше мониторинг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свих врста процеса сагоревања који се спроводе у оквиру свих прописаних активности користећи дефиниције нивоа утврђене у овом одељку. Ако се користе горива или гориви материјали који проузрокују настанак емисија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као улазни материјал за процес примењује се Одељак 4. овог прилога. Ако горива чине део биланса масе у складу са чланом 22. став 1. овог правилника, примењују се дефиниције нивоа за билансе маса из Одељка 3. овог прилога.</w:t>
      </w:r>
    </w:p>
    <w:p w14:paraId="4C61CEB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емисије из процеса повезаног чишћења издувног гаса користе се дефиниције нивоа у складу са Одељком 4. и 5. овог прилога, по потреби.</w:t>
      </w:r>
    </w:p>
    <w:p w14:paraId="5F45124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2.1. Нивои за емисионе факторе</w:t>
      </w:r>
    </w:p>
    <w:p w14:paraId="77DC3EE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утврђен удео биомасе за мешано гориво или материјал, дефинисани нивои се односе на прелиминарни емисиони фактор. За фосилна горива и материјале нивои се односе на емисиони фактор.</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3"/>
        <w:gridCol w:w="18639"/>
      </w:tblGrid>
      <w:tr w:rsidR="00951703" w:rsidRPr="00951703" w14:paraId="4A32A75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654A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E062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323E5C0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стандардне факторе из Одељка 1. Прилога 5 овог правилника или</w:t>
            </w:r>
          </w:p>
          <w:p w14:paraId="1D5E6A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друге константне вредности у складу са чланом 28. став 1. тачка 5) овог правилника, ако ниједна примењива вредност није дата у Одељку 1. Прилога 5 овог правилника.</w:t>
            </w:r>
          </w:p>
        </w:tc>
      </w:tr>
      <w:tr w:rsidR="00951703" w:rsidRPr="00951703" w14:paraId="35F6157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A68A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9EBE4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специфичне националне емисионе факторе за конкретно гориво или материјал у складу са чланом 28. став 1. тач. 2) и 3) овог правилника или вредности у складу са чланом 28. став 1. тачка 4) овог правилника.</w:t>
            </w:r>
          </w:p>
        </w:tc>
      </w:tr>
      <w:tr w:rsidR="00951703" w:rsidRPr="00951703" w14:paraId="75DC200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A32DA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A75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изводи емисионе факторе за гориво на основу једне од следећих установљених репрезентативних заменских вредности, у комбинацији са емпријском корелацијом као што је утврђено најмање једном годишње у складу са чл. 29–32. и чланом 36. овог правилника:</w:t>
            </w:r>
          </w:p>
          <w:p w14:paraId="2125D3B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мерење густине конкретних уља или гасова, укључујући оне који су уобичајени за рафинерије и челичну индустрију;</w:t>
            </w:r>
          </w:p>
          <w:p w14:paraId="433743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нето калоријска вредност за конкретне врсте угља.</w:t>
            </w:r>
          </w:p>
          <w:p w14:paraId="3A2699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обезбеђује да корелација задовољава захтеве добре инжењерске праксе и да се примењује само на вредности замене које улазе у опсег за који је установљена.</w:t>
            </w:r>
          </w:p>
        </w:tc>
      </w:tr>
      <w:tr w:rsidR="00951703" w:rsidRPr="00951703" w14:paraId="089AEFD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C502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06B2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710067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одређује емисиони фактор у складу са релевантним одредбама чл. 29–32. овог правилника;</w:t>
            </w:r>
          </w:p>
          <w:p w14:paraId="3795CB0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емпиријску корелацију како је одређена за Ниво 2б, ако оператер на задовољавајући начин докаже надлежном органу да несигурност емпиријске корелације не прелази 1/3 вредности несигурности коју оператер мора да узима у обзир у погледу утврђивања података о активностима за предметно гориво или материјал.</w:t>
            </w:r>
          </w:p>
        </w:tc>
      </w:tr>
    </w:tbl>
    <w:p w14:paraId="3AF0B1B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2.2. Нивои за нето калоријску вредност</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10"/>
        <w:gridCol w:w="18562"/>
      </w:tblGrid>
      <w:tr w:rsidR="00951703" w:rsidRPr="00951703" w14:paraId="13C8E85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DEE8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7C70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28E3FE7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стандардне факторе из Одељка 1. Прилога 5 овог правилника или</w:t>
            </w:r>
          </w:p>
          <w:p w14:paraId="4DA6D1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друге константне вредности у складу са чланом 28. став 1. тачка 5) овог правилника, ако у Одељку 1. Прилога 5 овог правилника нема одговарајуће вредности.</w:t>
            </w:r>
          </w:p>
        </w:tc>
      </w:tr>
      <w:tr w:rsidR="00951703" w:rsidRPr="00951703" w14:paraId="65F9361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866A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9DBA1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специфичне националне факторе за конкретно гориво у складу са чланом 28. став 1. тач. 2) или 3) овог правилника или вредности у складу са чланом 28. став 1. тачка 4) овог правилника.</w:t>
            </w:r>
          </w:p>
        </w:tc>
      </w:tr>
      <w:tr w:rsidR="00951703" w:rsidRPr="00951703" w14:paraId="5982206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9CBE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71D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горива којима се комерцијално тргује користи се нето калоријска вредност која је изведена из евиденције о куповини конкретног горива коју доставља снабдевач горива ако је изведена на основу домаћих или међународних стандарда.</w:t>
            </w:r>
          </w:p>
        </w:tc>
      </w:tr>
      <w:tr w:rsidR="00951703" w:rsidRPr="00951703" w14:paraId="13B7D06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22A7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7AF2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нето калоријску вредност у складу са чл. 29 – 32. овог правилника.</w:t>
            </w:r>
          </w:p>
        </w:tc>
      </w:tr>
    </w:tbl>
    <w:p w14:paraId="0DC20C4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2.3. Нивои за оксидационе факторе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18712"/>
      </w:tblGrid>
      <w:tr w:rsidR="00951703" w:rsidRPr="00951703" w14:paraId="3E83DF1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5CEC7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E926D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оксидациони фактор 1.</w:t>
            </w:r>
          </w:p>
        </w:tc>
      </w:tr>
      <w:tr w:rsidR="00951703" w:rsidRPr="00951703" w14:paraId="5DE4391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137A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3C7F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оксидационе факторе за конкретно гориво у складу са чланом 28. став 1. тач. 2) или 3) овог правилника.</w:t>
            </w:r>
          </w:p>
        </w:tc>
      </w:tr>
      <w:tr w:rsidR="00951703" w:rsidRPr="00951703" w14:paraId="537E452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6F40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FF201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горива, оператер изводи факторе за специфичну активност на основу релевантног садржаја угљеника у пепелу, ефлуентима и другом отпаду и нуспроизводима, и другим релевантним непотпуно оксидизованим гасовитим облицима угљеника који се испуштају осим CO. Подаци о саставу утврђују се у складу са чл. 29–32. овог правилника.</w:t>
            </w:r>
          </w:p>
        </w:tc>
      </w:tr>
    </w:tbl>
    <w:p w14:paraId="2E30CC1B"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2.4. Нивои за удео биомасе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45"/>
        <w:gridCol w:w="18327"/>
      </w:tblGrid>
      <w:tr w:rsidR="00951703" w:rsidRPr="00951703" w14:paraId="74C8080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12EBD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EE949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важећу вредност објављену од стране надлежног органа или вредност у складу са чланом 28. став 1. овог правилника.</w:t>
            </w:r>
          </w:p>
        </w:tc>
      </w:tr>
      <w:tr w:rsidR="00951703" w:rsidRPr="00951703" w14:paraId="4650099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E8C8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7360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метод процене у складу са чланом 36. ст. 3. и 4. овог правилника.</w:t>
            </w:r>
          </w:p>
        </w:tc>
      </w:tr>
      <w:tr w:rsidR="00951703" w:rsidRPr="00951703" w14:paraId="5DB9079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8BAE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BDF8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анализе у складу са чланом 36. ст. 3. и 4. и у складу са чл. 29–</w:t>
            </w:r>
          </w:p>
          <w:p w14:paraId="56ED03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32. овог правилника.</w:t>
            </w:r>
          </w:p>
        </w:tc>
      </w:tr>
      <w:tr w:rsidR="00951703" w:rsidRPr="00951703" w14:paraId="35984B8A" w14:textId="77777777" w:rsidTr="00951703">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6577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оператер претпостави фосилни удео од 100 % у складу са чланом 36. став 1. овог правилника, из удела биомасе неће се доделити никакав ниво.</w:t>
            </w:r>
          </w:p>
        </w:tc>
      </w:tr>
    </w:tbl>
    <w:p w14:paraId="2E96AE1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Дефиниција нивоа за обрачунске факторе за биланс масе</w:t>
      </w:r>
    </w:p>
    <w:p w14:paraId="65A1BB1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дефиниције нивоа из овог одељка када користи биланс масе у складу са чланом 22. овог правилника.</w:t>
      </w:r>
    </w:p>
    <w:p w14:paraId="089247A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lastRenderedPageBreak/>
        <w:t>3.1. Нивои за садржај угљеника</w:t>
      </w:r>
    </w:p>
    <w:p w14:paraId="6ED4A32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један од нивоа наведених у овој тачки. За одређивање садржаја угљеника из емисионог фактора, оператер користи следеће једначине: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4"/>
        <w:gridCol w:w="13341"/>
        <w:gridCol w:w="5277"/>
      </w:tblGrid>
      <w:tr w:rsidR="00951703" w:rsidRPr="00951703" w14:paraId="272A5E2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83A0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B040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емисионе факторе изражене као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AD73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 = (EF × NCV) / f</w:t>
            </w:r>
          </w:p>
        </w:tc>
      </w:tr>
      <w:tr w:rsidR="00951703" w:rsidRPr="00951703" w14:paraId="62DF0E1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69B43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344D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емисионе факторе изражене као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0EE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 = EF / f</w:t>
            </w:r>
          </w:p>
        </w:tc>
      </w:tr>
    </w:tbl>
    <w:p w14:paraId="222B7F7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 чему је:</w:t>
      </w:r>
    </w:p>
    <w:p w14:paraId="79C5B12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C</w:t>
      </w:r>
      <w:r w:rsidRPr="00951703">
        <w:rPr>
          <w:rFonts w:ascii="Arial" w:eastAsia="Times New Roman" w:hAnsi="Arial" w:cs="Arial"/>
          <w:noProof w:val="0"/>
          <w:color w:val="000000"/>
          <w:sz w:val="20"/>
          <w:szCs w:val="20"/>
          <w:lang w:val="en-US"/>
        </w:rPr>
        <w:t> – садржај угљеника изражен као удео (тона угљеника по тони производа),</w:t>
      </w:r>
    </w:p>
    <w:p w14:paraId="302AE6F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EF </w:t>
      </w:r>
      <w:r w:rsidRPr="00951703">
        <w:rPr>
          <w:rFonts w:ascii="Arial" w:eastAsia="Times New Roman" w:hAnsi="Arial" w:cs="Arial"/>
          <w:noProof w:val="0"/>
          <w:color w:val="000000"/>
          <w:sz w:val="20"/>
          <w:szCs w:val="20"/>
          <w:lang w:val="en-US"/>
        </w:rPr>
        <w:t>– емисиони фактор,</w:t>
      </w:r>
    </w:p>
    <w:p w14:paraId="78EC311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NCV</w:t>
      </w:r>
      <w:r w:rsidRPr="00951703">
        <w:rPr>
          <w:rFonts w:ascii="Arial" w:eastAsia="Times New Roman" w:hAnsi="Arial" w:cs="Arial"/>
          <w:noProof w:val="0"/>
          <w:color w:val="000000"/>
          <w:sz w:val="20"/>
          <w:szCs w:val="20"/>
          <w:lang w:val="en-US"/>
        </w:rPr>
        <w:t> – нето калоријска вредност,</w:t>
      </w:r>
    </w:p>
    <w:p w14:paraId="1823BCD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f</w:t>
      </w:r>
      <w:r w:rsidRPr="00951703">
        <w:rPr>
          <w:rFonts w:ascii="Arial" w:eastAsia="Times New Roman" w:hAnsi="Arial" w:cs="Arial"/>
          <w:noProof w:val="0"/>
          <w:color w:val="000000"/>
          <w:sz w:val="20"/>
          <w:szCs w:val="20"/>
          <w:lang w:val="en-US"/>
        </w:rPr>
        <w:t> – фактор утврђен у члану 33. став 4. овог правилника.</w:t>
      </w:r>
    </w:p>
    <w:p w14:paraId="2E0F247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одређује удео биомасе за мешано гориво или материјал дефинисани нивои се односе на укупан садржај угљеника. Удео биомасе у угљенику одређује се користећи нивое из Одељка 2.4 овог прилога.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3"/>
        <w:gridCol w:w="18639"/>
      </w:tblGrid>
      <w:tr w:rsidR="00951703" w:rsidRPr="00951703" w14:paraId="0CA7258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5FBB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C553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w:t>
            </w:r>
          </w:p>
          <w:p w14:paraId="651B50F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садржај угљеника изведен из стандардних фактора из одељака 1. и 2. Прилога 5 овог правилника или</w:t>
            </w:r>
          </w:p>
          <w:p w14:paraId="63FD6F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друге константне вредности у складу са чланом 28. став 1. тачка 5) овог правилника, ако у одељцима 1. и 2. Прилога 5 овог правилника нема одговарајуће вредности.</w:t>
            </w:r>
          </w:p>
        </w:tc>
      </w:tr>
      <w:tr w:rsidR="00951703" w:rsidRPr="00951703" w14:paraId="7E70478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564EA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1359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садржај угљеника из специфичних националних емисионих фактора за конкретно гориво или материјал у складу са чланом 28. став 1. тач. 2) или 3) овог правилника или вредности у складу са чланом 28. став 1. тачка 4) овог правилника.</w:t>
            </w:r>
          </w:p>
        </w:tc>
      </w:tr>
      <w:tr w:rsidR="00951703" w:rsidRPr="00951703" w14:paraId="0477821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73FE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FFD7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садржај угљеника из емисионих фактора за гориво на основу једног од следећих утврђених замена у комбинацији са емпиријском корелацијом што се утврђује најмање једном годишње у складу са чл. 29–32. овог правилника:</w:t>
            </w:r>
          </w:p>
          <w:p w14:paraId="51FCF5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мерење густине специфичних уља или гасова који су уобичајени, на пример, за рафинерије или индустрије челика;</w:t>
            </w:r>
          </w:p>
          <w:p w14:paraId="70678D7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нето калоријска вредност за специфичне врсте угља.</w:t>
            </w:r>
          </w:p>
          <w:p w14:paraId="4FAB94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обезбеђује да корелација задовољава захтеве добре инжењерске праксе и да се примењује само на оне вредности посредног фактора које су унутар распона за који је он утврђен.</w:t>
            </w:r>
          </w:p>
        </w:tc>
      </w:tr>
      <w:tr w:rsidR="00951703" w:rsidRPr="00951703" w14:paraId="5D88DFE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77A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C5F75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57AE2D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одређује садржај угљеника у складу са релевантним одредбама чл. 29–32. овог правилника,</w:t>
            </w:r>
          </w:p>
          <w:p w14:paraId="500150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емпиријска корелација како је одређена за Ниво 2б, када оператер на задовољавајући начин докаже надлежном органу да несигурност емпиријске корелације не прелази 1/3 вредности несигурности коју оператер мора да узима у обзир у погледу утврђивања података о активностима за предметно гориво или материјал.</w:t>
            </w:r>
          </w:p>
        </w:tc>
      </w:tr>
    </w:tbl>
    <w:p w14:paraId="670310D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3.2. Нивои за нето калоријске вредности</w:t>
      </w:r>
    </w:p>
    <w:p w14:paraId="7BA9D3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Користе се нивои дефинисани у Одељку 2.2. овог прилога правилника.</w:t>
      </w:r>
    </w:p>
    <w:p w14:paraId="3D14AC3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3.3 Нивои за удео биомасе</w:t>
      </w:r>
    </w:p>
    <w:p w14:paraId="5D1EB78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Користе се нивои дефинисани у Одељку 2.4. овог прилога правилника.</w:t>
      </w:r>
    </w:p>
    <w:p w14:paraId="7E73AD2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4.</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Дефиниција нивоа за обрачунске факторе за емисије из производних процеса из разградње карбоната</w:t>
      </w:r>
    </w:p>
    <w:p w14:paraId="36C7903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све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производних процеса поготово емисије из декомпозиције карбоната и из прераде материала који задржи угљеник која се разликује од оне у карбонатима, укључујући уреу, кокс и графит, за које се врши мониторинг коришћењем стандардне методологије у складу са чланом 21. став 3. овог правилника, користиће се дефиниције за емисиони фактор и фактор конверзије утврђене у овом одељку.</w:t>
      </w:r>
    </w:p>
    <w:p w14:paraId="20F41AA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случају мешаних материјала који садрже неорганске и органске облике угљеника, оператор може да одабере једну од следећих могућности:</w:t>
      </w:r>
    </w:p>
    <w:p w14:paraId="4FAEFA2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да одреди укупни прелиминарни емисиони фактор за мешани материјал анализом укупног садржаја угљеника и применом фактора конверзије и – ако је примењиво – удела биомасе и нето калоријске вредности у односу на тај укупни садржај угљеника, или</w:t>
      </w:r>
    </w:p>
    <w:p w14:paraId="06C00F6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да одреди органске и неорганске садржаје одвојено и поступати са њима као да су два одвојена тока извора.</w:t>
      </w:r>
    </w:p>
    <w:p w14:paraId="111AA1D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емисије из разградње карбоната оператер може за сваки ток извора одабрати једну од следећих метода:</w:t>
      </w:r>
    </w:p>
    <w:p w14:paraId="45C0091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Метода А: на основу улазног материјала, емисиони фактор, фактор конверзије и подаци о активностима односе се на количину материјала која улази у процес;</w:t>
      </w:r>
    </w:p>
    <w:p w14:paraId="732918C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Метода Б: на основу излазног материјала, емисиони фактор, фактор конверзије и подаци о активностима односе се на количину материјала која излази из процеса.</w:t>
      </w:r>
    </w:p>
    <w:p w14:paraId="0AA8ACA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остале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процеса, оператер постројења може користити само Методу А.</w:t>
      </w:r>
    </w:p>
    <w:p w14:paraId="03F4C0E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4.1. Нивои за емисиони фактор када се користи метода A</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7"/>
        <w:gridCol w:w="18665"/>
      </w:tblGrid>
      <w:tr w:rsidR="00951703" w:rsidRPr="00951703" w14:paraId="5427481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998B9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8D6E6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6CD269D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за декомпозицију карбоната пимењује стандардне факторе наведене у Прилогу 5, Одељак 2. Табела 2 овог правилника; а заосталу прераду материjала Табеле 1, 4. или 5.</w:t>
            </w:r>
          </w:p>
          <w:p w14:paraId="5F33754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друге константне вредности у складу са чланом 28. став 1. тачка 5) овог правилника, када се ниједна важећа вредност не налази у Прилогу 5 овог правилника.</w:t>
            </w:r>
          </w:p>
        </w:tc>
      </w:tr>
      <w:tr w:rsidR="00951703" w:rsidRPr="00951703" w14:paraId="0987CB7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045F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DB70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специфичан национални емисиони фактор у складу са чланом 28. став 1. тач. 2) или 3) овог правилника, или вредности у складу са чланом 28. став 1. тачка 4) овог правилника.</w:t>
            </w:r>
          </w:p>
        </w:tc>
      </w:tr>
      <w:tr w:rsidR="00951703" w:rsidRPr="00951703" w14:paraId="4CD683C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95EB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7E21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емисиони фактор у складу са чл. 29. – 32. овог правилника. Стехиометријски коефицијенти како су наведени у Прилогу 5, Одељак 2. овог правилника користиће се за конверзију података о саставу у емисионе факторе, по потреби.</w:t>
            </w:r>
          </w:p>
        </w:tc>
      </w:tr>
    </w:tbl>
    <w:p w14:paraId="5C8985C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4.2. Нивои за факторе конверзије када се користи метода A</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18712"/>
      </w:tblGrid>
      <w:tr w:rsidR="00951703" w:rsidRPr="00951703" w14:paraId="080D6AE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DE67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421A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Користи се фактор конверзије 1.</w:t>
            </w:r>
          </w:p>
        </w:tc>
      </w:tr>
      <w:tr w:rsidR="00951703" w:rsidRPr="00951703" w14:paraId="12B4704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C9DE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56A2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Карбонати и остали угљеник који напушта процес узимају се у обзир са фактором конверзије који има вредност између 0 и 1. Оператер може да претпостави потпуну конверзију за један или више улазних материјала и да припише неконвертоване материјале или остали угљеник преосталим улазним материјалима. Додатно одређивање одговарајућих хемијских параметара производа врши се у складу са чл. 29–32. овог правилника.</w:t>
            </w:r>
          </w:p>
        </w:tc>
      </w:tr>
    </w:tbl>
    <w:p w14:paraId="2F433C84"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4.3. Нивои за емисиони фактор када се користи метода Б</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18712"/>
      </w:tblGrid>
      <w:tr w:rsidR="00951703" w:rsidRPr="00951703" w14:paraId="41A4230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7551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CBE6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једно од следећег</w:t>
            </w:r>
          </w:p>
          <w:p w14:paraId="456683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 стандардне факторе из Прилога 5, Одељак 2, Табела 3. овог правилника;</w:t>
            </w:r>
          </w:p>
          <w:p w14:paraId="08C67C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 друге константне вредности у складу са чланом 28. став 1. тачка 5) овог правилника, када се ниједна важећа вредност не налази у Прилогу 5 овог правилника.</w:t>
            </w:r>
          </w:p>
        </w:tc>
      </w:tr>
      <w:tr w:rsidR="00951703" w:rsidRPr="00951703" w14:paraId="69FD85E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E1AC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91372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специфичан национални емисиони фактор у складу са чланом 28. став 1. тач. 2) или 3) овог правилника или вредности у складу са чланом 28. став 1. тачка 4). овог правилника.</w:t>
            </w:r>
          </w:p>
        </w:tc>
      </w:tr>
      <w:tr w:rsidR="00951703" w:rsidRPr="00951703" w14:paraId="7C9C0CA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067A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A8D26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емисиони фактор у складу са чл. 29–32. овог правилника. Стехиометријски коефицијенти из Прилога 5, Одељак 2, Табела 3 овог правилника користе се за конверзију података о саставу у емисионе факторе под претпоставком да су сви релевантни оксиди метала изведени из односних карбоната. У том циљу, оператер ће узети у обзир бар CаО и МgО и доставити доказе надлежном органу у смислу који се даље метални оксиди односе на карбонате у сировинама.</w:t>
            </w:r>
          </w:p>
        </w:tc>
      </w:tr>
    </w:tbl>
    <w:p w14:paraId="099F84E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4.4. Нивои за фактор када се користи метода Б</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1"/>
        <w:gridCol w:w="18711"/>
      </w:tblGrid>
      <w:tr w:rsidR="00951703" w:rsidRPr="00951703" w14:paraId="70CDF6A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BB02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50BF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Користи се фактор конверзије 1.</w:t>
            </w:r>
          </w:p>
        </w:tc>
      </w:tr>
      <w:tr w:rsidR="00951703" w:rsidRPr="00951703" w14:paraId="7C56457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7BFD9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BD82F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некарбонатних једињења релевантних метала у сировинама, укључујући повратну прашину или летећи пепео или остале већ калцинисане материјале, узимају се у обзир помоћу фактора конверзије који има вредност између 0 и 1 при чему вредност 1 одговара потпуној конверзији карбоната из сировина у оксиде. Додатно одређивање релевантних хемијских параметара материјала који улазе у процес врши се у складу са чл. 29–32. овог правилника.</w:t>
            </w:r>
          </w:p>
        </w:tc>
      </w:tr>
    </w:tbl>
    <w:p w14:paraId="14B51E7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4.5. Нивои за нето калоријску вредност</w:t>
      </w:r>
    </w:p>
    <w:p w14:paraId="035D679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релевантно, оператор утврђује нето калоријску вредност процесног материјала примјеном нивоа дефинисаних у Одељку 2.2. овог прилога. NCV није релевантан за токове извора </w:t>
      </w:r>
      <w:r w:rsidRPr="00B34F09">
        <w:rPr>
          <w:rFonts w:ascii="Arial" w:eastAsia="Times New Roman" w:hAnsi="Arial" w:cs="Arial"/>
          <w:i/>
          <w:iCs/>
          <w:noProof w:val="0"/>
          <w:color w:val="000000"/>
          <w:sz w:val="20"/>
          <w:szCs w:val="20"/>
          <w:lang w:val="en-US"/>
        </w:rPr>
        <w:t>de minimis </w:t>
      </w:r>
      <w:r w:rsidRPr="00951703">
        <w:rPr>
          <w:rFonts w:ascii="Arial" w:eastAsia="Times New Roman" w:hAnsi="Arial" w:cs="Arial"/>
          <w:noProof w:val="0"/>
          <w:color w:val="000000"/>
          <w:sz w:val="20"/>
          <w:szCs w:val="20"/>
          <w:lang w:val="en-US"/>
        </w:rPr>
        <w:t>или ако сам материјал није запаљив без додавања других горива. У случају недоумице, оператор од надлежног органа тражи потврду о томе да ли треба да се прати и пријави NCV.</w:t>
      </w:r>
    </w:p>
    <w:p w14:paraId="315AAD9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4.6. Нивои за удео биомасе</w:t>
      </w:r>
    </w:p>
    <w:p w14:paraId="7EC369F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релевантно, оператер утврђује удео биомасе у угљенику садржаном у процесном материјалу применом нивоа дефинисаних у Одељку 2.4. овог прилога.</w:t>
      </w:r>
    </w:p>
    <w:p w14:paraId="29C5850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p w14:paraId="198CEB8F"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3</w:t>
      </w:r>
    </w:p>
    <w:p w14:paraId="4E357F2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МЕТОДОЛОГИЈЕ МОНИТОРИНГА СПЕЦИФИЧНЕ ЗА АКТИВНОСТИ КОЈЕ СЕ ОБАВЉАЈУ У ПОСТРОЈЕЊУ</w:t>
      </w:r>
    </w:p>
    <w:p w14:paraId="755BC97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Специфична правила мониторинга за емисије гасова из процеса сагоревања</w:t>
      </w:r>
    </w:p>
    <w:p w14:paraId="5D4CD35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675392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постројења врши мониторинг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свих врста процеса сагоревања који се одвијају у прописаним активностима, укључујући и са тиме повезане процесе чишћења мокрим поступком, у складу са правилима која су утврђена у овом прилогу. Све емисије из горива која се користе као улазни материјали за неки процес третирају се као емисије из сагоревања када се бира методологија мониторинга и извештавања, не доводећи у питање остале класификације које се примењују на емисије.</w:t>
      </w:r>
    </w:p>
    <w:p w14:paraId="0C1FB56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постројења не врши мониторинг и извештавање о емисијама из мотора са унутрашњим сагоревањем који се користе за транспорт. Оператер све емисије из сагоревања горива у постројењу приписује том постројењу, без обзира на топлотну или електричну енергију предату другим постројењима. Оператер не приписује емисије повезане са производњом топлотне или електричне енергије која се преноси из других постројења постројењу које прима ту енергију.</w:t>
      </w:r>
    </w:p>
    <w:p w14:paraId="377F748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обухвата најмање следеће изворе емисија: котлове, пламенике, турбине, грејаче, топионичке пећи, пећи за спаљивање, пећи за калцинисање, пећи за сушење, штедњаке, сушаче, моторе, горивне ћелије, CLC јединице, бакље, термалне или каталитичке јединице после сагоревања, и уређаје за чишћење (емисија из производних процеса), као и сву осталу опрему или механизацију која користи гориво, искључујући опрему или механизацију са моторима на сагоревање која се користи за транспорт.</w:t>
      </w:r>
    </w:p>
    <w:p w14:paraId="2FA56044"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766ADDA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из процеса сагоревања израчунавају се у складу са чланом 21. став 1. овог правилника, осим ако су горива укључена у биланс масе у складу са чланом 22. овог правилника. Примењују се нивои из Прилога 2, Одељак 2. овог правилника. Поред тога, процесне емисије услед чишћења димног гаса прате се користећи одредбе из пододељка В овог одељка.</w:t>
      </w:r>
    </w:p>
    <w:p w14:paraId="7CC63E6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емисије из бакљи за спаљивање примењују се посебни захтеви утврђени у пододељку Г овог одељка.</w:t>
      </w:r>
    </w:p>
    <w:p w14:paraId="5C552DF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Процеси сагоревања који се одвијају у терминалима за прераду гаса могу се пратити помоћу биланса масе у складу са чланом 22. овог правилника.</w:t>
      </w:r>
    </w:p>
    <w:p w14:paraId="4AD1454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В. Чишћење димног гаса</w:t>
      </w:r>
    </w:p>
    <w:p w14:paraId="595AB75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В.1 Одсумпоравање</w:t>
      </w:r>
    </w:p>
    <w:p w14:paraId="0839421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производних процеса које настају од употребе карбоната за чишћење киселог гаса из тока димног гаса рачунају се у складу са чланом 21. став 3. овог правилника на основу потрошеног карбоната, по методи А, или на основу произведеног гипса, по методи Б. Изузетно од Одељка 4. Прилога 2 овог правилника примењује се следеће:</w:t>
      </w:r>
    </w:p>
    <w:p w14:paraId="17A8C43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Mетода A: Емисиони фактор</w:t>
      </w:r>
    </w:p>
    <w:p w14:paraId="407B7E3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p w14:paraId="5CA5EBD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Емисиони фактор одређује се на основу стехиометријских коефицијената дефинисаних у Одељку 2. Прилога 5. овог правилника. Количине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i MgCO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или других карбоната у конкрентом улазном материјалу одређују се користећи смернице најбоље индустријске праксе.</w:t>
      </w:r>
    </w:p>
    <w:p w14:paraId="64551AC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Б: Емисиони фактор</w:t>
      </w:r>
    </w:p>
    <w:p w14:paraId="2FF11A5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p w14:paraId="4F8B369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је стехиометријски однос сувог гипса (CaSO</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 2H</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 и емитованог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0,2558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гипса.</w:t>
      </w:r>
    </w:p>
    <w:p w14:paraId="2ABB372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Фактор конверзије:</w:t>
      </w:r>
    </w:p>
    <w:p w14:paraId="6B3F67E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p w14:paraId="7A82AEA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Користиће се фактор конверзије 1.</w:t>
      </w:r>
    </w:p>
    <w:p w14:paraId="02727E4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В.2 De-NOx</w:t>
      </w:r>
    </w:p>
    <w:p w14:paraId="7D6251C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овог правилника,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који се емитује из процеса од коришћења уреје за чишћење тока димног гаса обрачунаће се у у складу са чланом 21. став 3. овог правилника применом следећих нивоа:</w:t>
      </w:r>
    </w:p>
    <w:p w14:paraId="3FE790F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Eмисиони фактор:</w:t>
      </w:r>
    </w:p>
    <w:p w14:paraId="31B2211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p w14:paraId="19AC276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Утврђивање количине уреје у релевантном улазном материјалу вршиће се уз коришћење смерница најбоље индустријске праксе. Емисиони фактор ће се утврдити коришћењем стехиометријског односа 0,7328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уреје.</w:t>
      </w:r>
    </w:p>
    <w:p w14:paraId="7C706F2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Фактор конверзије:</w:t>
      </w:r>
    </w:p>
    <w:p w14:paraId="0065627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Важи само Ниво 1.</w:t>
      </w:r>
    </w:p>
    <w:p w14:paraId="4C7E6E4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Г. Бакље за спаљивање гасова</w:t>
      </w:r>
    </w:p>
    <w:p w14:paraId="295982D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рачунају емисије из бакљи за спаљивање оператер укључује рутинско спаљивање и оперативно спаљивање (кратке активације, покретање и заустављање као и ванредне ситуације). Оператер укључује и инхерентни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складу са чланом 45. овог правилника.</w:t>
      </w:r>
    </w:p>
    <w:p w14:paraId="69FD73A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2.1. Прилога 2. овог правилника, нивои 1 и 2б за емисиони фактор дефинишу се на следећи начин:</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5"/>
        <w:gridCol w:w="18647"/>
      </w:tblGrid>
      <w:tr w:rsidR="00951703" w:rsidRPr="00951703" w14:paraId="0FE8D2C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4AD0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1C11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референтни емисиони фактор од 0,00393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 изведен из сагоревања чистог етана који се користи као конзервативна замена за спаљене гасове.</w:t>
            </w:r>
          </w:p>
        </w:tc>
      </w:tr>
      <w:tr w:rsidR="00951703" w:rsidRPr="00951703" w14:paraId="70F3E4B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EB8E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D380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фактори специфични за постројење изводе се из процене молекулске масе тока гаса, користећи процесно моделовање засновано на индустријским стандардним моделима. Узимајући у обзир релативне односе и молекулске масе сваког од токова који учествују, изводи се пондерисана годишња просечна вредност за молекулску масу спаљеног гаса.</w:t>
            </w:r>
          </w:p>
        </w:tc>
      </w:tr>
    </w:tbl>
    <w:p w14:paraId="579B179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2.3. Прилога 2. овог правилника, у случају бакљи за спаљивање примењују се само нивои 1 и 2 за оксидациони фактор.</w:t>
      </w:r>
    </w:p>
    <w:p w14:paraId="73E4586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Рафинисање минералног уља</w:t>
      </w:r>
    </w:p>
    <w:p w14:paraId="1A20B79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742F269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врши мониторинг и извештавање о свим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процеса сагоревања и процеса производње који се одвијају у рафинеријама.</w:t>
      </w:r>
    </w:p>
    <w:p w14:paraId="4FE864C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котлове, процесне грејаче/уређаје за прераду, моторе са унутрашњим сагоревањем/турбине, каталитичке и термичке оксидаторе, пећи за калцинисање кокса, пумпе за гашење, резервне генераторе за ванредне ситуације, бакље за спаљивање, пећи за спаљивање, уређаје за крековање, јединице за производњу водоника, јединице за Клаусов процес, регенерисање катализатора (из процеса крековања и других каталитичких процеса) и коксаре (флексикоксара, продужено коксовање).</w:t>
      </w:r>
    </w:p>
    <w:p w14:paraId="216F95F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50D9E75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активности за рафинисање минералних уља спроводи се у складу са Одељком 1. овог прилога за емисије из сагоревања укључујући чишћење димног гаса. Оператер може да изабере да користи методологију биланса масе у складу са чланом 22. овог правилника за целу рафинерију или појединачне процесне јединице као што је гасификација тешког уља или погоне за калцинисање. Ако се користи комбинација стандардне методологије и методологије биланса масе, оператер доставља доказ надлежном органу да су емисије у потпуности обухваћене и да не долази до двоструког рачунања емисија.</w:t>
      </w:r>
    </w:p>
    <w:p w14:paraId="528E06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Над емисијама из наменских јединица за производњу водоника мониторинг ће се вршити у складу са Одељком 19. овог прилога.</w:t>
      </w:r>
    </w:p>
    <w:p w14:paraId="2DAB61C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одредби чл. 21. и 22. овог правилника за емисије из регенерације катализатора из процеса крековања, других процеса регенерације катализатора и флексикоксара врши се мониторинг помоћу биланса масе, узимајући у обзир стање улазног ваздуха и димног гаса. Сав CO у димном гасу рачуна се као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применом односа масе: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t CO* 1,571. Анализа улазног ваздуха и димних гасова и избор нивоа врши се у складу са одредбама чл. 29 – 32. овог правилника. Конкретну методологију прорачуна одобрава надлежни орган.</w:t>
      </w:r>
    </w:p>
    <w:p w14:paraId="22D3AA7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кокса</w:t>
      </w:r>
    </w:p>
    <w:p w14:paraId="2D3EC15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5B8CE07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сировине (укључујући угаљ или нафтни кокс), конвенционална горива (укључујући природни гас), гасове из производних процеса (укључујући високопећни гас– BFG), остала горива и чишћење отпадног гаса.</w:t>
      </w:r>
    </w:p>
    <w:p w14:paraId="468CA46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lastRenderedPageBreak/>
        <w:t>Б. Специфична правила мониторинга</w:t>
      </w:r>
    </w:p>
    <w:p w14:paraId="1C8BD57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производње кокса оператер може да изабере да користи биланс масе у складу са чланом 22. и Одељком 3. у Прилогу 2. овог правилника или стандардну методологију у складу са чланом 21. и одељцима 2. и 4. у Прилогу 2. овог правилника.</w:t>
      </w:r>
    </w:p>
    <w:p w14:paraId="3B890C1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Oдељак 4.</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Печење и синтеровање руде метала</w:t>
      </w:r>
    </w:p>
    <w:p w14:paraId="13A1FB1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Oбласт примене</w:t>
      </w:r>
    </w:p>
    <w:p w14:paraId="482988C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сировине (калцинисање креча, доломита и карбонатних руда гвожђа, укључујући FeCO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конвенционална горива (укључујући природни гас и кокс/коксну шљаку), гасове из производних процеса (укључујући гас из коксаре – COG, и високопећни гас – BFG), резидуе из производног процеса које се користе као улазни материјал укључујући филтрирану прашину из погона за синтеровање, конвертора и високе пећи, остала горива и чишћење димног гаса.</w:t>
      </w:r>
    </w:p>
    <w:p w14:paraId="7C720134"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3CA514D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од печења, синтеровања или пелетизације руда метала, оператер може да изабере да користи биланс масе у складу са чланом 22. и Одељком 3. Прилога 2. овог правилника или стандардну методологију у складу са чланом 21. и одељцима 2. и 4. Прилога 2. овог правилника.</w:t>
      </w:r>
    </w:p>
    <w:p w14:paraId="241D33C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5.</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сировог гвожћа и челика</w:t>
      </w:r>
    </w:p>
    <w:p w14:paraId="0F58319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457213B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сировине (калцинисање креча, доломита и карбонатних руда гвожђа, укључујући FeCO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конвенционална горива (природни гас, угаљ и кокс), редукујуће агенсе (укључујући кокс, угаљ и пластику), гасове из производних процеса (гас из коксаре – COG, високопећни гас – BFG и конверторски гас – BOFG), потрошњу графитних електрода, остала горива и чишћење отпадног гаса.</w:t>
      </w:r>
    </w:p>
    <w:p w14:paraId="446C1CD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029C370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производње сировог гвожђа и челика оператер може да изабере да користи биланс масе у складу са чланом 22. и Одељком 3. у Прилогу 2. овог правилника или стандардну методологију у складу са чланом 21. и одељцима 2. и 4. у Прилогу 2. овог правилника, барем за један део токова извора, избегавајући губљење или двоструко рачунање емисија.</w:t>
      </w:r>
    </w:p>
    <w:p w14:paraId="3DF710B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3.1. Прилога 2 овог правилника ниво 3 за садржај угљеника дефинише се на следећи начин:</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18712"/>
      </w:tblGrid>
      <w:tr w:rsidR="00951703" w:rsidRPr="00951703" w14:paraId="321D261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48C6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F1FA5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садржај угљеника улазног или излазног тока у складу са чл. 29– 32. овог правилника у односу на репрезентативни узорак горива, производа и нуспроизвода, утврђивање њиховог садржаја угљеника и удела биомасе. Оператер одређује садржај угљеника у производима или полуготовим производима на годишњим анализама у складу са чл. 29–32. овог правилника или изводи садржај угљеника из вредности састава средњег опсега као што је утврђено у релевантним међународним или националним стандардима.</w:t>
            </w:r>
          </w:p>
        </w:tc>
      </w:tr>
    </w:tbl>
    <w:p w14:paraId="234BBF7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6.</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или прерада ферозних и обојених метала</w:t>
      </w:r>
    </w:p>
    <w:p w14:paraId="2BFDE48B"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463582E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не примењује одредбе овог одељка за мониторинг и извештавање о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производње сировог гвожђа и челика и примарног алуминијума.</w:t>
      </w:r>
    </w:p>
    <w:p w14:paraId="0DECEDE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за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конвенционална горива; алтернативна горива укључујући пластичне гранулате из погона за обраду уситњеног отпадног метала; редукујуће агенсе укључујући кокс, графитне електроде; сировине укључујући кречњак и доломит; руде метала и концентрате који садрже угљеник; и секундардне сировине.</w:t>
      </w:r>
    </w:p>
    <w:p w14:paraId="556EAF8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125078E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угљеник који настаје из горива или улазних материјала који се користе у постројењу остане у производима или другим излазним материјалима из производње, оператер користи биланс масе у складу са чланом 22. и Одељком 3. у Прилогу 2. овог правилника. Ако то није случај, оператер одвојено одређује емисију из сагоревања и емисију из производног процеса користећи стандардну методологију у складу са чланом 21. и одељцима 2. и 4. у Прилогу 2. овог правилника.</w:t>
      </w:r>
    </w:p>
    <w:p w14:paraId="343B0BD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користи биланс масе, оператер може да укључи емисије из процеса сагоревања у билансу масе или да користи стандардну методологију у складу са чланом 21. и Одељком 1. овог прилога за један део токова извора, избегавајући изостављање или двоструко рачунање емисија.</w:t>
      </w:r>
    </w:p>
    <w:p w14:paraId="5842DDD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7.</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Емисије CO</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 из производње или прераде примарног алуминијума</w:t>
      </w:r>
    </w:p>
    <w:p w14:paraId="1846A3E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6909CFD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одредбе овог одељка на мониторинг и извештавање о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производње електрода за топљење примарног алуминијума, укључујући самосталне погоне за производњу таквих електрода и потрошњу електрода за време електролизе.</w:t>
      </w:r>
    </w:p>
    <w:p w14:paraId="38777A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за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горива за производњу топлоте или паре, производњу електрода, редукцију Al</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за време електролизе која је повезана за утрошком електрода и коришћење натријум карбоната или других карбоната за чишћење отпадног гаса.</w:t>
      </w:r>
    </w:p>
    <w:p w14:paraId="5AB26C7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повезаних емисија перфлуороугљеника – PFC, које су резултат анодних ефеката, укључујући фугитивне емисије, врши се у складу са Одељком 8. овог прилога.</w:t>
      </w:r>
    </w:p>
    <w:p w14:paraId="09F82A2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1076365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Оператер одређује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производње или прераде примарног алуминијума користећи методологију биланса масе у складу са чланом 22. овог правилника. Методологијом биланса масе узима се у обзир укупан угљеник у улазним материјалима, залихама, производима и другим извозима из мешања, обликовања, печења и рециклирања електрода као и из употребе електрода у електролизи. Ако се користе претпечене аноде могу да се користе или одвојени биланси маса за производњу и потрошњу или један заједнички биланс маса узимајући у обзир и производњу и потрошњу електрода. Ако се користе Содербергове ћелије оператер примењује један заједнички биланс масе.</w:t>
      </w:r>
    </w:p>
    <w:p w14:paraId="220EAFF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емисије из процеса сагоревања оператер може да изабере да их укључи у билансу масе или да користи стандардну методологију у складу са чланом 21. и Одељком 1. овог прилога најмање за један део токова извора, избегавајући изостављање или двоструко рачунање емисија.</w:t>
      </w:r>
    </w:p>
    <w:p w14:paraId="2880ADA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Oдељак 8.</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Eмисије перфлуороугљеника из производње или прераде примарног алуминијума</w:t>
      </w:r>
    </w:p>
    <w:p w14:paraId="6B93D31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2115DB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за емисије перфлуороугљеника (PFC) које настају из анодних ефеката укључујући фугитивне емисије PFC примењује следеће одредбе. За повезане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укључујући емисије из производње електрода, оператер примењује Одељак 7. овог прилога. Оператер затим врши прорачун емисије PFC које нису повезане са анодним ефектом на основу метода процене у складу са најбољом индустријском праксом и свим смерницама које у том циљу објави надлежни орган.</w:t>
      </w:r>
    </w:p>
    <w:p w14:paraId="5EA19F0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Утврђивање емисија перфлуороугљеника</w:t>
      </w:r>
    </w:p>
    <w:p w14:paraId="795FC52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рачунају се из емисија које се мере у цеви или димњаку („емисије са места извора”) као и из фугитивних емисија користећи ефикасност сакупљања цеви:</w:t>
      </w:r>
    </w:p>
    <w:p w14:paraId="6A1A9C8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(укупно) = Eмисије PFC (цев)/ефикасност сакупљања</w:t>
      </w:r>
    </w:p>
    <w:p w14:paraId="19F354D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Ефикасност сакупљања мери се када су утврђени специфични емисиони фактори за постројење. За њихово утврђивање користи се најновија верзија упутства наведеног у нивоу 3 у Одељку 4.4.2.4. Упутства IPCC из 2006. године.</w:t>
      </w:r>
    </w:p>
    <w:p w14:paraId="270A6A4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рачуна емисије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и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које се емитују кроз цев или димњак помоћу једне од следећих метода:</w:t>
      </w:r>
    </w:p>
    <w:p w14:paraId="559B61F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Метода А која бележи трајање анодног ефекта у минутама по ћелији-дану;</w:t>
      </w:r>
    </w:p>
    <w:p w14:paraId="450ACBA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Метода Б која бележи пренапон анодног ефекта.</w:t>
      </w:r>
    </w:p>
    <w:p w14:paraId="4A32931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Прорачун по методи A – метода нагиба</w:t>
      </w:r>
    </w:p>
    <w:p w14:paraId="11429F2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следеће једначине за одређивање емисија PFC:</w:t>
      </w:r>
    </w:p>
    <w:p w14:paraId="43E01F9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[t] = AEM × (SEFCF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/1 000) × PrAl</w:t>
      </w:r>
    </w:p>
    <w:p w14:paraId="0828B2D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 Емисије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 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p w14:paraId="1C615A1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је:</w:t>
      </w:r>
    </w:p>
    <w:p w14:paraId="5DC9ED7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AEM= анодни ефекат у минутама/ћелија-дан;</w:t>
      </w:r>
    </w:p>
    <w:p w14:paraId="26A892A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SEFCF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Емисиони фактор нагиба [(kg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/t произведеног Al)/(анодни ефекат у минутама/ћелија-дан)]. Када се користе различити типови ћелија, могу се применити различити емисиони фактори нагиба, у зависности од датог случаја;</w:t>
      </w:r>
    </w:p>
    <w:p w14:paraId="2C0FCE8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PrAl= годишња производња примарног алуминијума [t];</w:t>
      </w:r>
    </w:p>
    <w:p w14:paraId="7572655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тежинска фракција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p w14:paraId="40A7583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Анодни ефекат у минутама по ћелији-дану изражава учесталост анодних ефеката (број анодних ефеката/ћелија-дан) помножену са просечним трајањем анодних ефеката (минути трајања анодног ефекта/по појави):</w:t>
      </w:r>
    </w:p>
    <w:p w14:paraId="6EF0B92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AEM = учесталост × просечно трајање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18"/>
        <w:gridCol w:w="17954"/>
      </w:tblGrid>
      <w:tr w:rsidR="00951703" w:rsidRPr="00951703" w14:paraId="0D0964B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FC18B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4BD3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(емисиони фактор нагиба, SEFCF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изражава количину [kg]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емитовану по t произведеног алуминијума по минути трајања анодног ефекта/ ћелија-дан. Емисиони фактор (тежински удео 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изражава количину [t]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емитовану пропорцијално количини [t] емитованог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tc>
      </w:tr>
      <w:tr w:rsidR="00951703" w:rsidRPr="00951703" w14:paraId="3EAB3F9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68D8D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541B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емисионе факторе специфичне за технологију из Табеле 1. овог одељка.</w:t>
            </w:r>
          </w:p>
        </w:tc>
      </w:tr>
      <w:tr w:rsidR="00951703" w:rsidRPr="00951703" w14:paraId="56C93A7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B263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A616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специфичне емисионе факторе за постројење за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и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који су утврђени контиуираним или испрекиданим мерењима на лицу места. За утврђивање тих емисионих фактора оператер користи најновију верзију упутства наведеног под нивоом 3 Одељка 4.4.2.4 Упутства IPCCиз 2006. године. Емисиони фактор такође узима у обзир емисије везане за неанодни ефекат. Оператер одређује сваки емисиони фактор са максималном несигурношћу од ± 15 %.</w:t>
            </w:r>
          </w:p>
        </w:tc>
      </w:tr>
    </w:tbl>
    <w:p w14:paraId="00D5AB7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емисионе факторе најмање на сваке три године или и раније када се за то укаже потреба због релевантних измена у постројењу. Релевантне измене значе измену у дистрибуцији трајања анодног ефекта или измену контролног алгоритма који утиче на мешавину типова анодних ефеката или на природу рутине окончања анодног ефекта.</w:t>
      </w:r>
    </w:p>
    <w:p w14:paraId="201F0CA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1: Емисиони фактори који су специфични за технологију у вези са подацима о активностима за метод нагиба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213"/>
        <w:gridCol w:w="6140"/>
        <w:gridCol w:w="6019"/>
      </w:tblGrid>
      <w:tr w:rsidR="00951703" w:rsidRPr="00951703" w14:paraId="5D4C746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3648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Технологија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7516B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CF</w:t>
            </w:r>
            <w:r w:rsidRPr="00B34F09">
              <w:rPr>
                <w:rFonts w:ascii="Arial" w:eastAsia="Times New Roman" w:hAnsi="Arial" w:cs="Arial"/>
                <w:noProof w:val="0"/>
                <w:color w:val="000000"/>
                <w:sz w:val="20"/>
                <w:szCs w:val="20"/>
                <w:vertAlign w:val="subscript"/>
                <w:lang w:val="en-US"/>
              </w:rPr>
              <w:t>4 </w:t>
            </w:r>
            <w:r w:rsidRPr="00951703">
              <w:rPr>
                <w:rFonts w:ascii="Arial" w:eastAsia="Times New Roman" w:hAnsi="Arial" w:cs="Arial"/>
                <w:noProof w:val="0"/>
                <w:color w:val="000000"/>
                <w:sz w:val="20"/>
                <w:szCs w:val="20"/>
                <w:lang w:val="en-US"/>
              </w:rPr>
              <w:t>(SEFCF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p w14:paraId="41F4F2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/t Al)/(AE-мин/ћелија-дан)]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107C4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C2F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w:t>
            </w:r>
          </w:p>
          <w:p w14:paraId="2C7D485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tc>
      </w:tr>
      <w:tr w:rsidR="00951703" w:rsidRPr="00951703" w14:paraId="6644622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19EAC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Коморе за претпечење</w:t>
            </w:r>
          </w:p>
          <w:p w14:paraId="5251CFC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(Centre Worked Prebake), CWPB</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9DEC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757CD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0,121</w:t>
            </w:r>
          </w:p>
        </w:tc>
      </w:tr>
      <w:tr w:rsidR="00951703" w:rsidRPr="00951703" w14:paraId="149CFD5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768F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Содербергова вертикална метода (VSS)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5E46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C452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0,053</w:t>
            </w:r>
          </w:p>
        </w:tc>
      </w:tr>
    </w:tbl>
    <w:p w14:paraId="65AEF4F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прорачуна Б – Метода препона</w:t>
      </w:r>
    </w:p>
    <w:p w14:paraId="03F7F70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мери пренапон анодног ефекта оператер користи следеће једначине за утврђивање емисија PFC:</w:t>
      </w:r>
    </w:p>
    <w:p w14:paraId="5ACC9ED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[t] = OVC × (AEO/CE) × PrAl × 0,001</w:t>
      </w:r>
    </w:p>
    <w:p w14:paraId="76F642A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Емисије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 емисије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 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p w14:paraId="60688C8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је:</w:t>
      </w:r>
    </w:p>
    <w:p w14:paraId="25E44BB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OVC= коефицијент пренапона („емисиони фактор”) изражен као 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по t алуминијума произведен по mV пренапона;</w:t>
      </w:r>
    </w:p>
    <w:p w14:paraId="4238C30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AEO= пренапон анодног ефекта по ћелији [mV] утврђен као интеграл (време × напон изнад циљаног напона) подељен кроз време (трајање) сакупљања података;</w:t>
      </w:r>
    </w:p>
    <w:p w14:paraId="169EDB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CE= просечно искоришћење струје у производњи алуминијума [%];</w:t>
      </w:r>
    </w:p>
    <w:p w14:paraId="676335C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PrAl= годишња производња примарног алуминијума [t];</w:t>
      </w:r>
    </w:p>
    <w:p w14:paraId="6412886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CF2F6</w:t>
      </w:r>
      <w:r w:rsidRPr="00951703">
        <w:rPr>
          <w:rFonts w:ascii="Arial" w:eastAsia="Times New Roman" w:hAnsi="Arial" w:cs="Arial"/>
          <w:noProof w:val="0"/>
          <w:color w:val="000000"/>
          <w:sz w:val="20"/>
          <w:szCs w:val="20"/>
          <w:lang w:val="en-US"/>
        </w:rPr>
        <w:t>= тежински удео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p w14:paraId="3608B0D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Појам AEO/CE (пренапон анодног ефекта / тренутна ефикасност) изражава временски интегрисан просечни пренапон анодног ефекта [mV пренапона] по просечној искоришћености струје [%].</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15"/>
        <w:gridCol w:w="17957"/>
      </w:tblGrid>
      <w:tr w:rsidR="00951703" w:rsidRPr="00951703" w14:paraId="0A05E58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74E9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2F5C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(„коефицијент пренапона” – OVC) изражава количину [kg]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који се емитује по t алуминијума по миливолту пренапона [mV]. Емисиони фактор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(тежнска фракција FC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изражава количину [t]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која се емитује пропорцијално количини [t] емитованог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tc>
      </w:tr>
      <w:tr w:rsidR="00951703" w:rsidRPr="00951703" w14:paraId="575F468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4333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1100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емисионе факторе специфичне за технологију из Табеле 2. овог одељка.</w:t>
            </w:r>
          </w:p>
        </w:tc>
      </w:tr>
      <w:tr w:rsidR="00951703" w:rsidRPr="00951703" w14:paraId="2C1A8BA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2226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2CCF5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емисионе факторе специфичне за постројење за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/t Al)/(mV)] и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који су утврђени континуираним или повременим мерењима на лицу места. За утврђивање тих фактора емисије оператер користи најновију верзију смерница наведене у нивоу 3 Одељка 4.4.2.4 Упутства IPCC из 2006. године. Оператер одређује емисионе факторе са максималном несигурношћу од ± 15 % за сваки од њих.</w:t>
            </w:r>
          </w:p>
        </w:tc>
      </w:tr>
    </w:tbl>
    <w:p w14:paraId="116D549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факторе емисије најмање на сваке три године или раније ако се за то укаже потреба због релевантних измена у постројењу. Релевантне измене укључују промену у дистрибуцији трајања анодног ефекта или промену у контролном алгоритму који утиче на мешавину типова анодних ефеката или природу рутине окончања анодног ефекта.</w:t>
      </w:r>
    </w:p>
    <w:p w14:paraId="2A5348E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2: Емисиони фактори који су специфични за технологију у вези са подацима о активности за метод пренапона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93"/>
        <w:gridCol w:w="5309"/>
        <w:gridCol w:w="5470"/>
      </w:tblGrid>
      <w:tr w:rsidR="00951703" w:rsidRPr="00951703" w14:paraId="6197A08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1F84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Технологија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2370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CF</w:t>
            </w:r>
            <w:r w:rsidRPr="00B34F09">
              <w:rPr>
                <w:rFonts w:ascii="Arial" w:eastAsia="Times New Roman" w:hAnsi="Arial" w:cs="Arial"/>
                <w:noProof w:val="0"/>
                <w:color w:val="000000"/>
                <w:sz w:val="20"/>
                <w:szCs w:val="20"/>
                <w:vertAlign w:val="subscript"/>
                <w:lang w:val="en-US"/>
              </w:rPr>
              <w:t>4</w:t>
            </w:r>
          </w:p>
          <w:p w14:paraId="069B6DD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[(kg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/t Al)/mV]</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D0BB5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p w14:paraId="49AF35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6 </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w:t>
            </w:r>
          </w:p>
        </w:tc>
      </w:tr>
      <w:tr w:rsidR="00951703" w:rsidRPr="00951703" w14:paraId="3B11B12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F6B9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Коморе за претпечење</w:t>
            </w:r>
          </w:p>
          <w:p w14:paraId="6445CE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(Centre Worked Prebake), CWPB</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05203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B2EBE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0,121</w:t>
            </w:r>
          </w:p>
        </w:tc>
      </w:tr>
      <w:tr w:rsidR="00951703" w:rsidRPr="00951703" w14:paraId="023009B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C6C9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Содербергова вертикална метода (VSS)</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2024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243C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0,053</w:t>
            </w:r>
          </w:p>
        </w:tc>
      </w:tr>
    </w:tbl>
    <w:p w14:paraId="07F116E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В. Утврђивање емисија CO</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(e)</w:t>
      </w:r>
    </w:p>
    <w:p w14:paraId="4707A36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рачуна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из емисија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и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на начин описан у даљем тексту користећи потенцијале глобалног загревања (GWP) наведене у Прилогу 5. Одељак 3. Табела 6. овог правилника:</w:t>
      </w:r>
    </w:p>
    <w:p w14:paraId="0B15C72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PFC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 емисије 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[t] x * GWPCF</w:t>
      </w:r>
      <w:r w:rsidRPr="00B34F09">
        <w:rPr>
          <w:rFonts w:ascii="Arial" w:eastAsia="Times New Roman" w:hAnsi="Arial" w:cs="Arial"/>
          <w:noProof w:val="0"/>
          <w:color w:val="000000"/>
          <w:sz w:val="20"/>
          <w:szCs w:val="20"/>
          <w:vertAlign w:val="subscript"/>
          <w:lang w:val="en-US"/>
        </w:rPr>
        <w:t>4</w:t>
      </w:r>
      <w:r w:rsidRPr="00951703">
        <w:rPr>
          <w:rFonts w:ascii="Arial" w:eastAsia="Times New Roman" w:hAnsi="Arial" w:cs="Arial"/>
          <w:noProof w:val="0"/>
          <w:color w:val="000000"/>
          <w:sz w:val="20"/>
          <w:szCs w:val="20"/>
          <w:lang w:val="en-US"/>
        </w:rPr>
        <w:t> + емисије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r w:rsidRPr="00951703">
        <w:rPr>
          <w:rFonts w:ascii="Arial" w:eastAsia="Times New Roman" w:hAnsi="Arial" w:cs="Arial"/>
          <w:noProof w:val="0"/>
          <w:color w:val="000000"/>
          <w:sz w:val="20"/>
          <w:szCs w:val="20"/>
          <w:lang w:val="en-US"/>
        </w:rPr>
        <w:t> [t] x * GWPC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p w14:paraId="5D86456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9.</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цементног клинкера</w:t>
      </w:r>
    </w:p>
    <w:p w14:paraId="0320CA7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1C043FD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за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калцинисање кречњака у сировинама, конвенционална фосилна горива за пећи, алтернативна горива за пећи и сировине на бази фосила, горива за пећи од биомасе (отпади биомасе), горива која нису за пећи, садржај некарбонатног угљеника у кречњаку и шкриљцима и сировине које се користе за чишћење отпадног гаса.</w:t>
      </w:r>
    </w:p>
    <w:p w14:paraId="6A11608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37B070C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емисије из сагоревања врши се у складу са Одељком 1. овог прилога. Мониторинг емисија из производних процеса из компонената сировог брашна врши се у складу са Одељком 4. Прилога 2. овог правилника на основу карбонатног садржаја улазног материјала процеса (метод прорачуна А) или на основу количне произведеног клинкера (метод прорачуна Б). Карбонати који морају да се узму у обзир морају да обухвате најмање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MgCO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 FeCO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У случају методе А, карбонати које треба узети у обзир обухватаће најмање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MgCO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 FeCO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У случају методе Б, оператер узима у обзир најмање CaO и MgO, и доставља доказе надлежном органу у том смислу до које даље мере извори угљеника морају да се узму у обзир.</w:t>
      </w:r>
    </w:p>
    <w:p w14:paraId="06E397C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повезане са прашином која је уклоњена из процеса и некарбонатног угљеника у сировинама додају се у складу са пододељцима В и Г овог одељка.</w:t>
      </w:r>
    </w:p>
    <w:p w14:paraId="64426F1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прорачуна А: на основу материјала који улази у пећ</w:t>
      </w:r>
    </w:p>
    <w:p w14:paraId="63AC3E8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прашина из цементне пећи (CKD) и </w:t>
      </w:r>
      <w:r w:rsidRPr="00B34F09">
        <w:rPr>
          <w:rFonts w:ascii="Arial" w:eastAsia="Times New Roman" w:hAnsi="Arial" w:cs="Arial"/>
          <w:i/>
          <w:iCs/>
          <w:noProof w:val="0"/>
          <w:color w:val="000000"/>
          <w:sz w:val="20"/>
          <w:szCs w:val="20"/>
          <w:lang w:val="en-US"/>
        </w:rPr>
        <w:t>bypass</w:t>
      </w:r>
      <w:r w:rsidRPr="00951703">
        <w:rPr>
          <w:rFonts w:ascii="Arial" w:eastAsia="Times New Roman" w:hAnsi="Arial" w:cs="Arial"/>
          <w:noProof w:val="0"/>
          <w:color w:val="000000"/>
          <w:sz w:val="20"/>
          <w:szCs w:val="20"/>
          <w:lang w:val="en-US"/>
        </w:rPr>
        <w:t> прашина напусте систем пећи оператер не узима конкренту сировину као улазни материјал, већ емисије из CKD рачуна у складу са пододељком В овог одељка.</w:t>
      </w:r>
    </w:p>
    <w:p w14:paraId="61E7F9A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Осим ако је сирово брашно окарактерисано оператер примењује захтеве за несигурност за податке о активностима одвојено за сваки од одговарајућих материјала који улазе у пећ а који садржи угљеник, избегавајући двоструко рачунање или изостављање враћеног или обиђеног материјала. Ако се подаци о активностима одређују на основу произведеног клинкера, нето количина сировог брашна може да се утврди помоћу односа сировог брашна и клинкера специфичног за то постројење. Тај однос ажурира се најмање једном годишње уз примену индустријских смерница најбоље праксе.</w:t>
      </w:r>
    </w:p>
    <w:p w14:paraId="1B61DE2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прорачуна Б: на основу произведеног клинкера</w:t>
      </w:r>
    </w:p>
    <w:p w14:paraId="1495420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податке о активностима као количину клинкера [t] произведену у току периода извештавања на један од следећих начина: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8"/>
        <w:gridCol w:w="19134"/>
      </w:tblGrid>
      <w:tr w:rsidR="00951703" w:rsidRPr="00951703" w14:paraId="7F70ECE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1222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2E8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директним вагањем клинкера;</w:t>
            </w:r>
          </w:p>
        </w:tc>
      </w:tr>
      <w:tr w:rsidR="00951703" w:rsidRPr="00951703" w14:paraId="4611448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3C4BC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b)</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33FB9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основу испорука цемента, помоћу биланса материјала узимајући у обзир отпрему клинкера, доставу клинкера, као и варијације у залихама клинкера, користећи следећу формулу:</w:t>
            </w:r>
          </w:p>
          <w:p w14:paraId="7348AC9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Произведени клинкер [t] = ((испоруке цемента [t] – варирање у залихама цемента [t]) * однос клинкера/цемента [t клинкера /t цемента]) – (достављени клинкер [t]) + (отпремљени клинкер [t]) – (варирање у залихама клинкера [t]).</w:t>
            </w:r>
          </w:p>
        </w:tc>
      </w:tr>
    </w:tbl>
    <w:p w14:paraId="1F7E4FF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изводи однос цемент/клинкер за сваки различити производ цемента на основу одредби чл. 29–32. овог правилника или рачуна однос из разлике између испорука цемента и промена у залихама и свих материјала који се користе као адитиви цементу укључујући </w:t>
      </w:r>
      <w:r w:rsidRPr="00B34F09">
        <w:rPr>
          <w:rFonts w:ascii="Arial" w:eastAsia="Times New Roman" w:hAnsi="Arial" w:cs="Arial"/>
          <w:i/>
          <w:iCs/>
          <w:noProof w:val="0"/>
          <w:color w:val="000000"/>
          <w:sz w:val="20"/>
          <w:szCs w:val="20"/>
          <w:lang w:val="en-US"/>
        </w:rPr>
        <w:t>bypass</w:t>
      </w:r>
      <w:r w:rsidRPr="00951703">
        <w:rPr>
          <w:rFonts w:ascii="Arial" w:eastAsia="Times New Roman" w:hAnsi="Arial" w:cs="Arial"/>
          <w:noProof w:val="0"/>
          <w:color w:val="000000"/>
          <w:sz w:val="20"/>
          <w:szCs w:val="20"/>
          <w:lang w:val="en-US"/>
        </w:rPr>
        <w:t> прашину и прашину из цементне пећи.</w:t>
      </w:r>
    </w:p>
    <w:p w14:paraId="4BCDE88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овог правилника ниво 1 за емисиони фактор дефинише се на следећи начин:</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50"/>
        <w:gridCol w:w="17222"/>
      </w:tblGrid>
      <w:tr w:rsidR="00951703" w:rsidRPr="00951703" w14:paraId="4CDB67A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5D84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C10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емисиони фактор од 0,525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клинкер.</w:t>
            </w:r>
          </w:p>
        </w:tc>
      </w:tr>
    </w:tbl>
    <w:p w14:paraId="1824133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В. Емисије повезане са испуштеном прашином</w:t>
      </w:r>
    </w:p>
    <w:p w14:paraId="3B02CD0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додаје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w:t>
      </w:r>
      <w:r w:rsidRPr="00B34F09">
        <w:rPr>
          <w:rFonts w:ascii="Arial" w:eastAsia="Times New Roman" w:hAnsi="Arial" w:cs="Arial"/>
          <w:i/>
          <w:iCs/>
          <w:noProof w:val="0"/>
          <w:color w:val="000000"/>
          <w:sz w:val="20"/>
          <w:szCs w:val="20"/>
          <w:lang w:val="en-US"/>
        </w:rPr>
        <w:t>bypass </w:t>
      </w:r>
      <w:r w:rsidRPr="00951703">
        <w:rPr>
          <w:rFonts w:ascii="Arial" w:eastAsia="Times New Roman" w:hAnsi="Arial" w:cs="Arial"/>
          <w:noProof w:val="0"/>
          <w:color w:val="000000"/>
          <w:sz w:val="20"/>
          <w:szCs w:val="20"/>
          <w:lang w:val="en-US"/>
        </w:rPr>
        <w:t>прашине или прашине из цементне пећи (CKD) које напуштају систем пећи, кориговане за однос парцијалног калцинисања CKD који се рачуна као емисија из производног процеса у складу са чланом 21. став 3. овог правилника. Изузетно од Одељка 4. Прилога 2. овог правилника нивои 1 и 2 за емисиони фактор дефинишу се на следећи начин:</w:t>
      </w:r>
    </w:p>
    <w:p w14:paraId="75802C0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 Оператер примењује емисиони фактор од 0,525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прашине.</w:t>
      </w:r>
    </w:p>
    <w:p w14:paraId="5126FCD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Оператер одређује емисиони фактор (EF) најмање једном годишње у складу са чл. 29 - 32. овог правилника користећи следећу формулу:</w:t>
      </w:r>
    </w:p>
    <w:p w14:paraId="5FBF73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3209621F" wp14:editId="2D05FA88">
            <wp:extent cx="5057775" cy="1000125"/>
            <wp:effectExtent l="0" t="0" r="0" b="9525"/>
            <wp:docPr id="5" name="Picture 5" descr="https://www.pravno-informacioni-sistem.rs/SlGlasnikPortal/slike/Staklena-basta_Page_0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Staklena-basta_Page_02.png&amp;doctype=reg&amp;abc=cba&amp;eli=true&amp;eliActId=436691&amp;regactid=43669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1000125"/>
                    </a:xfrm>
                    <a:prstGeom prst="rect">
                      <a:avLst/>
                    </a:prstGeom>
                    <a:noFill/>
                    <a:ln>
                      <a:noFill/>
                    </a:ln>
                  </pic:spPr>
                </pic:pic>
              </a:graphicData>
            </a:graphic>
          </wp:inline>
        </w:drawing>
      </w:r>
    </w:p>
    <w:p w14:paraId="4EC9ED7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je:</w:t>
      </w:r>
    </w:p>
    <w:p w14:paraId="33A8BDD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EFCKD= Емисиони фактор парцијално калциноване прашине из цементне пећи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CKD];</w:t>
      </w:r>
    </w:p>
    <w:p w14:paraId="6B87840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EFCli= Емисиони фактор специфичан за постројење за клинкер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клинкер];</w:t>
      </w:r>
    </w:p>
    <w:p w14:paraId="48E0A66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d= степен калцинисања CKD (испуштени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као % укупног карбонатног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сировој мешавини).</w:t>
      </w:r>
    </w:p>
    <w:p w14:paraId="6D5BCD1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 за емисиони фактор није примењив.</w:t>
      </w:r>
    </w:p>
    <w:p w14:paraId="75D82D9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Г. Емисије из некарбонатног угљеника у сировом брашну</w:t>
      </w:r>
    </w:p>
    <w:p w14:paraId="01590CB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емисије из некарбонатног угљеника макар из креча, шкриљца или алтернативних сировина (на пример летећи пепео) које се користе у сировом брашну у пећи у складу са чланом 21. став 3. овог правилника.</w:t>
      </w:r>
    </w:p>
    <w:p w14:paraId="50487CE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примењују се следеће дефиниције нивоа за емисиони фактор:</w:t>
      </w:r>
    </w:p>
    <w:p w14:paraId="07EC6FE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 Садржај некарбонатног угљеника у релевантној сировини процењује се користећи индустријске смернице најбоље праксе.</w:t>
      </w:r>
    </w:p>
    <w:p w14:paraId="148DC8E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Садржај некарбонатног угљеника у релевантној сировини одређује се најмање једном годишње у складу са одредбама чл. 29 - 32. овог правилника.</w:t>
      </w:r>
    </w:p>
    <w:p w14:paraId="1E60696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примењују се следеће дефиниције нивоа за фактор конверзије:</w:t>
      </w:r>
    </w:p>
    <w:p w14:paraId="73B7A1E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 Примењује се фактор конверзије 1.</w:t>
      </w:r>
    </w:p>
    <w:p w14:paraId="66CBEC5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Фактор конверзије се рачуна примењујући најбољу индустријску праксу.</w:t>
      </w:r>
    </w:p>
    <w:p w14:paraId="3835DCE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10.</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креча или калцинисање доломита или магнезита</w:t>
      </w:r>
    </w:p>
    <w:p w14:paraId="056979D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3A731B3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калцинисање кречњака, доломита или магнезита у сировинама, конвенционална фосилна горива за пећи, алтернативна горива за пећи и сировине на бази фосила, горива од биомасе за пећи (отпади биомасе) и друга горива.</w:t>
      </w:r>
    </w:p>
    <w:p w14:paraId="6CE81A7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Када се печени креч 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потиче од кречњака користе за процесе пречишћавања на такав начин да се поново веже отприлике иста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не захтева се да разградња карбоната и процес пречишћавања буду обухваћени одвојено у плану мониторинга постројења.</w:t>
      </w:r>
    </w:p>
    <w:p w14:paraId="1F4B5ED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2982D08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сагоревања врши се у складу са Одељком 1. овог прилога. Мониторинг емисија из производних процеса из сировина врши се у складу са Одељком 4 Прилога 2. овог правилника. Карбонати калцијума и магнезијума увек се узимају у обзир. Остали карбонати и некарбонатни угљеник у сировини узимају се у обзир кад год су релевантни за прорачун емисија.</w:t>
      </w:r>
    </w:p>
    <w:p w14:paraId="1A8589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методологију засновану на улазним материјалима, вредности садржаја карбоната коригују се за конкретни садржај влаге и јаловине у материјалу. У случају производње оксида магнезијума узимају се у обзир и остали минерали који садрже магнезијум осим карбоната, када је применљиво.</w:t>
      </w:r>
    </w:p>
    <w:p w14:paraId="0FF04D4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Избегава се двоструко рачунање или изостављање враћених или неискоришћених материјала. Када се примењује метод Б, прашина из пећи за креч сматра се одвојеним током извора у датом случају.</w:t>
      </w:r>
    </w:p>
    <w:p w14:paraId="10D1402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В. Емисије из некарбонатног угљеника у сировинама</w:t>
      </w:r>
    </w:p>
    <w:p w14:paraId="4697348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емисије из некарбонатног угљеника барем за кречњак, шкриљац или алтернативне сировине у пећи, у складу са чланом 21. став 3. овог правилника.</w:t>
      </w:r>
    </w:p>
    <w:p w14:paraId="31C7958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Прилога 2, Одељак 4, за емисиони фактор примењују се следеће дефиниције нивоа:</w:t>
      </w:r>
    </w:p>
    <w:p w14:paraId="50C1595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Ниво 1: Садржај некарбонатног угљеника у одговарајућој сировини процењује се на основу смерница најбоље индустријске праксе.</w:t>
      </w:r>
    </w:p>
    <w:p w14:paraId="248DB9B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Садржај некарбонатног угљеника у одговарајућој сировини утврђује се најмање једном годишње у складу са чл. 29–32.</w:t>
      </w:r>
    </w:p>
    <w:p w14:paraId="6C19BFF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Прилога 2, Одељак 4, за конверзијски фактор примењују се следеће дефиниције нивоа:</w:t>
      </w:r>
    </w:p>
    <w:p w14:paraId="32E78DC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 Примењује се фактор конверзије вредности 1.</w:t>
      </w:r>
    </w:p>
    <w:p w14:paraId="7836D3B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Фактор конверзије рачуна се на основу најбоље индустријске праксе.</w:t>
      </w:r>
    </w:p>
    <w:p w14:paraId="6A66390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стакла, стакленог влакна или минералне вуне као изолационог материјала</w:t>
      </w:r>
    </w:p>
    <w:p w14:paraId="6EA69815"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082555F8"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Оператер примењује одредбе овог одељка и на постројења за производњу воденог стакла и камене вуне</w:t>
      </w:r>
    </w:p>
    <w:p w14:paraId="1B5FB3C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разградња алкалних и земноалкалних карбоната као резултат топљења сировине, конвенционална фосилна горива, алтернативна горива и сировине на бази фосила, горива од биомасе (отпад биомасе), остала горива, адитиви који садрже угљеник укључујући кокс, угљену прашину и графит, накнадно сагоревање димних гасова и чишћење димних гасова.</w:t>
      </w:r>
    </w:p>
    <w:p w14:paraId="4180CB5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0505674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сагоревања, укључујући чишћење димног гаса , врши се у складу са Одељком 1. овог прилога. Мониторинг процесних емисија из сировина врши се у складу са Одељком 4. Прилога 2. овог правилника. Карбонати који се узимају у обзир обухватају најмање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MgCO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Na</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NaHCO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BaCO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Li</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K</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 SrCO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Користи се само метода А. Мониторинг емисија из других процесних материјала укључујући кокс, графит и угљену прашину, врши се у складу са Одељком 4. Прилога 2 овог правилника.</w:t>
      </w:r>
    </w:p>
    <w:p w14:paraId="3B56E74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овог правилника, примењују се следеће дефиниције нивоа за емисиони фактор:</w:t>
      </w:r>
    </w:p>
    <w:p w14:paraId="0FF27CC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 Користе се стехиометријски коефицијенти наведени у Одељку 2. Прилога 5. овог правилника. Чистоћа релевантних улазних материјала одређује се помоћу најбоље индустријске праксе.</w:t>
      </w:r>
    </w:p>
    <w:p w14:paraId="64A8F7A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 Утврђивање количине релевантних карбоната у сваком релевантном улазном материјалу врши се у складу са чл. 29–32. овог правилника.</w:t>
      </w:r>
    </w:p>
    <w:p w14:paraId="41312E4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фактор конверзије примењује се само ниво 1.</w:t>
      </w:r>
    </w:p>
    <w:p w14:paraId="16C89875"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керамичких производа</w:t>
      </w:r>
    </w:p>
    <w:p w14:paraId="288D8B5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59280D8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горива за пећи, калцинисање кречњака/доломита и других карбоната у сировини, кречњак и остали карбонати за смањење загађујућих материја у ваздуху и чишћење осталог димног гаса, фосилни/биомасни адитиви који се користе за постизање порозности укључујући полистирол, резидуе из производње папира или пиљевина, некарбонатни садржај угљеника у глини и осталим сировинама.</w:t>
      </w:r>
    </w:p>
    <w:p w14:paraId="709AF9D5"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046F56C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сагоревања укључујући чишћење димног гаса врши се у складу са Одељком 1. овог прилога. Мониторинг емисија из производних процеса из компонената и адитива сировог брашна врши се у складу са одељцима 4. Прилога 2. овог правилника. За керамику на бази пречишћених или синтетичких глина оператер може да користи или методу А или методу Б. За керамичке производе на бази непрерађене глине и у случајевима када се користе глине или адитиви са значајним органским садржајем оператер користи методу А. Карбонати калцијума увек се узимају у обзир. Остали карбонати и некарбонатни садржај угљеника у сировини узимају се у обзир када су релевантни за прорачун емисија.</w:t>
      </w:r>
    </w:p>
    <w:p w14:paraId="3E6076B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Подаци активности за улазне материјале за Методу А могу се утврдити одговарајућим ретроградним прорачуном на основу најбоље индустријске праксе и који је одобрио надлежни орган. Таквим ретроградним прорачуном узима се у обзир какво је мерење на располагању за сушене сирове производе или печене производе, као и одговарајући извори података за влагу глине и адитиве и губитак при изгарању материјала у питању.</w:t>
      </w:r>
    </w:p>
    <w:p w14:paraId="15B8333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4. Прилога 2. овог правилника, примењују се следеће дефиниције нивоа за емисионе факторе за емисије из производних процеса сировина које садрже карбонате:</w:t>
      </w:r>
    </w:p>
    <w:p w14:paraId="56907BF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A (на основу улазних материјала)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8"/>
        <w:gridCol w:w="18704"/>
      </w:tblGrid>
      <w:tr w:rsidR="00951703" w:rsidRPr="00951703" w14:paraId="06F732A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EFE6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578E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Конзервативна вредност 0,2 t CaCO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(што одговара 0,08794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 тони суве глине примењује се за рачунање емисионог фактора уместо резултата анализа. За сав неоргански и органски угљеник у материјалу глине сматраће се да је урачунат у вредност. Сматраће се да адитиви нису обухваћени у овој вредности.</w:t>
            </w:r>
          </w:p>
        </w:tc>
      </w:tr>
      <w:tr w:rsidR="00951703" w:rsidRPr="00951703" w14:paraId="66D2A35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5E779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1E0C8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за сваки ток извора изводи се и ажурира најмање једном годишње користећи најбољу индустријску праксу узимајући у обзир специфичне услове односног постројења и асортиман производа који настају у том постројењу.</w:t>
            </w:r>
          </w:p>
        </w:tc>
      </w:tr>
      <w:tr w:rsidR="00951703" w:rsidRPr="00951703" w14:paraId="5415A3D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D1A2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546E3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Утврђивање састава релевантних сировина спроводи се у складу са чл. 29 – 32. овог правилника. Стехиометријски коефицијенти наведени у Одељку 2. Прилога 5 овог правилника користе се за конверзију података о саставу у емисионе факторе, по потреби.</w:t>
            </w:r>
          </w:p>
        </w:tc>
      </w:tr>
    </w:tbl>
    <w:p w14:paraId="5D3AC00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Метода Б (на основу резултата производње)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0"/>
        <w:gridCol w:w="18712"/>
      </w:tblGrid>
      <w:tr w:rsidR="00951703" w:rsidRPr="00951703" w14:paraId="672855D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E689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43C6A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Конзервативна вредност од 0,123 t CаО (што одговара 0,09642 t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 тони производа примењује се за израчунавање емисионог фактора уместо резултата анализа. За сав неоргански и органски угљеник у материјалу глине сматраће се да је урачунат у вредност. Сматраће се да адитиви нису обухваћени у овој вредности.</w:t>
            </w:r>
          </w:p>
        </w:tc>
      </w:tr>
      <w:tr w:rsidR="00951703" w:rsidRPr="00951703" w14:paraId="38CAD79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73333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7F96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изводи се и ажурира најмање једном годишње користећи најбољу индустријску праксу узимајући у обзир специфичне услове односног постројења и асортиман производа који настају у том постројењу.</w:t>
            </w:r>
          </w:p>
        </w:tc>
      </w:tr>
      <w:tr w:rsidR="00951703" w:rsidRPr="00951703" w14:paraId="00089D2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D0CF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A6AB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Утврђивање састава производа спроводи се у складу са чл. 29 - 32. овог правилника. Стехиометријски коефицијенти наведени у Прилогу 5, Одељак 2, Табела 3 овог правилника користе се за конверзију података о саставу у емисионе факторе под претпоставком да сви релевантни метални оксиди потичу од предметних карбоната, по потреби.</w:t>
            </w:r>
          </w:p>
        </w:tc>
      </w:tr>
    </w:tbl>
    <w:p w14:paraId="6582760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Изузетно од Одељка 1. овог прилога, за чишћење димних гасова примењује се следећи ниво за емисиони фактор:</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88"/>
        <w:gridCol w:w="17984"/>
      </w:tblGrid>
      <w:tr w:rsidR="00951703" w:rsidRPr="00951703" w14:paraId="108E953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F6CA9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C758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стехиометријски коефицијент за CаCО</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из Одељка 2. Прилога 5. овог правилника.</w:t>
            </w:r>
          </w:p>
        </w:tc>
      </w:tr>
    </w:tbl>
    <w:p w14:paraId="48FEEA7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чишћење не користи се ниједан други ниво ни фактор конверзије. Избегава се двоструко рачунање из коришћеног кречњака рециклираног као сировина у истом постројењу.</w:t>
      </w:r>
    </w:p>
    <w:p w14:paraId="7674E93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производа од гипса и гипс-картон плоча</w:t>
      </w:r>
    </w:p>
    <w:p w14:paraId="7E248A1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5AD3B3A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свих врста активности сагоревања.</w:t>
      </w:r>
    </w:p>
    <w:p w14:paraId="06A1142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6C8DB10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сагоревања врши се у складу са Одељком 1. овог прилога</w:t>
      </w:r>
      <w:r w:rsidRPr="00B34F09">
        <w:rPr>
          <w:rFonts w:ascii="Arial" w:eastAsia="Times New Roman" w:hAnsi="Arial" w:cs="Arial"/>
          <w:b/>
          <w:bCs/>
          <w:noProof w:val="0"/>
          <w:color w:val="000000"/>
          <w:sz w:val="20"/>
          <w:szCs w:val="20"/>
          <w:lang w:val="en-US"/>
        </w:rPr>
        <w:t>.</w:t>
      </w:r>
    </w:p>
    <w:p w14:paraId="12CDCD4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14.</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целулозе и папира</w:t>
      </w:r>
    </w:p>
    <w:p w14:paraId="7C493EB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20F7BA1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котлове, гасне турбине и друге уређаје са сагоревањем који производе пару или енергију, котлове за поновно искоришћење и друге уређаје у којима сагоревају отпадне течности из поступка прављења целулозе, пећи за сагоревање, пећи за креч и пећи за калцинисање, чишћење отпадног гаса и сушачи који раде на гориво (као нпр. инфрацрвени сушачи).</w:t>
      </w:r>
    </w:p>
    <w:p w14:paraId="5AABB6E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0893FFD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сагоревања укључујући чишћење димног гаса врши се у складу са Одељком 1. овог прилога.</w:t>
      </w:r>
    </w:p>
    <w:p w14:paraId="30CA27E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производних процеса са сировинама које су коришћене као додатне хемикалије, укључујући макар кречњак или натријум карбонат, вршиће се помоћу методе А у складу са Одељком 4. Прилога 2. овог правилника. За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емитује из процеса поновног искоришћења кречњачког муља у производњи целулозе сматра се да је то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рециклиране биомасе. Само се за количину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је пропорционална количини додатних хемикалија које улазе у процес сматра да даје емисије фосилног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566AACF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емисије из додатних хемикалија важе следеће дефиниције нивоа за емисиони фактор:</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5"/>
        <w:gridCol w:w="18697"/>
      </w:tblGrid>
      <w:tr w:rsidR="00951703" w:rsidRPr="00951703" w14:paraId="117019D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7AD2A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F036B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Користе се стехиометријски коефицијенти из Одељка 2. Прилога 5. овог правилника. Чистоћа релевантних улазних материјала одређује се помоћу најбоље индустријске праксе. Изведене вредности коригују се у складу са садржајем влаге и јаловине у примењеним карбонатним материјалима.</w:t>
            </w:r>
          </w:p>
        </w:tc>
      </w:tr>
      <w:tr w:rsidR="00951703" w:rsidRPr="00951703" w14:paraId="522A71F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9B532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D0B13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Утврђивање количине релевантних карбоната у сваком релевантном улазном материјалу спроводи се у складу са чл. 29–32. овог правилника. Стехиометријски коефицијенти наведени у Одељку 2. Прилога 5 овог правилника користе се за конверзију података о саставу у емисионе факторе, по потреби.</w:t>
            </w:r>
          </w:p>
        </w:tc>
      </w:tr>
    </w:tbl>
    <w:p w14:paraId="416361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фактор конверзије примењује се само ниво 1.</w:t>
      </w:r>
    </w:p>
    <w:p w14:paraId="1C91281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15.</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индустријске чађи</w:t>
      </w:r>
    </w:p>
    <w:p w14:paraId="07BCE28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744B813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сва горива за сагоревање и сва горива која се користе као процесни материјал као изворе за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0FA977A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735FCC3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Мониторинг емисија из производње индустријске чађи мониторинг врши се или као да је у питању процес сагоревања, укључујући чишћење димног гаса, у складу са Одељком 1. овог прилога или помоћу методологије биланса масе у складу са чланом 22. и Одељком 3. Прилога 2. овог правилника.</w:t>
      </w:r>
    </w:p>
    <w:p w14:paraId="3D2AE4B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16.</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Одређивање емисија азотсубоксида (N</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О) из производње азотне киселине, адипинске киселине, капролактама, глиоксала и глиоксилне киселине</w:t>
      </w:r>
    </w:p>
    <w:p w14:paraId="31957FA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4F4DDE9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за сваку активност из које произлазе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узима у обзир све изворе који емитују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производних процеса, укључујући и случајеве када се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производње каналишу кроз опрему за смањење. Ово обухвата било који од следећих процеса:</w:t>
      </w:r>
    </w:p>
    <w:p w14:paraId="7961FD6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производња азотне киселине –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каталитичке оксидације амонијака и/или из јединица за смањење NОx/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w:t>
      </w:r>
    </w:p>
    <w:p w14:paraId="3F44615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производња адипинске киселине –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укључујући из реакције оксидације, сваку директну процесну вентилацију и/или сваку опрему за контролу емисија;</w:t>
      </w:r>
    </w:p>
    <w:p w14:paraId="3D57348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производња глиоксала и глиоксилне киселине –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укључујући емисије из процесних реакција, сваку директну процесну вентилацију и/или сваку опрему за контролу емисија;</w:t>
      </w:r>
    </w:p>
    <w:p w14:paraId="5586E46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 производња капролактама –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укључујући емисије из процесних реакција, сваку директну процесну вентилацију и/или сваку опрему за контролу емисија.</w:t>
      </w:r>
    </w:p>
    <w:p w14:paraId="32F60B1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Ове одредбе не важе за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сагоревања горива.</w:t>
      </w:r>
    </w:p>
    <w:p w14:paraId="2413E42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Утврђивање емисија N</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О</w:t>
      </w:r>
    </w:p>
    <w:p w14:paraId="2A2520A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Б.1. Годишње емисије N</w:t>
      </w:r>
      <w:r w:rsidRPr="00B34F09">
        <w:rPr>
          <w:rFonts w:ascii="Arial" w:eastAsia="Times New Roman" w:hAnsi="Arial" w:cs="Arial"/>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О</w:t>
      </w:r>
    </w:p>
    <w:p w14:paraId="6D62C17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врши мониторинг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производње азотне киселине користећи континуирано мерење емисија. Оператер врши мониторинг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производње адипинске киселине, капролактама, глиоксала и глиоксилне киселине користећи методологију засновану на мерењу за смањене емисије и методу засновану на рачунању (на основу методологије биланса масе) за привремене појаве несмањених емисија.</w:t>
      </w:r>
    </w:p>
    <w:p w14:paraId="00A4FCC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За сваки извор емисије где се примењује континуирано мерење емисија, оператер укупне годишње емисије сматра збиром свих једночасовних емисија користећи формулу дату у Одељку 3. Прилога 7 овог правилника.</w:t>
      </w:r>
    </w:p>
    <w:p w14:paraId="54820C3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 Једночасовне емисије N</w:t>
      </w:r>
      <w:r w:rsidRPr="00B34F09">
        <w:rPr>
          <w:rFonts w:ascii="Arial" w:eastAsia="Times New Roman" w:hAnsi="Arial" w:cs="Arial"/>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О</w:t>
      </w:r>
    </w:p>
    <w:p w14:paraId="1C1BCDD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рачуна годишње просечне једночасовне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за сваки извор на који се примењује континуирано мерење емисије користећи формулу дату у Одељку 3. Прилога 7 овог правилника.</w:t>
      </w:r>
    </w:p>
    <w:p w14:paraId="71B3611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једночасовне концентрације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димном гасу из сваког извора емисије користећи методологију засновану на мерењу на репрезентативном месту, након коришћења опреме за смањење NОx/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ако се врши смањење. Оператер примењује технике којима може да мери концентрације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свих извора емисије и у условима смањења и без смањења. Ако се појаве несигурности у таквим периодима оператер их узима у обзир у процени несигурности.</w:t>
      </w:r>
    </w:p>
    <w:p w14:paraId="09A119A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према потреби, коригује сва мерења на основу сувог гаса и о њима доследно извештава.</w:t>
      </w:r>
    </w:p>
    <w:p w14:paraId="04621B9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Б.3. Одређивање протока димног гаса</w:t>
      </w:r>
    </w:p>
    <w:p w14:paraId="42C88C3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користи методе за мониторинг протока димног гаса из члана 40. став 9. овог правилника за мерење тока димног гаса за мониторинг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За производњу азотне киселине оператер примењује методу у складу са чланом 40. став 9. тачка 1) овог правилника, осим када то технички није изводљиво. У том случају и по добијању дозволе надлежног органа, оператер примењује алтернативну методу, укључујући методологију биланса масе засновану на значајним параметрима као што су количина улазног амонијака или утврђивање тока континуираним мерењем тока емисија.</w:t>
      </w:r>
    </w:p>
    <w:p w14:paraId="22B76A6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Проток димног гаса се израчунава користећи следећу формулу:</w:t>
      </w:r>
    </w:p>
    <w:p w14:paraId="7179BE2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проток димног гаса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 = Vair * (1 – 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ваздух)/(1 – 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димни гас)</w:t>
      </w:r>
    </w:p>
    <w:p w14:paraId="66806B4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је:</w:t>
      </w:r>
    </w:p>
    <w:p w14:paraId="67A07AE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Vair= Укупни улазни проток ваздуха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 у стандардним условима;</w:t>
      </w:r>
    </w:p>
    <w:p w14:paraId="1297D04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ваздух= Запремински удео 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сувом ваздуху [= 0,2095];</w:t>
      </w:r>
    </w:p>
    <w:p w14:paraId="651DFD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димни гас= Запремински удео 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димном гасу.</w:t>
      </w:r>
    </w:p>
    <w:p w14:paraId="4AA22CA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Vair</w:t>
      </w:r>
      <w:r w:rsidRPr="00951703">
        <w:rPr>
          <w:rFonts w:ascii="Arial" w:eastAsia="Times New Roman" w:hAnsi="Arial" w:cs="Arial"/>
          <w:noProof w:val="0"/>
          <w:color w:val="000000"/>
          <w:sz w:val="20"/>
          <w:szCs w:val="20"/>
          <w:lang w:val="en-US"/>
        </w:rPr>
        <w:t> се рачуна као збир свих протока ваздуха који улазе у јединицу за производњу азотне киселине.</w:t>
      </w:r>
    </w:p>
    <w:p w14:paraId="4A98FE0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примењује следећу формулу, осим ако није другачије утврђено у његовом плану мониторинга:</w:t>
      </w:r>
    </w:p>
    <w:p w14:paraId="6A56452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Vair = Vprim + Vsec + Vseal</w:t>
      </w:r>
    </w:p>
    <w:p w14:paraId="0AA8F27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je:</w:t>
      </w:r>
    </w:p>
    <w:p w14:paraId="0E6AA9A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Vprim= примарни улазни проток ваздуха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 у стандардним условима;</w:t>
      </w:r>
    </w:p>
    <w:p w14:paraId="2CFA5CA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Vsec= секундарни улазни проток ваздуха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 у стандардним условима;</w:t>
      </w:r>
    </w:p>
    <w:p w14:paraId="1BC06FD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Vseal= заптивени улатни проток ваздуха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 у стандардним условима.</w:t>
      </w:r>
    </w:p>
    <w:p w14:paraId="408F85C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одређује Vprim континуираним мерењем протока пре мешања са амонијаком. Оператер одређује Vsec континуираним мерењем протока укључујући случај када се мерење врши пре јединице за поновно искоришћење топлоте. За Vseal оператер узима у обзир пречишћени проток ваздуха у оквиру процеса производње азотне киселине.</w:t>
      </w:r>
    </w:p>
    <w:p w14:paraId="5D0B70F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улазне токове ваздуха који чине кумулативно мање од 2,5 % укупног протока ваздуха, надлежни орган може да прихвати методе процене за утврђивање брзине протока тог ваздуха које предлаже оператер на основу индустријских најбољих пракси.</w:t>
      </w:r>
    </w:p>
    <w:p w14:paraId="1AF8A4F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доказује мерењима у уобичајеним радним условима да је измерени проток димног гаса довољно хомоген да омогући предложену методу мерења. Ако се овим мерењима потврди нехомогеност протока, оператер узима то у обзир када утврђује одговарајуће методе мониторинга и када рачуна несигурност у емисијама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w:t>
      </w:r>
    </w:p>
    <w:p w14:paraId="4FDE7D2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подешава сва мерења на основу сувог гаса и о њима доследно извештава.</w:t>
      </w:r>
    </w:p>
    <w:p w14:paraId="257391E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Б.4. Концентрације кисеоника (O</w:t>
      </w:r>
      <w:r w:rsidRPr="00B34F09">
        <w:rPr>
          <w:rFonts w:ascii="Arial" w:eastAsia="Times New Roman" w:hAnsi="Arial" w:cs="Arial"/>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w:t>
      </w:r>
    </w:p>
    <w:p w14:paraId="5DB09A1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мери концентрације кисеоника у димном гасу ако је то неопходно за прорачун протока димног гаса у складу са пододељком Б.3. овог одељка. У ту сврху оператер испуњава захтеве за мерење концентрације из члана 38. овог правилника. При утврђивању несигурности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оператер узима у обзир несигурност мерења концентрације 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5B13478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подешава сва мерења на основу сувог гаса и о њима доследно извештава.</w:t>
      </w:r>
    </w:p>
    <w:p w14:paraId="0DABFF9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Б.5. Прорачун емисија N</w:t>
      </w:r>
      <w:r w:rsidRPr="00B34F09">
        <w:rPr>
          <w:rFonts w:ascii="Arial" w:eastAsia="Times New Roman" w:hAnsi="Arial" w:cs="Arial"/>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О</w:t>
      </w:r>
    </w:p>
    <w:p w14:paraId="1A789C1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одређене периоде несмањених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производње адипинске киселине, капролактама, глиоксала и глиоксилне киселине, укључујући несмањене емисије из вентилације из безбедносних разлога и када не успе план смањења емисија, као и ако континуирано мерење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није технички изводљиво, оператер, ако од надлежног органа добије дозволу за конкретну методологију, израчунава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користећи методологију биланса масе. У ову сврху свеукупна несигурност биће слична резултату примене захтева нивоа из члана 38. овог правилника. Оператер заснива методу рачунања на максималној потенцијалној стопи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из хемијске реакције до које долази у то време и на периоду емисије.</w:t>
      </w:r>
    </w:p>
    <w:p w14:paraId="2008271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узима у обзир несигурност у свим израчунатим емисијама за специфичан извор емисије при утврђивању годишње просечне једночасовне несигурности за извор емисије.</w:t>
      </w:r>
    </w:p>
    <w:p w14:paraId="73CFB0C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Б.6. Утврђивање производних стопа активности</w:t>
      </w:r>
    </w:p>
    <w:p w14:paraId="01BDE14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Производне стопе рачунају се користећи дневне извештаје о производњи и часовима рада.</w:t>
      </w:r>
    </w:p>
    <w:p w14:paraId="6C78BE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Б.7. Учесталост узорковања</w:t>
      </w:r>
    </w:p>
    <w:p w14:paraId="6F3CC66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Важећи једночасовни просеци или просеци за краће референтне периоде рачунају се у складу са чланом 41. овог правилника за:</w:t>
      </w:r>
    </w:p>
    <w:p w14:paraId="0993EE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концентрацију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О у димном гасу;</w:t>
      </w:r>
    </w:p>
    <w:p w14:paraId="0B28EEB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2) укупни проток димног гаса када се мери непосредно и ако је то потребно;</w:t>
      </w:r>
    </w:p>
    <w:p w14:paraId="3C59A80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све токове гаса и концентрације кисеоника који су неопходни да се индиректно утврди укупни ток гаса.</w:t>
      </w:r>
    </w:p>
    <w:p w14:paraId="5691244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В. Утврђивање годишњег еквивалента CO</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 CO</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(e)</w:t>
      </w:r>
    </w:p>
    <w:p w14:paraId="1929E06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конвертује укупне годишње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 из свих извора емисије, мерено у тонама на три децимална места, у годишњи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у заокруженим тонама, користећи следећу формулу и вредности потенцијала глобалног загревања (GWP) из Одељка 3. Прилога 5. овог правилника:</w:t>
      </w:r>
    </w:p>
    <w:p w14:paraId="7691DD9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[t] =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 годишње [t] x* GWPN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p>
    <w:p w14:paraId="54EF3A2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је:</w:t>
      </w:r>
    </w:p>
    <w:p w14:paraId="7896E8D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r w:rsidRPr="00B34F09">
        <w:rPr>
          <w:rFonts w:ascii="Arial" w:eastAsia="Times New Roman" w:hAnsi="Arial" w:cs="Arial"/>
          <w:noProof w:val="0"/>
          <w:color w:val="000000"/>
          <w:sz w:val="20"/>
          <w:szCs w:val="20"/>
          <w:vertAlign w:val="subscript"/>
          <w:lang w:val="en-US"/>
        </w:rPr>
        <w:t>годишњe </w:t>
      </w:r>
      <w:r w:rsidRPr="00951703">
        <w:rPr>
          <w:rFonts w:ascii="Arial" w:eastAsia="Times New Roman" w:hAnsi="Arial" w:cs="Arial"/>
          <w:noProof w:val="0"/>
          <w:color w:val="000000"/>
          <w:sz w:val="20"/>
          <w:szCs w:val="20"/>
          <w:lang w:val="en-US"/>
        </w:rPr>
        <w:t>= укупне годишње емисије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 прорачунате у складу са формулом 1 која је дата у Одељку 3. Прилога 7. овог правилника.</w:t>
      </w:r>
    </w:p>
    <w:p w14:paraId="507092C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Укупни годишњи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који генеришу сви извори емисија и све директне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других извора обухваћених у дозволи за GHG додају се укупним годишњим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које генерише постројење и користе се за извештавање и враћање емисионих јединица.</w:t>
      </w:r>
    </w:p>
    <w:p w14:paraId="09BB6E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 укупним годишњим емисијама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 извештава се у тонама са три децимална места и као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(e) у заокруженим тонама.</w:t>
      </w:r>
    </w:p>
    <w:p w14:paraId="7696832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17.</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амонијака</w:t>
      </w:r>
    </w:p>
    <w:p w14:paraId="0731DFA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1F5E194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сагоревање горива ради стварања топлоте за преобликовање или парцијалну оксидацију, горива која се користе као улазни материјал у процесу производње амонијака (преобликовање или парцијална оксидација), горива која се користе за друге процесе сагоревања ради производње вруће воде или паре.</w:t>
      </w:r>
    </w:p>
    <w:p w14:paraId="77FDA70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58FE257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процеса сагоревања и из горива који се користе као улазни материјали у процесу примењује се стандардна методологија у складу са чланом 21. и Одељком 1. овог прилога.</w:t>
      </w:r>
    </w:p>
    <w:p w14:paraId="28EF2EC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производње амонијака користи као сировина за производњу уреје или других хемикалија или се преноси из постројења за било коју употребу која није обухваћена чланом 46. став 1. овог правилника, конкретна количина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узима се у обзир у количини у којој је емитована из постројења које производи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7AE344A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18.</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расутих органских хемикалија</w:t>
      </w:r>
    </w:p>
    <w:p w14:paraId="7BCD1D1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06E11F1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крековање (каталичко и некаталитичко), преобликовање, парцијалну или потпуну оксидацију, сличне процесе који воде до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угљеника садржаног у сировини на бази угљоводоника, сагоревање отпадних гасова и спаљивање гаса бакљама и спаљивање горива у осталим процесима сагоревања.</w:t>
      </w:r>
    </w:p>
    <w:p w14:paraId="0573AB2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417A98B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производња расутих органских хемикалија технички интегрисана у рафинерију минералног уља, оператер те инсталације примењује одговарајуће одредбе Одељка 2. овог прилога. Изузетно, оператер врши мониторинг емисија из процеса сагоревања ако коришћена горива нису део или потичу из хемијских реакција за производњу расутих органских хемикалија помоћу стандардне методологије у складу са чланом 21. овог правилника и Одељком 1. овог прилога. У свим другим случајевима, оператер може да изабере да врши мониторинг емисија из производње расутих органских хемикалија помоћу методологије биланса масе у складу са чланом 22. овог правилника или стандардне методологије у складу са чланом 21. овог правилника. Ако користи стандардну методологију оператер доказује Агенцији да изабрана методологија обухвата све релевантне емисије које би биле обухваћене и методологијом биланса масе.</w:t>
      </w:r>
    </w:p>
    <w:p w14:paraId="174092B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утврђивање садржаја угљеника по нивоу 1 примењују се референтни емисиони фактори из Табеле 5. Прилога 5. овог правилника. За супстанце које нису наведене у Табели 5. Прилога 5. или другим одредбама овог правилника, оператер рачуна садржај угљеника из стехиометријског садржаја угљеника у чистој супстанци и концентрацији супстанце у улазном или излазном току.</w:t>
      </w:r>
    </w:p>
    <w:p w14:paraId="234A7810"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19.</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водоника и синтетског гаса</w:t>
      </w:r>
    </w:p>
    <w:p w14:paraId="7AECCD0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6981C5B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укључује најмање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горива која се користе у процесу производње водоника или синтетског гаса (обликовање или парцијална оксидација) и горива која се користе за друге процесе сагоревања укључујући у сврху производње вруће воде или паре. Произведени синтетски гас обухвата се као ток извора по методологији биланса масе.</w:t>
      </w:r>
    </w:p>
    <w:p w14:paraId="328A6D8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03986D1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процеса сагоревања и из горива која се користе као улазни материјал у процесу производње водоника користи се стандардна методологија у складу са чланом 21. овог правилника и Одељком 1. овог прилога.</w:t>
      </w:r>
    </w:p>
    <w:p w14:paraId="099D18A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производње синтетског гаса користи се биланс масе у складу са чланом 22. овог правилника. За емисије из одвојених процеса сагоревања оператер може да бира да их укључи у биланс масе или да користи стандардну методологију у складу са чланом 21. овог правилника најмање за један део токова извора, избегавајући изостављање или двоструко рачунање емисија.</w:t>
      </w:r>
    </w:p>
    <w:p w14:paraId="6AC721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Ако се водоник и синтетски гас производе у истом постројењу оператер рачуна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користећи или одвојене методологије за водоник и за синтетски гас као што је наведено или користећи један заједнички биланс масе.</w:t>
      </w:r>
    </w:p>
    <w:p w14:paraId="746C319E"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20.</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Производња натријум карбоната и натријум бикарбоната</w:t>
      </w:r>
    </w:p>
    <w:p w14:paraId="75B87C1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417DB5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Извори емисија и токови извора за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постројења за производњу натријум карбоната и натријум бикарбоната обухватају:</w:t>
      </w:r>
    </w:p>
    <w:p w14:paraId="0E99A78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горива која се користе за процесе сагоревања, укључујући горива која се користе у циљу производње вруће воде или паре;</w:t>
      </w:r>
    </w:p>
    <w:p w14:paraId="37BD7E6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сировине, укључујући издувни гас из процеса калцинисања кречњака, у мери у којој се не користи за карбонизацију;</w:t>
      </w:r>
    </w:p>
    <w:p w14:paraId="7BA7E9E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отпадне гасове од прања или филтрирања након карбонизације, у мери у којој се не користе за карбонизацију.</w:t>
      </w:r>
    </w:p>
    <w:p w14:paraId="73C4EF4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Специфична правила мониторинга</w:t>
      </w:r>
    </w:p>
    <w:p w14:paraId="651C3EA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За мониторинг емисија из производње натријум карбоната и натријум бикарбоната оператер користи биланс масе у складу са чланом 22. овог правилника. За емисије из процеса сагоревања оператер може да изабере да их обухвати у билансу масе или да користи стандардну методологију у складу са чланом 21. овог правилника за најмање један део токова извора, избегавајући свако изостављање или двоструко рачунање емисија.</w:t>
      </w:r>
    </w:p>
    <w:p w14:paraId="079C47A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се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производње натријум карбоната користи за производњу натријум бикарбоната за количину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користи за производњу натријум бикарбоната од натријум карбоната сматра се да је емитована из постројења које производи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1175102F"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Одређивање емисија GHG услед хватања CО</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 за транспорт и геолошко складиштење на локацији за складиштење за коју је издата дозвола на основу прописа којим се уређује хватање и складиштење угљеника</w:t>
      </w:r>
    </w:p>
    <w:p w14:paraId="52FA97F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72A5B89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Хватање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може да се спроведе у наменском постројењу за хватање које прима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преносом из једне или више других постројења или у истом постројењу које обавља активности у којима се производи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хвата на основу исте GHG дозволе. Сви делови постројења који су повезани с хватањем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међускладиштењем и преносом у мрежу за превоз CО</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односно до локације за геолошко складиштење емисија GHG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морају бити обухваћени GHG дозволом и узети у обзир у плану мониторинга који је њен саставни део. У случају да постројење обавља друге делатности обухваћене прописом о делатностима у складу са законом којим се уређују климатске промене, емисије из тих делатности прате се у складу са одговарајућим одељцима овог прилога.</w:t>
      </w:r>
    </w:p>
    <w:p w14:paraId="5AA7B0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активности за хватање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укључује барем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6E36A5F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преноси у постројење за хватање;</w:t>
      </w:r>
    </w:p>
    <w:p w14:paraId="418A4B2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сагоревање и друге повезане активности у постројењу у вези са активношћу хватања, укључујући коришћење горива и улазног материјала.</w:t>
      </w:r>
    </w:p>
    <w:p w14:paraId="7172D1CA"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Квантификовање пренесених и испуштених количина</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CO</w:t>
      </w:r>
      <w:r w:rsidRPr="00B34F09">
        <w:rPr>
          <w:rFonts w:ascii="Arial" w:eastAsia="Times New Roman" w:hAnsi="Arial" w:cs="Arial"/>
          <w:b/>
          <w:bCs/>
          <w:noProof w:val="0"/>
          <w:color w:val="000000"/>
          <w:sz w:val="20"/>
          <w:szCs w:val="20"/>
          <w:vertAlign w:val="subscript"/>
          <w:lang w:val="en-US"/>
        </w:rPr>
        <w:t>2 </w:t>
      </w:r>
      <w:r w:rsidRPr="00B34F09">
        <w:rPr>
          <w:rFonts w:ascii="Arial" w:eastAsia="Times New Roman" w:hAnsi="Arial" w:cs="Arial"/>
          <w:b/>
          <w:bCs/>
          <w:noProof w:val="0"/>
          <w:color w:val="000000"/>
          <w:sz w:val="20"/>
          <w:szCs w:val="20"/>
          <w:lang w:val="en-US"/>
        </w:rPr>
        <w:t>&lt;0}</w:t>
      </w:r>
    </w:p>
    <w:p w14:paraId="5CE7276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Б.1. Квантификовање на нивоу постројења</w:t>
      </w:r>
    </w:p>
    <w:p w14:paraId="2AE0299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рачуна емисије узимајући у обзир потенцијалне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свих релевантних процеса у којима настају емисије у постројењу, као и количину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хвата и преноси у превозну мрежу, користећи следећу формулу:</w:t>
      </w:r>
    </w:p>
    <w:p w14:paraId="74A820A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 постројење за хватање = T улаз + E без хватања – T за складиштење</w:t>
      </w:r>
    </w:p>
    <w:p w14:paraId="70FA8E1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je:</w:t>
      </w:r>
    </w:p>
    <w:p w14:paraId="572A3BA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 постројење за хватање = укупне емисије GHG постројења за хватање;</w:t>
      </w:r>
    </w:p>
    <w:p w14:paraId="0A3F8F8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улаз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пренесена у постројење за хватање, одређена у складу са чл. 37 – 43. и чланом 46. овог правилника.</w:t>
      </w:r>
    </w:p>
    <w:p w14:paraId="4370D17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 без хватања = емисије из постројења под претпоставком да се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не хвата, што значи збир емисија из свих других активности постројења, за која се врши мониторинг у складу са одговарајућим одељцима Прилога 3. овог правилника;</w:t>
      </w:r>
    </w:p>
    <w:p w14:paraId="5A20329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за складиштење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пренесена у превозну мрежу односно на локацију за складиштење, утврђена у складу са чл. 37–43. и чланом 46. овог правилника.</w:t>
      </w:r>
    </w:p>
    <w:p w14:paraId="2040E64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случајевима кад се хватање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спроводи у истом постројењу која емитује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оператер за Т улаз узима вредност нула.</w:t>
      </w:r>
    </w:p>
    <w:p w14:paraId="74CFFAF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случајевима чистих постројења за хватање, оператер за Е без хватања узима количину емисија из извора различитих од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преноси у постројење за хватање. Оператер одређује те емисије у складу са овим правилником.</w:t>
      </w:r>
    </w:p>
    <w:p w14:paraId="69DB3A7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случају чистих постројења за хватање, оператер постројења која преноси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постројење за хватање одузеће износ Т улаз од емисија властитог постројења у складу са чланом 46. овог правилника.</w:t>
      </w:r>
    </w:p>
    <w:p w14:paraId="1A5E6FD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количину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преноси из постројења за хватање и у постројење за хватање у складу с чланом 46. овог правилника користећи методологије мерења које се изводе у складу сa чл. 37–43. овог правилника.</w:t>
      </w:r>
    </w:p>
    <w:p w14:paraId="33F5AD6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Ако оператер постројења која преноси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постројење за хватање на задовољавајући начин докаже надлежном органу да 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пренесен у постројење за хватање у потпуности и с барем еквивалентном тачношћу, надлежни орган може дозволити оператеру да користи методологију на основу прорачуна у складу са чл. 21. или 22. овог правилника за утврђивање износа Т улаз уместо методологије на основу мерења у складу са чл. 37–43. и чланом 46. овог правилника.</w:t>
      </w:r>
    </w:p>
    <w:p w14:paraId="730A0C8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Одређивање емисија гасова транспортованог CО</w:t>
      </w:r>
      <w:r w:rsidRPr="00B34F09">
        <w:rPr>
          <w:rFonts w:ascii="Arial" w:eastAsia="Times New Roman" w:hAnsi="Arial" w:cs="Arial"/>
          <w:b/>
          <w:bCs/>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 цевоводом ради геолошког складиштења на локацију за складиштење за коју је издата дозвола на основу прописа којим се уређује хватање и складиштење угљеника</w:t>
      </w:r>
    </w:p>
    <w:p w14:paraId="638F752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А. Област примене</w:t>
      </w:r>
    </w:p>
    <w:p w14:paraId="118E386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Границе за мониторинг и извештавање о емисијама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транспортованог цевоводом утврђене су у емисионој дозволи транспортне мреже која обухвата све помоћне погоне који су функционално повезани с превозном мрежом, укључујући компресорске станице и грејање. Свака транспортна мрежа има најмање једну почетну тачку и једну крајњу тачку, од којих је свака повезана с другим постројењима која спроводе барем једну од активности: хватања, транспорта или геолошког складиштења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Почетна и крајња тачка могу да обухвате бифуркације транспортне мреже и националне границе. Почетна и крајња тачка и постројења с којима су спојене утврђене су у емисионој дозволи.</w:t>
      </w:r>
    </w:p>
    <w:p w14:paraId="18169C1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разматра барем следеће потенцијалне изворе емисија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сагоревање и други процесе у постројењима која су функционално повезана с превозном мрежом, укључујући компресорске станице, фугитивне емисије из транспортне мреже; испуштене емисије из транспортне мреже; и емисије због пропуштања у транспортној мрежи.</w:t>
      </w:r>
    </w:p>
    <w:p w14:paraId="366EDB9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Методологије квантификације CO</w:t>
      </w:r>
      <w:r w:rsidRPr="00B34F09">
        <w:rPr>
          <w:rFonts w:ascii="Arial" w:eastAsia="Times New Roman" w:hAnsi="Arial" w:cs="Arial"/>
          <w:b/>
          <w:bCs/>
          <w:noProof w:val="0"/>
          <w:color w:val="000000"/>
          <w:sz w:val="20"/>
          <w:szCs w:val="20"/>
          <w:vertAlign w:val="subscript"/>
          <w:lang w:val="en-US"/>
        </w:rPr>
        <w:t>2</w:t>
      </w:r>
    </w:p>
    <w:p w14:paraId="55EA593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транспортне мреже одређује емисије користећи једну од следећих метода:</w:t>
      </w:r>
    </w:p>
    <w:p w14:paraId="1A6E53E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метода А (укупан биланс масе свих улазних и излазних токова) утврђена у пододељку Б.1. овог прилога;</w:t>
      </w:r>
    </w:p>
    <w:p w14:paraId="1595771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метода Б (засебан мониторинг извора емисија) утврђена у пододељку Б.2. овог прилога.</w:t>
      </w:r>
    </w:p>
    <w:p w14:paraId="2207AE9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Кад бира методе А или методе Б оператер на задовољавајући начин доказује надлежном органу да ће изабраном методологијом добити поузданије резултате уз мању несигурност укупних емисија, уз примену најбоље расположиве технологије и знања у тренутку подношења захтева за издавање емисионе дозволе и одобрење мониторинг плана, и да при томе неће настати неоправдано високи трошкови. Ако је изабрана метода Б оператер на задовољавајући начин доказује надлежном органу да укупна годишња несигурност емисија GHG оператерове транспортне мреже не прелази 7,5%.</w:t>
      </w:r>
    </w:p>
    <w:p w14:paraId="1BC09D0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транспортне мреже који користи методу Б не додаје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примљн из другог постројења на основу дозволе за емисију гасова, нити од свог прорачунатог нивоа емисија одузима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преноси у друго постројење на основу дозволе за емисију гасова.</w:t>
      </w:r>
    </w:p>
    <w:p w14:paraId="47552A2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транспортне мреже користи методу А за проверу резултата методе Б барем једном годишње. У сврху те провере оператер може да користи ниже нивое за примену методе А.</w:t>
      </w:r>
    </w:p>
    <w:p w14:paraId="293DEEE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Б.1. Метода A</w:t>
      </w:r>
    </w:p>
    <w:p w14:paraId="4802251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емисије у складу са следећом формулом:</w:t>
      </w:r>
    </w:p>
    <w:p w14:paraId="155617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596900E2" wp14:editId="2C53B0E6">
            <wp:extent cx="5057775" cy="619125"/>
            <wp:effectExtent l="0" t="0" r="9525" b="9525"/>
            <wp:docPr id="4" name="Picture 4" descr="https://www.pravno-informacioni-sistem.rs/SlGlasnikPortal/slike/Staklena-basta_Page_0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avno-informacioni-sistem.rs/SlGlasnikPortal/slike/Staklena-basta_Page_03.png&amp;doctype=reg&amp;abc=cba&amp;eli=true&amp;eliActId=436691&amp;regactid=4366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619125"/>
                    </a:xfrm>
                    <a:prstGeom prst="rect">
                      <a:avLst/>
                    </a:prstGeom>
                    <a:noFill/>
                    <a:ln>
                      <a:noFill/>
                    </a:ln>
                  </pic:spPr>
                </pic:pic>
              </a:graphicData>
            </a:graphic>
          </wp:inline>
        </w:drawing>
      </w:r>
    </w:p>
    <w:p w14:paraId="22CFBD0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су:</w:t>
      </w:r>
    </w:p>
    <w:p w14:paraId="1692716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 укупне емисије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из транспортне мреже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0B1481E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 властита делатност = емисије из властите делатности транспортне мреже, што значи емисије које не потичу од превезеног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укучујући емисије из горива коришћеног у компресорским станицама, које се прате у складу са одговарајућим одељцима Прилога 3. овог правилника;</w:t>
      </w:r>
    </w:p>
    <w:p w14:paraId="2CC8A22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w:t>
      </w:r>
      <w:r w:rsidRPr="00B34F09">
        <w:rPr>
          <w:rFonts w:ascii="Arial" w:eastAsia="Times New Roman" w:hAnsi="Arial" w:cs="Arial"/>
          <w:noProof w:val="0"/>
          <w:color w:val="000000"/>
          <w:sz w:val="20"/>
          <w:szCs w:val="20"/>
          <w:vertAlign w:val="subscript"/>
          <w:lang w:val="en-US"/>
        </w:rPr>
        <w:t>IN,i</w:t>
      </w:r>
      <w:r w:rsidRPr="00951703">
        <w:rPr>
          <w:rFonts w:ascii="Arial" w:eastAsia="Times New Roman" w:hAnsi="Arial" w:cs="Arial"/>
          <w:noProof w:val="0"/>
          <w:color w:val="000000"/>
          <w:sz w:val="20"/>
          <w:szCs w:val="20"/>
          <w:lang w:val="en-US"/>
        </w:rPr>
        <w:t>=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пренесена у превозну мрежу на улазној тачки i, утврђена у складу са чл.37. до 43. и чланом 46. овог правилника.</w:t>
      </w:r>
    </w:p>
    <w:p w14:paraId="2801C28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w:t>
      </w:r>
      <w:r w:rsidRPr="00B34F09">
        <w:rPr>
          <w:rFonts w:ascii="Arial" w:eastAsia="Times New Roman" w:hAnsi="Arial" w:cs="Arial"/>
          <w:noProof w:val="0"/>
          <w:color w:val="000000"/>
          <w:sz w:val="20"/>
          <w:szCs w:val="20"/>
          <w:vertAlign w:val="subscript"/>
          <w:lang w:val="en-US"/>
        </w:rPr>
        <w:t>OUT</w:t>
      </w:r>
      <w:r w:rsidRPr="00951703">
        <w:rPr>
          <w:rFonts w:ascii="Arial" w:eastAsia="Times New Roman" w:hAnsi="Arial" w:cs="Arial"/>
          <w:noProof w:val="0"/>
          <w:color w:val="000000"/>
          <w:sz w:val="20"/>
          <w:szCs w:val="20"/>
          <w:lang w:val="en-US"/>
        </w:rPr>
        <w:t>,i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пренесена из превозне мреже на излазној тачки i, утврђена у складу са чл. 37. до 43. и чланом 46. овог правилника.</w:t>
      </w:r>
    </w:p>
    <w:p w14:paraId="66919C3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 Метода Б</w:t>
      </w:r>
    </w:p>
    <w:p w14:paraId="7B2414D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емисије узимајући у обзир потенцијалне емисије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свих релевантних процеса у којима настају емисије у постројењу као и количину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је ухваћена и пренесена у превозну мрежу помоћу следеће формуле:</w:t>
      </w:r>
    </w:p>
    <w:p w14:paraId="32409B4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фугитивни +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испуштени +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пропуштања +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постројења</w:t>
      </w:r>
    </w:p>
    <w:p w14:paraId="7390DEF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су:</w:t>
      </w:r>
    </w:p>
    <w:p w14:paraId="17C64EB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 укупне емисије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из транспортне мреже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2DC7C50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фугитивни = количина фугитивних емисија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од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превози у транспортној мрежи, укључујући емисије из заптивки, вентила, средњих компресорских станица и објеката за међускладиштење;</w:t>
      </w:r>
    </w:p>
    <w:p w14:paraId="63DEC75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испуштени = количина испуштених емисија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од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превози у транспортној мрежи;</w:t>
      </w:r>
    </w:p>
    <w:p w14:paraId="7491D2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пропуштања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превози у транспортној мрежи и која се емитује као последица заказивања једне или више компоненти транспортне мреже;</w:t>
      </w:r>
    </w:p>
    <w:p w14:paraId="193CFC2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постројења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од сагоревања и других процеса који су функционално повезани са превозом цевоводом у транспортној мрежи и за коју се врши мониторинг у складу са одговарајућим одељцима Прилога 3 овог правилника.</w:t>
      </w:r>
    </w:p>
    <w:p w14:paraId="53A268D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Б.2.1. Фугитивне емисије из транспортне мреже</w:t>
      </w:r>
    </w:p>
    <w:p w14:paraId="189DDA6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узима у обзир фугитивне емисије из било које од следећих врста опреме:</w:t>
      </w:r>
    </w:p>
    <w:p w14:paraId="7AD14FE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заптивке;</w:t>
      </w:r>
    </w:p>
    <w:p w14:paraId="4AF3359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мерни инструменти;</w:t>
      </w:r>
    </w:p>
    <w:p w14:paraId="6F5CF36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вентили;</w:t>
      </w:r>
    </w:p>
    <w:p w14:paraId="5BF2535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 средње компресорске станице;</w:t>
      </w:r>
    </w:p>
    <w:p w14:paraId="7A740EF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 објекти за међускладиштење</w:t>
      </w:r>
    </w:p>
    <w:p w14:paraId="516E015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на почетку рада, а најкасније до краја прве године извештавања од почетка рада транспортне мреже, утврђује просечне емисионе факторе EF (изражено у g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//јединица времена) по комаду опреме по догађају ако се могу очекивати фугитивне емисије. Оператер те факторе преиспитује најмање сваких 5 година у светлу најбољих расположивих техника и знања.</w:t>
      </w:r>
    </w:p>
    <w:p w14:paraId="0435BBF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рачуна фугитивне емисије множењем броја комада опреме у свакој категорији емисионим фактором и сабирањем добијених резултата по категоријама, како је приказано у следећој једначини:</w:t>
      </w:r>
    </w:p>
    <w:p w14:paraId="1C790BB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21B63662" wp14:editId="6651045F">
            <wp:extent cx="5057775" cy="428625"/>
            <wp:effectExtent l="0" t="0" r="9525" b="9525"/>
            <wp:docPr id="3" name="Picture 3" descr="https://www.pravno-informacioni-sistem.rs/SlGlasnikPortal/slike/Staklena-basta_Page_0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ike/Staklena-basta_Page_04.png&amp;doctype=reg&amp;abc=cba&amp;eli=true&amp;eliActId=436691&amp;regactid=4366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428625"/>
                    </a:xfrm>
                    <a:prstGeom prst="rect">
                      <a:avLst/>
                    </a:prstGeom>
                    <a:noFill/>
                    <a:ln>
                      <a:noFill/>
                    </a:ln>
                  </pic:spPr>
                </pic:pic>
              </a:graphicData>
            </a:graphic>
          </wp:inline>
        </w:drawing>
      </w:r>
    </w:p>
    <w:p w14:paraId="6AC401B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догађаја је број комада дате опреме по категорији, помножен с бројем временских јединица годишње.</w:t>
      </w:r>
    </w:p>
    <w:p w14:paraId="7C81A75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Б.2.2. Емисије због цурења</w:t>
      </w:r>
    </w:p>
    <w:p w14:paraId="14FD656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транспортне мреже доказује целовитост мреже путем репрезентативних (просторних и временских) података о температури и притиску.Ако подаци указују на то да је дошло до цурења оператер прорачунава количину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је исцурела користећи прикладну методологију документовану у мониторинг плану, на основу смерница најбоље индустријске праксе, укључујући на основу разлика температуре и притиска у односу на просечне вредности притиска и температуре за целовиту мрежу.</w:t>
      </w:r>
    </w:p>
    <w:p w14:paraId="5827440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Б.2.3. Испуштене емисије</w:t>
      </w:r>
    </w:p>
    <w:p w14:paraId="7569C22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 мониторинг плану даје анализу могућих случајева емисија, укључујући и за потребе одржавања и ванредних стања, и наводи прикладну документовану методологију за прорачунавање испуштене количине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на основу смерница најбоље индустријске праксе.</w:t>
      </w:r>
    </w:p>
    <w:p w14:paraId="754ACE99"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Геолошко складиштење CO</w:t>
      </w:r>
      <w:r w:rsidRPr="00B34F09">
        <w:rPr>
          <w:rFonts w:ascii="Arial" w:eastAsia="Times New Roman" w:hAnsi="Arial" w:cs="Arial"/>
          <w:b/>
          <w:bCs/>
          <w:noProof w:val="0"/>
          <w:color w:val="000000"/>
          <w:sz w:val="20"/>
          <w:szCs w:val="20"/>
          <w:vertAlign w:val="subscript"/>
          <w:lang w:val="en-US"/>
        </w:rPr>
        <w:t>2 </w:t>
      </w:r>
      <w:r w:rsidRPr="00B34F09">
        <w:rPr>
          <w:rFonts w:ascii="Arial" w:eastAsia="Times New Roman" w:hAnsi="Arial" w:cs="Arial"/>
          <w:b/>
          <w:bCs/>
          <w:noProof w:val="0"/>
          <w:color w:val="000000"/>
          <w:sz w:val="20"/>
          <w:szCs w:val="20"/>
          <w:lang w:val="en-US"/>
        </w:rPr>
        <w:t>на локацијама за складиштење дозвољеним прописом којим се уређује хватање и складиштење угљеника</w:t>
      </w:r>
    </w:p>
    <w:p w14:paraId="51E4C1D6"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A. Област примене</w:t>
      </w:r>
    </w:p>
    <w:p w14:paraId="4FED0B2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Надлежни орган утврђује границе мониторинга и извештавања о емисијама из геолошког складиштења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на основу разграничења локације за складиштење и складишног комплекса, како је утврђено у дозволи издатој на основу прописа којим се уређује хватање и складиштење угљеника. Надлежни орган заснива границе мониторинга и извештавања о емисијама из геолошког складиштења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на разграничењу локације за складиштење и складишног комплекса, како је утврђено у дозволи на основу прописа којима се уређује хватање и складиштење угљеника. Ако се утврде пропуштања из складишног комплекса која доводе до емисија односно ослобађања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водени стуб, оператер без одлагања:</w:t>
      </w:r>
    </w:p>
    <w:p w14:paraId="53D0C96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обавештава надлежни орган;</w:t>
      </w:r>
    </w:p>
    <w:p w14:paraId="0BCB5B2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укључује пропуштање као извор емисије предметног постројења;</w:t>
      </w:r>
    </w:p>
    <w:p w14:paraId="1374756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врши мониторинг и извештава о емисијама.</w:t>
      </w:r>
    </w:p>
    <w:p w14:paraId="75C8DDE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брише конкретно испуштање као извор емисије из мониторинг плана и престаје да врши мониторинг и извештава о тим емисијама, тек након што предузме корективне мере у складу са прописом којим се уређује хватање и складиштење угљеника и након што се те емисије или ослобађање у водени стуб због тог пропуштања не могу више детектовати.</w:t>
      </w:r>
    </w:p>
    <w:p w14:paraId="35F535C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активности геолошког складиштења узима у обзир барем следеће потенцијалне изворе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коришћење горива у компресорским станицама и друге активности које укључују сагоревање, нпр. властите електране; испуштање из убризгавања и поступака поновног искоришћења угљоводоника; фугитивне емисије из убризгавања; CО</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који истиче код поступака поновног искоришћења угљоводоника; и цурења.</w:t>
      </w:r>
    </w:p>
    <w:p w14:paraId="1B1C740D"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Б. Квантификација емисија CO</w:t>
      </w:r>
      <w:r w:rsidRPr="00B34F09">
        <w:rPr>
          <w:rFonts w:ascii="Arial" w:eastAsia="Times New Roman" w:hAnsi="Arial" w:cs="Arial"/>
          <w:b/>
          <w:bCs/>
          <w:noProof w:val="0"/>
          <w:color w:val="000000"/>
          <w:sz w:val="20"/>
          <w:szCs w:val="20"/>
          <w:vertAlign w:val="subscript"/>
          <w:lang w:val="en-US"/>
        </w:rPr>
        <w:t>2</w:t>
      </w:r>
    </w:p>
    <w:p w14:paraId="2D9CD40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активности геолошког складиштења не додаје свом прорачунатом нивоу емисија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примљен из других постројења нити од свог прорачунатог нивоа емисија одузима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геолошки складиште на локацији за складиштење или који се преноси у друго постројење.</w:t>
      </w:r>
    </w:p>
    <w:p w14:paraId="747E674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Б.1 Испуштене емисије и фугитивне емисије из убризгавања</w:t>
      </w:r>
    </w:p>
    <w:p w14:paraId="304C259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испуштене емисије и фугитивне емисије на следећи начин:</w:t>
      </w:r>
    </w:p>
    <w:p w14:paraId="744B112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емитован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 V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 F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7EDE1CA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су:</w:t>
      </w:r>
    </w:p>
    <w:p w14:paraId="29FED71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 испуштена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308F4B4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 CO</w:t>
      </w:r>
      <w:r w:rsidRPr="00B34F09">
        <w:rPr>
          <w:rFonts w:ascii="Arial" w:eastAsia="Times New Roman" w:hAnsi="Arial" w:cs="Arial"/>
          <w:noProof w:val="0"/>
          <w:color w:val="000000"/>
          <w:sz w:val="20"/>
          <w:szCs w:val="20"/>
          <w:vertAlign w:val="subscript"/>
          <w:lang w:val="en-US"/>
        </w:rPr>
        <w:t>2 </w:t>
      </w:r>
      <w:r w:rsidRPr="00951703">
        <w:rPr>
          <w:rFonts w:ascii="Arial" w:eastAsia="Times New Roman" w:hAnsi="Arial" w:cs="Arial"/>
          <w:noProof w:val="0"/>
          <w:color w:val="000000"/>
          <w:sz w:val="20"/>
          <w:szCs w:val="20"/>
          <w:lang w:val="en-US"/>
        </w:rPr>
        <w:t>=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 фугитивних емисија.</w:t>
      </w:r>
    </w:p>
    <w:p w14:paraId="0447B12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V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xml:space="preserve"> користећи методологије на основу мерења у складу са чл. 38– 43. овог правилника. Одступајући од прве реченице и након одобрења надлежног органа, оператер може у </w:t>
      </w:r>
      <w:r w:rsidRPr="00951703">
        <w:rPr>
          <w:rFonts w:ascii="Arial" w:eastAsia="Times New Roman" w:hAnsi="Arial" w:cs="Arial"/>
          <w:noProof w:val="0"/>
          <w:color w:val="000000"/>
          <w:sz w:val="20"/>
          <w:szCs w:val="20"/>
          <w:lang w:val="en-US"/>
        </w:rPr>
        <w:lastRenderedPageBreak/>
        <w:t>мониторинг план укључити одговарајућу методологију за утврђивање V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на основу најбоље индустријске праксе, ако би примена методологија на основу мерења довела до неоправдано високих трошкова.</w:t>
      </w:r>
    </w:p>
    <w:p w14:paraId="4D64984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сматра F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једним извором, што значи да се захтеви за несигурност повезани с нивоима из Одељка 1. Прилога 7 овог правилника примењују на укупну вредност уместо на појединачне тачке емисије. Сваки оператер даје у плану мониторинга анализу могућих извора фугитивних емисија и наводи прикладну документовану методологију за прорачунавање односно мерење количине F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на основу смерница најбоље индустријске праксе. За утврђивање F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оператер може да користи податке који су прикупљени у складу са чл. 29–32. овог правилника и прописа којим се уређује хватање и складиштење угљеника, за објекат за убризгавање, ако су они у складу са захтевима овог правилника.</w:t>
      </w:r>
    </w:p>
    <w:p w14:paraId="2733F8C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Б2. Испуштене емисије и фугитивне емисије из поступака поновног искоришћења угљоводоника</w:t>
      </w:r>
    </w:p>
    <w:p w14:paraId="0FDC8BB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узима у обзир следеће потенцијалне додатне изворе емисија из поступака поновног искоришћења угљоводоника:</w:t>
      </w:r>
    </w:p>
    <w:p w14:paraId="1AE9C58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јединице за одвајање нафте и гаса и инсталација за рециклирање гаса, где могу настати фугитивне емисије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154A924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димњак бакље, где могу настати емисије због примене система континуираног прочишћавања и током отпуштања притиска постројења за производњу угљоводоника;</w:t>
      </w:r>
    </w:p>
    <w:p w14:paraId="68DB3C6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систем за издвајање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се користи како високе концентрације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не би угасиле бакљу.</w:t>
      </w:r>
    </w:p>
    <w:p w14:paraId="3DAA4B7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фугитивне емисије или испуштени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складу са пододељком Б.1. овог одељка.</w:t>
      </w:r>
    </w:p>
    <w:p w14:paraId="491DBF3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утврђује емисије из димњака бакље у складу са пододељком Г. Одељка 1 овог прилога, узимајући у обзир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може бити садржан у гасу који се спаљује у складу са чланом 45. овог правилника.</w:t>
      </w:r>
    </w:p>
    <w:p w14:paraId="153E6B0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Б3. Пропуштање из складишног комплекса</w:t>
      </w:r>
    </w:p>
    <w:p w14:paraId="169D3D5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и ослобађање у водени стуб квантификују се на следећи начин:</w:t>
      </w:r>
    </w:p>
    <w:p w14:paraId="294723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4D21A83F" wp14:editId="1F405CC5">
            <wp:extent cx="5057775" cy="847725"/>
            <wp:effectExtent l="0" t="0" r="0" b="9525"/>
            <wp:docPr id="2" name="Picture 2" descr="https://www.pravno-informacioni-sistem.rs/SlGlasnikPortal/slike/Staklena-basta_Page_0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avno-informacioni-sistem.rs/SlGlasnikPortal/slike/Staklena-basta_Page_05.png&amp;doctype=reg&amp;abc=cba&amp;eli=true&amp;eliActId=436691&amp;regactid=436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847725"/>
                    </a:xfrm>
                    <a:prstGeom prst="rect">
                      <a:avLst/>
                    </a:prstGeom>
                    <a:noFill/>
                    <a:ln>
                      <a:noFill/>
                    </a:ln>
                  </pic:spPr>
                </pic:pic>
              </a:graphicData>
            </a:graphic>
          </wp:inline>
        </w:drawing>
      </w:r>
    </w:p>
    <w:p w14:paraId="291F1BC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су:</w:t>
      </w:r>
    </w:p>
    <w:p w14:paraId="29793B2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L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маса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емитује односно ослобађа по календарском дану због пропуштања у складу са следећим:</w:t>
      </w:r>
    </w:p>
    <w:p w14:paraId="2ADEC77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за сваки календарски дан мониторинга пропуштања, оператер прорачунава L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као просечну вредност масе која истиче по часу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/h] помножено са 24;</w:t>
      </w:r>
    </w:p>
    <w:p w14:paraId="3F9715F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оператер утврђује масу која истиче по часу у складу са одредбама одобреног мониторинг плана за локацију за предметно складиштење и пропуштање;</w:t>
      </w:r>
    </w:p>
    <w:p w14:paraId="2231A6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оператер узима да је дневна маса која је истекла у сваком календарском дану пре почетка мониторинга једнака дневној маси која је истекла првога дан мониторинга, при чему треба спречити потцењивање вредности;</w:t>
      </w:r>
    </w:p>
    <w:p w14:paraId="65BE0E5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start= најкаснији од следећих датума:</w:t>
      </w:r>
    </w:p>
    <w:p w14:paraId="4738B96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најкаснији датум када нису забележене емисије односно ослобађање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водени стуб из извора који се посматра;</w:t>
      </w:r>
    </w:p>
    <w:p w14:paraId="662CAAA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датум кад је започело убризгавање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p w14:paraId="5A9BE8D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други датум, ако може да се на задовољавајући начин докаже надлежном органу да емисија односно ослобађање у водени стуб није могла започети пре тога датума.</w:t>
      </w:r>
    </w:p>
    <w:p w14:paraId="2A414D7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end= датум до којег су предузете корективне мере на основу прописа којим се уређује хватање и складиштење угљеника и више се не бележе емисије односно ослобађање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водени стуб.</w:t>
      </w:r>
    </w:p>
    <w:p w14:paraId="2645864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Надлежни орган се може сагласити са коришћењем других метода за квантификовање емисија односно ослобађања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водени стуб код пропуштања ако оператер на задовољавајући начин докаже надлежном органу да такве методе осигуравају већу тачност од методологије утврђене у овом пододељку.</w:t>
      </w:r>
    </w:p>
    <w:p w14:paraId="543D268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Оператер квантификује количину емисија које су истекле из складишног комплекса код сваког случаја пропуштања тако да највиша укупна несигурност током периода извештавања износи 7,5 %. Ако укупна несигурност примењене методологије квантификовања прелази 7,5%, оператер примењује усклађивање како следи:</w:t>
      </w:r>
    </w:p>
    <w:p w14:paraId="48FC405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пријављени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 =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квантификовани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x* (1 + (несигурносни систем[%]/100) – 0,075)</w:t>
      </w:r>
    </w:p>
    <w:p w14:paraId="103C488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су:</w:t>
      </w:r>
    </w:p>
    <w:p w14:paraId="73B657F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пријављени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која се наводи у годишњем извештају о емисијама за предметни случај пропуштања;</w:t>
      </w:r>
    </w:p>
    <w:p w14:paraId="3559E6D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квантификовани = количина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утврђена примењеном методологијом квантификовања за предметни случај пропуштања;</w:t>
      </w:r>
    </w:p>
    <w:p w14:paraId="54FA8C6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Несигурносни систем = ниво несигурности повезан са примењеном методологијом квантификовања за предметни случај пропуштања.</w:t>
      </w:r>
    </w:p>
    <w:p w14:paraId="2AE9C06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p w14:paraId="64883AD0"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4</w:t>
      </w:r>
    </w:p>
    <w:p w14:paraId="59452B4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МИНИМАЛНИ НИВОИ ЗА МЕТОДОЛОГИЈЕ НА ОСНОВУ ПРОРАЧУНА ЗА ПОСТРОЈЕЊА А КАТЕГОРИЈЕ И ОБРАЧУНСКИ ФАКТОРИ ЗА КОМЕРЦИЈАЛНА СТАНДАРДНА ГОРИВА КОЈА КОРИСТЕ ПОСТРОЈЕЊА Б И Ц КАТЕГОРИЈЕ</w:t>
      </w:r>
    </w:p>
    <w:p w14:paraId="4D9959D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lastRenderedPageBreak/>
        <w:t>Табела 1. </w:t>
      </w:r>
      <w:r w:rsidRPr="00951703">
        <w:rPr>
          <w:rFonts w:ascii="Arial" w:eastAsia="Times New Roman" w:hAnsi="Arial" w:cs="Arial"/>
          <w:noProof w:val="0"/>
          <w:color w:val="000000"/>
          <w:sz w:val="20"/>
          <w:szCs w:val="20"/>
          <w:lang w:val="en-US"/>
        </w:rPr>
        <w:t>Минимални нивои који се примењују за методологије на основу прорачуна за постројења А категорије и обрачунски фактори за комерцијална стандардна горива за сва постројења у складу са чланом 23. став 1. тачка 1) овог правилника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84"/>
        <w:gridCol w:w="2908"/>
        <w:gridCol w:w="2315"/>
        <w:gridCol w:w="1871"/>
        <w:gridCol w:w="3549"/>
        <w:gridCol w:w="1951"/>
        <w:gridCol w:w="1694"/>
      </w:tblGrid>
      <w:tr w:rsidR="00951703" w:rsidRPr="00951703" w14:paraId="207CAE85" w14:textId="77777777" w:rsidTr="00951703">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1794C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Активност/врста тока извора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B32E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Подаци о активностима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05CB9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5F85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Подаци о саставу (Садржај угљеника) (*)</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93EA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Оксидациони фактор</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90C2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Фактор конверзије</w:t>
            </w:r>
          </w:p>
        </w:tc>
      </w:tr>
      <w:tr w:rsidR="00951703" w:rsidRPr="00951703" w14:paraId="11AB4AA7" w14:textId="77777777" w:rsidTr="00951703">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A3FE42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20A3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Количина горива или материјала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1D1A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Нето калоријска вредност</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A83BC0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AD0F86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D5CF5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E814E7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BBBB20A"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5B96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Сагоревање горива</w:t>
            </w:r>
          </w:p>
        </w:tc>
      </w:tr>
      <w:tr w:rsidR="00951703" w:rsidRPr="00951703" w14:paraId="03FE84C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A9EC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Комерцијална стандардна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E472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FE095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B8F6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E5649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500E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51DF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16D9F30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37AD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Остала гасовита и течна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E2C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CEDB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C31C1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1A52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D76F3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D357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3AAC47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4D600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Чврста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6A02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FC26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6D77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917F2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C79D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F17F3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159ED1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3FCE6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 за терминале за прераду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D9EE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25F62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6242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B0BC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3E427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9AA5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5687426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EA02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Бакље за спаљивање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7071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B58D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032F7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409D4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DE9D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551EB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78AE3F0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0AEB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димног гаса (карбонат)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EE849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6210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12FDA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9943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AC9A0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9E44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344635A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B56E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димног гаса (гипс)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58299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3FB7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8002E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FBF87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76B4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E780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25A0D6B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461E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(уреа)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AD34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C72B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DD5CA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38CD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292A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53A2F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8B18587"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593E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Рафинисање минералног уља</w:t>
            </w:r>
          </w:p>
        </w:tc>
      </w:tr>
      <w:tr w:rsidR="00951703" w:rsidRPr="00951703" w14:paraId="0BB45B2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5C6A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Регенерација катализатора из процеса крековања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6CB8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FDA0A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08E5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54BB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B2308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FC64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B9C4D3B"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18B31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кокса</w:t>
            </w:r>
          </w:p>
        </w:tc>
      </w:tr>
      <w:tr w:rsidR="00951703" w:rsidRPr="00951703" w14:paraId="0484241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4BA7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5D164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2C60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73B6D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3AD51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0D8B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B262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8BBB65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6A52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 као улазни материјал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F4ED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3CEE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8B4D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18F2B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238F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3A618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28C2DC2D"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EA95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Печење и синтеровање руде метала</w:t>
            </w:r>
          </w:p>
        </w:tc>
      </w:tr>
      <w:tr w:rsidR="00951703" w:rsidRPr="00951703" w14:paraId="4F406A4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8569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3EE45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CC00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48A9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9E16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DB1C3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D53AE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C8FD12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939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Доток карбоната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5AD1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2C62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C6D13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56259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D0B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E086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00E0A496"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80C6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гвожђа и челика</w:t>
            </w:r>
          </w:p>
        </w:tc>
      </w:tr>
      <w:tr w:rsidR="00951703" w:rsidRPr="00951703" w14:paraId="3F1B1F3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16C7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FC4EA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633F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89017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0A5A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33F9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F67C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50B487E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897D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 као улазни материјал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A69FD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4E3C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83BFF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6924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B2C8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D28E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DE0C648"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CD7A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или прерада ферозних и обојених метала, укључујући секундарни алуминијум</w:t>
            </w:r>
          </w:p>
        </w:tc>
      </w:tr>
      <w:tr w:rsidR="00951703" w:rsidRPr="00951703" w14:paraId="29957F8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238CD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DE5E3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D1E6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8C8F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6876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8FA9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6F86D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7790F4A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4A8D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Eмисије из производних процеса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3296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BD21C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C68B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EDA7D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4BB1D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F1CEA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1E68BFE0"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07197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примарног алуминијума</w:t>
            </w:r>
          </w:p>
        </w:tc>
      </w:tr>
      <w:tr w:rsidR="00951703" w:rsidRPr="00951703" w14:paraId="5F68081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95BF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 за емисије CO</w:t>
            </w:r>
            <w:r w:rsidRPr="00B34F09">
              <w:rPr>
                <w:rFonts w:ascii="Arial" w:eastAsia="Times New Roman" w:hAnsi="Arial" w:cs="Arial"/>
                <w:noProof w:val="0"/>
                <w:color w:val="000000"/>
                <w:sz w:val="20"/>
                <w:szCs w:val="20"/>
                <w:vertAlign w:val="subscript"/>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DE9F2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8B949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D082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40E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2CD0D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53C9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5988121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0AC9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(метода нагиба)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E6AB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57419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7CD05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509AA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4AC4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56B5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6D7727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2B002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Емисије PFC (метода пренапона)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B1C5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EF46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7FEC2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926A2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FF54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68E9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22ABE552"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4E58A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цементног клинкера</w:t>
            </w:r>
          </w:p>
        </w:tc>
      </w:tr>
      <w:tr w:rsidR="00951703" w:rsidRPr="00951703" w14:paraId="05C459E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894E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основу материјала који улазе у пећ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A040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CD98D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6C3A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1D8E5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EB27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519B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3836688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89F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основу произведеног клинкера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CD880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E8BA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505C4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F08F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658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463A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4B53A64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548F0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Прашина из цементне пећи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0019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D188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6395C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75A71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9724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68961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02E0821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1E160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Улаз некарбонатног угљеника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3F11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7C621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CC5A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AF75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3BEC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F714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5F4DD262"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EB9F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креча и калцинисање доломита и магнезита</w:t>
            </w:r>
          </w:p>
        </w:tc>
      </w:tr>
      <w:tr w:rsidR="00951703" w:rsidRPr="00951703" w14:paraId="78CAF72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8CE6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Карбонати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7286E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AD0DD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F838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9514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4712D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AB25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385D62D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7817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Други улазни материјали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1C8BA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2776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FE4E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094E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1BAC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B35F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6BE41EF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A5FB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Земноалкални оксиди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A92B8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F6AC2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367E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8CA4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8945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29992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66078182"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84C8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стакла и минералне вуне</w:t>
            </w:r>
          </w:p>
        </w:tc>
      </w:tr>
      <w:tr w:rsidR="00951703" w:rsidRPr="00951703" w14:paraId="4AB35AF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003D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Улаз карбоната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3F945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29DE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51CC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210E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2E41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DD2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4ACBA08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B5C4F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Други улазни материјали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53298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6BFC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C47A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8A18F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ED6F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D9DBA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76F69DEE"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DB451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керамичких производа</w:t>
            </w:r>
          </w:p>
        </w:tc>
      </w:tr>
      <w:tr w:rsidR="00951703" w:rsidRPr="00951703" w14:paraId="25019D4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15A91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Улаз угљеника (Метода 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0510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4B78E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6AF4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2D6C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B0E6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81C8D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587825B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FC15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Други улазни материјали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E0CF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7BBB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C270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60F07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F646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EED5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0F2EFE0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4B7DB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Алкални оксиди (Метода 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2219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48F0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38F44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0003E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1E9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7518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r>
      <w:tr w:rsidR="00951703" w:rsidRPr="00951703" w14:paraId="5FBC80C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D50D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Чишћење димног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66F9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76A7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1089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83D3B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5D130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B0CD2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038C62C3"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A44F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гипса и гипс-картон плоча: видети Сагоревање горива</w:t>
            </w:r>
          </w:p>
        </w:tc>
      </w:tr>
      <w:tr w:rsidR="00951703" w:rsidRPr="00951703" w14:paraId="3F4D5352"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B58F7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целулозе и папира</w:t>
            </w:r>
          </w:p>
        </w:tc>
      </w:tr>
      <w:tr w:rsidR="00951703" w:rsidRPr="00951703" w14:paraId="3F8133F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8246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Додатне хемикалије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C95BE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D830D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D6AC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A788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3F99A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F718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3CC112C"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B3839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индустријске чађи</w:t>
            </w:r>
          </w:p>
        </w:tc>
      </w:tr>
      <w:tr w:rsidR="00951703" w:rsidRPr="00951703" w14:paraId="3AAD8C8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BB8C3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Методологија биланса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FFF66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9C72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E77B7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773A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0A21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B5D4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0403B436"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F4E5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Производња амонијака</w:t>
            </w:r>
          </w:p>
        </w:tc>
      </w:tr>
      <w:tr w:rsidR="00951703" w:rsidRPr="00951703" w14:paraId="3E4BEFE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252D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 као улазни материјал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52FF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32F8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3A3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1195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B0F41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911E8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601899E2"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3FAE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расутих органских хемикалија</w:t>
            </w:r>
          </w:p>
        </w:tc>
      </w:tr>
      <w:tr w:rsidR="00951703" w:rsidRPr="00951703" w14:paraId="02C55E1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D46F9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C8A6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A774E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3BBE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04F1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A531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5C5F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FA495ED"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B695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водоника и синтетског гаса</w:t>
            </w:r>
          </w:p>
        </w:tc>
      </w:tr>
      <w:tr w:rsidR="00951703" w:rsidRPr="00951703" w14:paraId="428CAD4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188A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 као улазни материјал у процесу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853A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331A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8B75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2a/2б</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280F7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E5F8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6057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722A9F3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DF563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FBD11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90B6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AB66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9A361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1B310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34DD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3F8C4F3A" w14:textId="77777777" w:rsidTr="00951703">
        <w:tc>
          <w:tcPr>
            <w:tcW w:w="0" w:type="auto"/>
            <w:gridSpan w:val="7"/>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2A73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Производња натријум карбоната и натријум бикарбоната</w:t>
            </w:r>
          </w:p>
        </w:tc>
      </w:tr>
      <w:tr w:rsidR="00951703" w:rsidRPr="00951703" w14:paraId="74126A5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C842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Биланс масе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BC7CA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6E47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7876B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6FF6A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55E4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29AE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bl>
    <w:p w14:paraId="0187706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Напомена:</w:t>
      </w:r>
    </w:p>
    <w:p w14:paraId="43F06B7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за емисионе факторе односи се на прелиминарни емисиони фактор, а садржај угљеника односи се на укупан садржај угљеника. За мешане материјале, удео биомасе мора се одредити посебно. Ниво 1 је најмањи ниво који треба да се примени за удео биомасе у случају постројења А категорије, а у случају комерцијалних стандардних горива за сва постројења у складу са чланом 23. став 1. тачка 1) овог правилника.</w:t>
      </w:r>
    </w:p>
    <w:p w14:paraId="7956E58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н.п. значи није примењиво</w:t>
      </w:r>
    </w:p>
    <w:p w14:paraId="15B1688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p w14:paraId="5203EB44"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5</w:t>
      </w:r>
    </w:p>
    <w:p w14:paraId="7B6582F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РЕФЕРЕНТНЕ ВРЕДНОСТИ ЗА ФАКТОРЕ ПРОРАЧУНА</w:t>
      </w:r>
    </w:p>
    <w:p w14:paraId="005D3F55"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Емисиони фактори за горива повезани са нето калоријским вредностима</w:t>
      </w:r>
    </w:p>
    <w:p w14:paraId="1453430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1. Емисиони фактори за горива повезани са нето калоријском вредности и нето калоријске вредности по маси горива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43"/>
        <w:gridCol w:w="2350"/>
        <w:gridCol w:w="4349"/>
        <w:gridCol w:w="8030"/>
      </w:tblGrid>
      <w:tr w:rsidR="00951703" w:rsidRPr="00951703" w14:paraId="3617ED2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3EF7E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Oпис врсте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BA10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Емисиони фактор</w:t>
            </w:r>
          </w:p>
          <w:p w14:paraId="0018D7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(t CO</w:t>
            </w:r>
            <w:r w:rsidRPr="00B34F09">
              <w:rPr>
                <w:rFonts w:ascii="Arial" w:eastAsia="Times New Roman" w:hAnsi="Arial" w:cs="Arial"/>
                <w:noProof w:val="0"/>
                <w:color w:val="000000"/>
                <w:sz w:val="20"/>
                <w:szCs w:val="20"/>
                <w:vertAlign w:val="subscript"/>
                <w:lang w:val="en-US"/>
              </w:rPr>
              <w:t>2</w:t>
            </w:r>
            <w:r w:rsidRPr="00B34F09">
              <w:rPr>
                <w:rFonts w:ascii="Arial" w:eastAsia="Times New Roman" w:hAnsi="Arial" w:cs="Arial"/>
                <w:b/>
                <w:bCs/>
                <w:noProof w:val="0"/>
                <w:color w:val="000000"/>
                <w:sz w:val="20"/>
                <w:szCs w:val="20"/>
                <w:lang w:val="en-US"/>
              </w:rPr>
              <w:t>/TJ)</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0C1B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Нето калоријска вредност (TJ/Gg)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76A8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Извор</w:t>
            </w:r>
          </w:p>
        </w:tc>
      </w:tr>
      <w:tr w:rsidR="00951703" w:rsidRPr="00951703" w14:paraId="540712A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F1D3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Сирова нафта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47CE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D9BF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8D9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677719E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63A3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Оримулзија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7F8C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4719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BBAA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13A7C32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2965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Течности природног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21C42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6FB8B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44,2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0DC0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AA07A8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F603A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Бензин за моторе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F649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7254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0FCF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5B24AC7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90E6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Керозин (а да није млазни керозин)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F9F68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72AD7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74CE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6DE9B67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FA63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Уље из шкриљца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CBA7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F0EDF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38,1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E5E0B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C19DFA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0A276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Гасно уље/дизел уље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97A15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74,1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1492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328B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4AC96BE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A6EF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Резидуално лож уље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3175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86A96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1D516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A2AAD5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3C9A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Течни нафтни гасови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F307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63,1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79C6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47,3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BCEF0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15978C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47EB1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Eтан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12DC6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9EF9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E4A3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0BF9C4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7BE9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Нафта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CADFD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F985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877C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6851FD6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DC2E7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Битумен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EF1B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F8B4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302D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40F52B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743D4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Mазива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6092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9EF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359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5F2FF98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E3E2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Нафтни кокс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86B39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A543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088DA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56F7C9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851F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Рафинеријске сировине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B53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7D096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43,0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DEE12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917976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0C73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Рафинеријски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C2132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6576B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872EB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4586B9F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17B5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Парафински восак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A108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D1381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6115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77E4B3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983C3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Бели шпиритус и </w:t>
            </w:r>
            <w:r w:rsidRPr="00B34F09">
              <w:rPr>
                <w:rFonts w:ascii="Arial" w:eastAsia="Times New Roman" w:hAnsi="Arial" w:cs="Arial"/>
                <w:i/>
                <w:iCs/>
                <w:noProof w:val="0"/>
                <w:color w:val="000000"/>
                <w:sz w:val="20"/>
                <w:szCs w:val="20"/>
                <w:lang w:val="en-US"/>
              </w:rPr>
              <w:t>SBP</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4A4E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A825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2654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443CE9F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17A2D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Остали нафтни деривати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CEFE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0A34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876A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19D1CAF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E887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Антрацит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B2038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98,3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3E39D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26,7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3CF6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8F828A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64ECB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Коксни угаљ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DA8A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0D29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0A8E0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4C8EDA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3C03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Остали битуминозни угаљ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7082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497BA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1A660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0786A62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5170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Суббитуминозни угаљ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658D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F85F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6B898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132B427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0F7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Лигнит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53AC5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085C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11,9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C7F5B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51C5ED9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A2350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Уљни шкриљац и катрански песак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977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CF41E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8,9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2093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647A7A3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9480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Вештачко гориво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8DCE0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268C7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E746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635AF0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AE7C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Кокс из коксаре и лигнитни кокс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EC8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8B1AE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947A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13A16CE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8972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Гасни кокс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F568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B7B77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073C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5A0F95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DAC6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Катран од угља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0AC4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80,7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10FFE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36AD3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50BB8A8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8971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Гас из постројења за производњу гаса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D4ADA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17555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3274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7569833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BE10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Гас из коксаре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9AEF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DCC7C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E807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62A08C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DB1A8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Високопећни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95DF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BB44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2,47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3494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6238B8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A01DC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Конверторски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A337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182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9347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1831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D95B28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AD71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Природни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F737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56,1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1C1D5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9EF7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75665EA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EF390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Индустријски отпад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6B22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29801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2430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3D0411D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4AA5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Отпадна уља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C4C81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73,3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3C9C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538AE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7AC6AD5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2D23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Тресет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C12A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106,0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897C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9,76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7CCC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781D208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F414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Дрво/дрвни отпад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055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DBB20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A1B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w:t>
            </w:r>
          </w:p>
        </w:tc>
      </w:tr>
      <w:tr w:rsidR="00951703" w:rsidRPr="00951703" w14:paraId="2E8FA45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76541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Остала примарна чврста биомаса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8560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E565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8612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03B4254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9FC2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Дрвени угаљ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F25A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827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29,5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61B6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6D709AB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06D3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Биобензин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EFDD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0631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A75B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7B00026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ED7FC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Биодизели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4AFE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0DC55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7E52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1A50C37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6A254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Остала течна биогорива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25F82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EC43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A970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56630EB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66B2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Депонијски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DC7F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C69A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3E7D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48BFA96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387E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Муљни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64CBF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F1D8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1D36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01B3ED4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D1DDE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Остали биогас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39F34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37C6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D3CE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Упутство IPCC 2006 (само NCV)</w:t>
            </w:r>
          </w:p>
        </w:tc>
      </w:tr>
      <w:tr w:rsidR="00951703" w:rsidRPr="00951703" w14:paraId="1A8EFE2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A33D7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Отпадне гуме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7B16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85,0 </w:t>
            </w:r>
            <w:r w:rsidRPr="00B34F09">
              <w:rPr>
                <w:rFonts w:ascii="Arial" w:eastAsia="Times New Roman" w:hAnsi="Arial" w:cs="Arial"/>
                <w:noProof w:val="0"/>
                <w:color w:val="000000"/>
                <w:sz w:val="20"/>
                <w:szCs w:val="20"/>
                <w:vertAlign w:val="superscript"/>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1BAD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DEE8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Иницијатива цементне индустрије за одрживи развој (WBCSD CSI)</w:t>
            </w:r>
          </w:p>
        </w:tc>
      </w:tr>
      <w:tr w:rsidR="00951703" w:rsidRPr="00951703" w14:paraId="3CE90F4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B897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Угљен моноксид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AA1C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155,2 </w:t>
            </w:r>
            <w:r w:rsidRPr="00B34F09">
              <w:rPr>
                <w:rFonts w:ascii="Arial" w:eastAsia="Times New Roman" w:hAnsi="Arial" w:cs="Arial"/>
                <w:noProof w:val="0"/>
                <w:color w:val="000000"/>
                <w:sz w:val="20"/>
                <w:szCs w:val="20"/>
                <w:vertAlign w:val="superscript"/>
                <w:lang w:val="en-US"/>
              </w:rPr>
              <w:t>(2)</w:t>
            </w: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0878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07FFB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J. Falbe and M. Regitz, Römpp Chemie Lexikon, Stuttgart, 1995</w:t>
            </w:r>
          </w:p>
        </w:tc>
      </w:tr>
      <w:tr w:rsidR="00951703" w:rsidRPr="00951703" w14:paraId="7690A44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FBF8C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49A6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54,9 </w:t>
            </w:r>
            <w:r w:rsidRPr="00B34F09">
              <w:rPr>
                <w:rFonts w:ascii="Arial" w:eastAsia="Times New Roman" w:hAnsi="Arial" w:cs="Arial"/>
                <w:noProof w:val="0"/>
                <w:color w:val="000000"/>
                <w:sz w:val="20"/>
                <w:szCs w:val="20"/>
                <w:vertAlign w:val="super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252C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50,0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1BA4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J. Falbe and M. Regitz, Römpp Chemie Lexikon, Stuttgart, 1995</w:t>
            </w:r>
          </w:p>
        </w:tc>
      </w:tr>
    </w:tbl>
    <w:p w14:paraId="25FA0FA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Напомена:</w:t>
      </w:r>
    </w:p>
    <w:p w14:paraId="053762C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Ova вредност је прелиминарни емисиони фактор, тј. пре примене удела биомасе, по потреби.</w:t>
      </w:r>
    </w:p>
    <w:p w14:paraId="38D5D98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Засновано на NCV од 10,12 TJ/t</w:t>
      </w:r>
    </w:p>
    <w:p w14:paraId="7F0679A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Засновано на NCV oд 50,01 TJ/t</w:t>
      </w:r>
    </w:p>
    <w:p w14:paraId="3675568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Емисиони фактори који се односе на емисије из производних процеса</w:t>
      </w:r>
    </w:p>
    <w:p w14:paraId="4E8469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2. Стехиометријки емисиони фактор за емисије из производних процеса услед разградње карбоната (метода A)</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6"/>
        <w:gridCol w:w="16406"/>
      </w:tblGrid>
      <w:tr w:rsidR="00951703" w:rsidRPr="00951703" w14:paraId="3DBCF16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C10D4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26EF7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карбоната]</w:t>
            </w:r>
          </w:p>
        </w:tc>
      </w:tr>
      <w:tr w:rsidR="00951703" w:rsidRPr="00951703" w14:paraId="44B3DE6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8517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CaCO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F43C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0,440</w:t>
            </w:r>
          </w:p>
        </w:tc>
      </w:tr>
      <w:tr w:rsidR="00951703" w:rsidRPr="00951703" w14:paraId="32D7F1B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6837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MgCO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33EB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0,522</w:t>
            </w:r>
          </w:p>
        </w:tc>
      </w:tr>
      <w:tr w:rsidR="00951703" w:rsidRPr="00951703" w14:paraId="04382D7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620C5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Na</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166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0,415</w:t>
            </w:r>
          </w:p>
        </w:tc>
      </w:tr>
      <w:tr w:rsidR="00951703" w:rsidRPr="00951703" w14:paraId="67DBBF1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345B5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BaCO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A1B6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0,223</w:t>
            </w:r>
          </w:p>
        </w:tc>
      </w:tr>
      <w:tr w:rsidR="00951703" w:rsidRPr="00951703" w14:paraId="23298A9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F307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Li</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3263C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0,596</w:t>
            </w:r>
          </w:p>
        </w:tc>
      </w:tr>
      <w:tr w:rsidR="00951703" w:rsidRPr="00951703" w14:paraId="2666041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B7053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K</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5015E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0,318</w:t>
            </w:r>
          </w:p>
        </w:tc>
      </w:tr>
      <w:tr w:rsidR="00951703" w:rsidRPr="00951703" w14:paraId="08B8544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B865F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SrCO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2B71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0,298</w:t>
            </w:r>
          </w:p>
        </w:tc>
      </w:tr>
      <w:tr w:rsidR="00951703" w:rsidRPr="00951703" w14:paraId="2A33B85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860D1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NaHCO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B141B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0,524</w:t>
            </w:r>
          </w:p>
        </w:tc>
      </w:tr>
      <w:tr w:rsidR="00951703" w:rsidRPr="00951703" w14:paraId="3FD86CA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D33C2C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FeCO</w:t>
            </w:r>
            <w:r w:rsidRPr="00B34F09">
              <w:rPr>
                <w:rFonts w:ascii="Arial" w:eastAsia="Times New Roman" w:hAnsi="Arial" w:cs="Arial"/>
                <w:noProof w:val="0"/>
                <w:color w:val="000000"/>
                <w:sz w:val="20"/>
                <w:szCs w:val="20"/>
                <w:vertAlign w:val="subscript"/>
                <w:lang w:val="en-US"/>
              </w:rPr>
              <w:t>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C489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0,380</w:t>
            </w:r>
          </w:p>
        </w:tc>
      </w:tr>
      <w:tr w:rsidR="00951703" w:rsidRPr="00951703" w14:paraId="1C51A21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CDA8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Опште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CDA6E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 [M(CO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)]/{Y * [M(x)] + Z *[M(CO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w:t>
            </w:r>
            <w:r w:rsidRPr="00B34F09">
              <w:rPr>
                <w:rFonts w:ascii="Arial" w:eastAsia="Times New Roman" w:hAnsi="Arial" w:cs="Arial"/>
                <w:noProof w:val="0"/>
                <w:color w:val="000000"/>
                <w:sz w:val="20"/>
                <w:szCs w:val="20"/>
                <w:vertAlign w:val="superscript"/>
                <w:lang w:val="en-US"/>
              </w:rPr>
              <w:t>2-</w:t>
            </w:r>
            <w:r w:rsidRPr="00951703">
              <w:rPr>
                <w:rFonts w:ascii="Arial" w:eastAsia="Times New Roman" w:hAnsi="Arial" w:cs="Arial"/>
                <w:noProof w:val="0"/>
                <w:color w:val="000000"/>
                <w:sz w:val="20"/>
                <w:szCs w:val="20"/>
                <w:lang w:val="en-US"/>
              </w:rPr>
              <w:t>)]}</w:t>
            </w:r>
          </w:p>
          <w:p w14:paraId="7489D2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X= метал</w:t>
            </w:r>
          </w:p>
          <w:p w14:paraId="665B65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M(x)= молекулска маса X у [g/mol]</w:t>
            </w:r>
          </w:p>
          <w:p w14:paraId="5B4D581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молекулска маса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[g/mol]</w:t>
            </w:r>
          </w:p>
          <w:p w14:paraId="413A1F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w:t>
            </w:r>
            <w:r w:rsidRPr="00B34F09">
              <w:rPr>
                <w:rFonts w:ascii="Arial" w:eastAsia="Times New Roman" w:hAnsi="Arial" w:cs="Arial"/>
                <w:noProof w:val="0"/>
                <w:color w:val="000000"/>
                <w:sz w:val="20"/>
                <w:szCs w:val="20"/>
                <w:vertAlign w:val="superscript"/>
                <w:lang w:val="en-US"/>
              </w:rPr>
              <w:t>2-</w:t>
            </w:r>
            <w:r w:rsidRPr="00951703">
              <w:rPr>
                <w:rFonts w:ascii="Arial" w:eastAsia="Times New Roman" w:hAnsi="Arial" w:cs="Arial"/>
                <w:noProof w:val="0"/>
                <w:color w:val="000000"/>
                <w:sz w:val="20"/>
                <w:szCs w:val="20"/>
                <w:lang w:val="en-US"/>
              </w:rPr>
              <w:t>)= молекулска маса 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w:t>
            </w:r>
            <w:r w:rsidRPr="00B34F09">
              <w:rPr>
                <w:rFonts w:ascii="Arial" w:eastAsia="Times New Roman" w:hAnsi="Arial" w:cs="Arial"/>
                <w:noProof w:val="0"/>
                <w:color w:val="000000"/>
                <w:sz w:val="20"/>
                <w:szCs w:val="20"/>
                <w:vertAlign w:val="superscript"/>
                <w:lang w:val="en-US"/>
              </w:rPr>
              <w:t>2-</w:t>
            </w:r>
            <w:r w:rsidRPr="00951703">
              <w:rPr>
                <w:rFonts w:ascii="Arial" w:eastAsia="Times New Roman" w:hAnsi="Arial" w:cs="Arial"/>
                <w:noProof w:val="0"/>
                <w:color w:val="000000"/>
                <w:sz w:val="20"/>
                <w:szCs w:val="20"/>
                <w:lang w:val="en-US"/>
              </w:rPr>
              <w:t> у [g/mol]</w:t>
            </w:r>
          </w:p>
          <w:p w14:paraId="6DD7A9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Y= стехиометријски број за X</w:t>
            </w:r>
          </w:p>
          <w:p w14:paraId="0586B81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Z= стехиометријски број за CO</w:t>
            </w:r>
            <w:r w:rsidRPr="00B34F09">
              <w:rPr>
                <w:rFonts w:ascii="Arial" w:eastAsia="Times New Roman" w:hAnsi="Arial" w:cs="Arial"/>
                <w:noProof w:val="0"/>
                <w:color w:val="000000"/>
                <w:sz w:val="20"/>
                <w:szCs w:val="20"/>
                <w:vertAlign w:val="subscript"/>
                <w:lang w:val="en-US"/>
              </w:rPr>
              <w:t>3</w:t>
            </w:r>
            <w:r w:rsidRPr="00951703">
              <w:rPr>
                <w:rFonts w:ascii="Arial" w:eastAsia="Times New Roman" w:hAnsi="Arial" w:cs="Arial"/>
                <w:noProof w:val="0"/>
                <w:color w:val="000000"/>
                <w:sz w:val="20"/>
                <w:szCs w:val="20"/>
                <w:lang w:val="en-US"/>
              </w:rPr>
              <w:t> </w:t>
            </w:r>
            <w:r w:rsidRPr="00B34F09">
              <w:rPr>
                <w:rFonts w:ascii="Arial" w:eastAsia="Times New Roman" w:hAnsi="Arial" w:cs="Arial"/>
                <w:noProof w:val="0"/>
                <w:color w:val="000000"/>
                <w:sz w:val="20"/>
                <w:szCs w:val="20"/>
                <w:vertAlign w:val="superscript"/>
                <w:lang w:val="en-US"/>
              </w:rPr>
              <w:t>2-</w:t>
            </w:r>
          </w:p>
        </w:tc>
      </w:tr>
    </w:tbl>
    <w:p w14:paraId="02C38A9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3. Стехиометријски емисиони фактор за емисије из производних процеса услед разградње карбоната засновано на земноалкалним оксидима (метода Б)</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94"/>
        <w:gridCol w:w="15178"/>
      </w:tblGrid>
      <w:tr w:rsidR="00951703" w:rsidRPr="00951703" w14:paraId="32E86C6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A7CA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Оксид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0E553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 оксид]</w:t>
            </w:r>
          </w:p>
        </w:tc>
      </w:tr>
      <w:tr w:rsidR="00951703" w:rsidRPr="00951703" w14:paraId="5D26909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994BA6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CaO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C0310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0,785</w:t>
            </w:r>
          </w:p>
        </w:tc>
      </w:tr>
      <w:tr w:rsidR="00951703" w:rsidRPr="00951703" w14:paraId="04178CF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850A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MgO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F3ABE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1,092</w:t>
            </w:r>
          </w:p>
        </w:tc>
      </w:tr>
      <w:tr w:rsidR="00951703" w:rsidRPr="00951703" w14:paraId="3FD937A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87F93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BaO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6F59E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0,287</w:t>
            </w:r>
          </w:p>
        </w:tc>
      </w:tr>
      <w:tr w:rsidR="00951703" w:rsidRPr="00951703" w14:paraId="64926B2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39E7C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Опште: XYOZ</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7C8CE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 = [M(CO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)]/{Y * [M(x)] + Z * [M(O)]}</w:t>
            </w:r>
          </w:p>
          <w:p w14:paraId="1036B0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X= земноалкални или алкални метал</w:t>
            </w:r>
          </w:p>
          <w:p w14:paraId="1D1EAB0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M(x)= молекулска маса X у [g/mol]</w:t>
            </w:r>
          </w:p>
          <w:p w14:paraId="3C949E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молекулска маса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у [g/mol]</w:t>
            </w:r>
          </w:p>
          <w:p w14:paraId="2C9E496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M(O)= молекулска маса O у [g/mol]</w:t>
            </w:r>
          </w:p>
          <w:p w14:paraId="4F7340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Y= стехиометријски број за X</w:t>
            </w:r>
          </w:p>
          <w:p w14:paraId="138D85C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 (за земноалкалне метале)</w:t>
            </w:r>
          </w:p>
          <w:p w14:paraId="375215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 (за алкалне метале)</w:t>
            </w:r>
          </w:p>
          <w:p w14:paraId="630C291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Z= стехиометријски број за O = 1</w:t>
            </w:r>
          </w:p>
        </w:tc>
      </w:tr>
    </w:tbl>
    <w:p w14:paraId="60253EF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Tабела 4. Емисиони фактори за емисије из производних процеса од осталих процесних материјала (производња гвожђа и челика и прерада ферозних метала) </w:t>
      </w:r>
      <w:r w:rsidRPr="00B34F09">
        <w:rPr>
          <w:rFonts w:ascii="Arial" w:eastAsia="Times New Roman" w:hAnsi="Arial" w:cs="Arial"/>
          <w:noProof w:val="0"/>
          <w:color w:val="000000"/>
          <w:sz w:val="20"/>
          <w:szCs w:val="20"/>
          <w:vertAlign w:val="superscript"/>
          <w:lang w:val="en-US"/>
        </w:rPr>
        <w:t>(1)</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91"/>
        <w:gridCol w:w="4611"/>
        <w:gridCol w:w="4470"/>
      </w:tblGrid>
      <w:tr w:rsidR="00951703" w:rsidRPr="00951703" w14:paraId="0D97E85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ED39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Улазни или излазни материјал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0F32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Садржај угљеника</w:t>
            </w:r>
          </w:p>
          <w:p w14:paraId="116D929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9E4A4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w:t>
            </w:r>
          </w:p>
          <w:p w14:paraId="5A947D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w:t>
            </w:r>
          </w:p>
        </w:tc>
      </w:tr>
      <w:tr w:rsidR="00951703" w:rsidRPr="00951703" w14:paraId="4F3EF4E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B809C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Директно редуковано гвожђе (DRI)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5BBA1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FDB61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0,07</w:t>
            </w:r>
          </w:p>
        </w:tc>
      </w:tr>
      <w:tr w:rsidR="00951703" w:rsidRPr="00951703" w14:paraId="6768238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473C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Угљеничне електроде електролучне пећи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E440F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0,8188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9DE5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3,00</w:t>
            </w:r>
          </w:p>
        </w:tc>
      </w:tr>
      <w:tr w:rsidR="00951703" w:rsidRPr="00951703" w14:paraId="700C6DA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2787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Угљеник за набој електролучне пећи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8224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D16B4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3,04</w:t>
            </w:r>
          </w:p>
        </w:tc>
      </w:tr>
      <w:tr w:rsidR="00951703" w:rsidRPr="00951703" w14:paraId="6D6DAB1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D8C0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Вруће брикетирано гвожђе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6ECCD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0,0191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B4640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0,07</w:t>
            </w:r>
          </w:p>
        </w:tc>
      </w:tr>
      <w:tr w:rsidR="00951703" w:rsidRPr="00951703" w14:paraId="5953B11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4A8A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Конверторски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B1DF0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0,3493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C5AB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1,28</w:t>
            </w:r>
          </w:p>
        </w:tc>
      </w:tr>
      <w:tr w:rsidR="00951703" w:rsidRPr="00951703" w14:paraId="794BED9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BEA4C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Нафтни кокс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C3B70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0,8706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50D6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3,19</w:t>
            </w:r>
          </w:p>
        </w:tc>
      </w:tr>
      <w:tr w:rsidR="00951703" w:rsidRPr="00951703" w14:paraId="63774B0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E702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Сирово гвожђе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69854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2B2D5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0,15</w:t>
            </w:r>
          </w:p>
        </w:tc>
      </w:tr>
      <w:tr w:rsidR="00951703" w:rsidRPr="00951703" w14:paraId="51C292B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8739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Гвожђе/отпадно гвожђе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C3D51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0,0409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D191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0,15</w:t>
            </w:r>
          </w:p>
        </w:tc>
      </w:tr>
      <w:tr w:rsidR="00951703" w:rsidRPr="00951703" w14:paraId="776D02B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8399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Челик/отпадни челик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9CED7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0,0109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5008C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0,04</w:t>
            </w:r>
          </w:p>
        </w:tc>
      </w:tr>
    </w:tbl>
    <w:p w14:paraId="2C0D493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Напомена:</w:t>
      </w:r>
    </w:p>
    <w:p w14:paraId="14BDD79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Упутство IPCC 2006 за националне инвентаре GHG</w:t>
      </w:r>
    </w:p>
    <w:p w14:paraId="52054A5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5. Стехиометријски емисиони фактор за емисије из производних процеса од осталих процесних материјала (расуте органске хемикалије) </w:t>
      </w:r>
      <w:r w:rsidRPr="00B34F09">
        <w:rPr>
          <w:rFonts w:ascii="Arial" w:eastAsia="Times New Roman" w:hAnsi="Arial" w:cs="Arial"/>
          <w:noProof w:val="0"/>
          <w:color w:val="000000"/>
          <w:sz w:val="20"/>
          <w:szCs w:val="20"/>
          <w:vertAlign w:val="superscript"/>
          <w:lang w:val="en-US"/>
        </w:rPr>
        <w:t>(1)</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478"/>
        <w:gridCol w:w="6039"/>
        <w:gridCol w:w="5855"/>
      </w:tblGrid>
      <w:tr w:rsidR="00951703" w:rsidRPr="00951703" w14:paraId="31CDFB0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0207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Супстанца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E7C60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Садржај угљеника</w:t>
            </w:r>
          </w:p>
          <w:p w14:paraId="4EA490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5979A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Емисиони фактор</w:t>
            </w:r>
          </w:p>
          <w:p w14:paraId="759D62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/t)</w:t>
            </w:r>
          </w:p>
        </w:tc>
      </w:tr>
      <w:tr w:rsidR="00951703" w:rsidRPr="00951703" w14:paraId="2AE3E8B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23F89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Ацетонитрил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0553E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0,5852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71DA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2,144</w:t>
            </w:r>
          </w:p>
        </w:tc>
      </w:tr>
      <w:tr w:rsidR="00951703" w:rsidRPr="00951703" w14:paraId="2ED51F8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6403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Акрилонитрил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F5D20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0,6664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880F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2,442</w:t>
            </w:r>
          </w:p>
        </w:tc>
      </w:tr>
      <w:tr w:rsidR="00951703" w:rsidRPr="00951703" w14:paraId="56FCAC7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288E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Бутадиен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FC721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0,888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B0FD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3,254</w:t>
            </w:r>
          </w:p>
        </w:tc>
      </w:tr>
      <w:tr w:rsidR="00951703" w:rsidRPr="00951703" w14:paraId="49665FD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7251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Индустријска чађ</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AEE6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DF3E5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3,554</w:t>
            </w:r>
          </w:p>
        </w:tc>
      </w:tr>
      <w:tr w:rsidR="00951703" w:rsidRPr="00951703" w14:paraId="359BC3F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76F68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Етилен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9DD41F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0,856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39346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3,136</w:t>
            </w:r>
          </w:p>
        </w:tc>
      </w:tr>
      <w:tr w:rsidR="00951703" w:rsidRPr="00951703" w14:paraId="538CCE2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BA645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Етилен дихлорид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A8A75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0,245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27810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0,898</w:t>
            </w:r>
          </w:p>
        </w:tc>
      </w:tr>
      <w:tr w:rsidR="00951703" w:rsidRPr="00951703" w14:paraId="6F8BB8F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CD1F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Етилен гликол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407AA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0,387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AF34D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1,418</w:t>
            </w:r>
          </w:p>
        </w:tc>
      </w:tr>
      <w:tr w:rsidR="00951703" w:rsidRPr="00951703" w14:paraId="54AFBEA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4465F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Етилен оксид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08035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0,545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7579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1,997</w:t>
            </w:r>
          </w:p>
        </w:tc>
      </w:tr>
      <w:tr w:rsidR="00951703" w:rsidRPr="00951703" w14:paraId="59DDD7B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207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Цијановодоник</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4B926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0,4444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3CA04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1,628</w:t>
            </w:r>
          </w:p>
        </w:tc>
      </w:tr>
      <w:tr w:rsidR="00951703" w:rsidRPr="00951703" w14:paraId="6EDA2CE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A8DD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Метанол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E7C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34ACE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1,374</w:t>
            </w:r>
          </w:p>
        </w:tc>
      </w:tr>
      <w:tr w:rsidR="00951703" w:rsidRPr="00951703" w14:paraId="0A3FAE8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FA68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86C4D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0,749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3A78F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2,744</w:t>
            </w:r>
          </w:p>
        </w:tc>
      </w:tr>
      <w:tr w:rsidR="00951703" w:rsidRPr="00951703" w14:paraId="5F30695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16D16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Пропан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6D03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28B1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2,993</w:t>
            </w:r>
          </w:p>
        </w:tc>
      </w:tr>
      <w:tr w:rsidR="00951703" w:rsidRPr="00951703" w14:paraId="4CB31B9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45A61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Пропилен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0098E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0,8563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F63D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3,137</w:t>
            </w:r>
          </w:p>
        </w:tc>
      </w:tr>
      <w:tr w:rsidR="00951703" w:rsidRPr="00951703" w14:paraId="46E424B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36764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Винилхлорид мономер</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6456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0,384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52F0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1,407</w:t>
            </w:r>
          </w:p>
        </w:tc>
      </w:tr>
    </w:tbl>
    <w:p w14:paraId="3961A79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Напомена:</w:t>
      </w:r>
    </w:p>
    <w:p w14:paraId="7266682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Упутство IPCC 2006 за националне инвентаре GHG</w:t>
      </w:r>
    </w:p>
    <w:p w14:paraId="5DB5768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Потенцијали глобалног загревања осталих GHG осим CO</w:t>
      </w:r>
      <w:r w:rsidRPr="00B34F09">
        <w:rPr>
          <w:rFonts w:ascii="Arial" w:eastAsia="Times New Roman" w:hAnsi="Arial" w:cs="Arial"/>
          <w:b/>
          <w:bCs/>
          <w:noProof w:val="0"/>
          <w:color w:val="000000"/>
          <w:sz w:val="20"/>
          <w:szCs w:val="20"/>
          <w:vertAlign w:val="subscript"/>
          <w:lang w:val="en-US"/>
        </w:rPr>
        <w:t>2</w:t>
      </w:r>
    </w:p>
    <w:p w14:paraId="1591104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Tабела 6. Потенцијали глобалних загревања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38"/>
        <w:gridCol w:w="16934"/>
      </w:tblGrid>
      <w:tr w:rsidR="00951703" w:rsidRPr="00951703" w14:paraId="54E3599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29671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643F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Потенцијали глобалног загревања</w:t>
            </w:r>
          </w:p>
        </w:tc>
      </w:tr>
      <w:tr w:rsidR="00951703" w:rsidRPr="00951703" w14:paraId="4ECEED1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F02F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63A5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265 t CO</w:t>
            </w:r>
            <w:r w:rsidRPr="00B34F09">
              <w:rPr>
                <w:rFonts w:ascii="Arial" w:eastAsia="Times New Roman" w:hAnsi="Arial" w:cs="Arial"/>
                <w:noProof w:val="0"/>
                <w:color w:val="000000"/>
                <w:sz w:val="20"/>
                <w:szCs w:val="20"/>
                <w:vertAlign w:val="subscript"/>
                <w:lang w:val="en-US"/>
              </w:rPr>
              <w:t>2(e)</w:t>
            </w:r>
            <w:r w:rsidRPr="00951703">
              <w:rPr>
                <w:rFonts w:ascii="Arial" w:eastAsia="Times New Roman" w:hAnsi="Arial" w:cs="Arial"/>
                <w:noProof w:val="0"/>
                <w:color w:val="000000"/>
                <w:sz w:val="20"/>
                <w:szCs w:val="20"/>
                <w:lang w:val="en-US"/>
              </w:rPr>
              <w:t>/t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p>
        </w:tc>
      </w:tr>
      <w:tr w:rsidR="00951703" w:rsidRPr="00951703" w14:paraId="14F6F78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6979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CF</w:t>
            </w:r>
            <w:r w:rsidRPr="00B34F09">
              <w:rPr>
                <w:rFonts w:ascii="Arial" w:eastAsia="Times New Roman" w:hAnsi="Arial" w:cs="Arial"/>
                <w:noProof w:val="0"/>
                <w:color w:val="000000"/>
                <w:sz w:val="20"/>
                <w:szCs w:val="20"/>
                <w:vertAlign w:val="subscript"/>
                <w:lang w:val="en-US"/>
              </w:rPr>
              <w:t>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5A58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6630 t CO</w:t>
            </w:r>
            <w:r w:rsidRPr="00B34F09">
              <w:rPr>
                <w:rFonts w:ascii="Arial" w:eastAsia="Times New Roman" w:hAnsi="Arial" w:cs="Arial"/>
                <w:noProof w:val="0"/>
                <w:color w:val="000000"/>
                <w:sz w:val="20"/>
                <w:szCs w:val="20"/>
                <w:vertAlign w:val="subscript"/>
                <w:lang w:val="en-US"/>
              </w:rPr>
              <w:t>2(e)</w:t>
            </w:r>
            <w:r w:rsidRPr="00951703">
              <w:rPr>
                <w:rFonts w:ascii="Arial" w:eastAsia="Times New Roman" w:hAnsi="Arial" w:cs="Arial"/>
                <w:noProof w:val="0"/>
                <w:color w:val="000000"/>
                <w:sz w:val="20"/>
                <w:szCs w:val="20"/>
                <w:lang w:val="en-US"/>
              </w:rPr>
              <w:t>/t CF</w:t>
            </w:r>
            <w:r w:rsidRPr="00B34F09">
              <w:rPr>
                <w:rFonts w:ascii="Arial" w:eastAsia="Times New Roman" w:hAnsi="Arial" w:cs="Arial"/>
                <w:noProof w:val="0"/>
                <w:color w:val="000000"/>
                <w:sz w:val="20"/>
                <w:szCs w:val="20"/>
                <w:vertAlign w:val="subscript"/>
                <w:lang w:val="en-US"/>
              </w:rPr>
              <w:t>4</w:t>
            </w:r>
          </w:p>
        </w:tc>
      </w:tr>
      <w:tr w:rsidR="00951703" w:rsidRPr="00951703" w14:paraId="78DD190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8366D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0DFE2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11 100 t CO</w:t>
            </w:r>
            <w:r w:rsidRPr="00B34F09">
              <w:rPr>
                <w:rFonts w:ascii="Arial" w:eastAsia="Times New Roman" w:hAnsi="Arial" w:cs="Arial"/>
                <w:noProof w:val="0"/>
                <w:color w:val="000000"/>
                <w:sz w:val="20"/>
                <w:szCs w:val="20"/>
                <w:vertAlign w:val="subscript"/>
                <w:lang w:val="en-US"/>
              </w:rPr>
              <w:t>2(e)</w:t>
            </w:r>
            <w:r w:rsidRPr="00951703">
              <w:rPr>
                <w:rFonts w:ascii="Arial" w:eastAsia="Times New Roman" w:hAnsi="Arial" w:cs="Arial"/>
                <w:noProof w:val="0"/>
                <w:color w:val="000000"/>
                <w:sz w:val="20"/>
                <w:szCs w:val="20"/>
                <w:lang w:val="en-US"/>
              </w:rPr>
              <w:t>/t C</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F</w:t>
            </w:r>
            <w:r w:rsidRPr="00B34F09">
              <w:rPr>
                <w:rFonts w:ascii="Arial" w:eastAsia="Times New Roman" w:hAnsi="Arial" w:cs="Arial"/>
                <w:noProof w:val="0"/>
                <w:color w:val="000000"/>
                <w:sz w:val="20"/>
                <w:szCs w:val="20"/>
                <w:vertAlign w:val="subscript"/>
                <w:lang w:val="en-US"/>
              </w:rPr>
              <w:t>6</w:t>
            </w:r>
          </w:p>
        </w:tc>
      </w:tr>
    </w:tbl>
    <w:p w14:paraId="55152396" w14:textId="77777777" w:rsidR="00C56CC9" w:rsidRPr="00B34F09" w:rsidRDefault="00C56CC9" w:rsidP="00987475">
      <w:pPr>
        <w:spacing w:after="120" w:line="276" w:lineRule="auto"/>
        <w:contextualSpacing w:val="0"/>
        <w:jc w:val="center"/>
        <w:rPr>
          <w:rFonts w:ascii="Arial" w:eastAsiaTheme="minorHAnsi" w:hAnsi="Arial" w:cs="Arial"/>
          <w:b/>
          <w:noProof w:val="0"/>
          <w:color w:val="000000"/>
          <w:sz w:val="20"/>
          <w:szCs w:val="20"/>
          <w:lang w:val="sr-Cyrl-RS"/>
        </w:rPr>
      </w:pPr>
    </w:p>
    <w:p w14:paraId="270324CF"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6</w:t>
      </w:r>
    </w:p>
    <w:p w14:paraId="3EA7E195"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МИНИМАЛНА УЧЕСТАЛОСТ АНАЛИЗА</w:t>
      </w:r>
    </w:p>
    <w:tbl>
      <w:tblPr>
        <w:tblW w:w="197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066"/>
        <w:gridCol w:w="8639"/>
      </w:tblGrid>
      <w:tr w:rsidR="00951703" w:rsidRPr="00951703" w14:paraId="0E1DCB8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85D67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Гориво/материјал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8061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Минимална учесталост анализа</w:t>
            </w:r>
          </w:p>
        </w:tc>
      </w:tr>
      <w:tr w:rsidR="00951703" w:rsidRPr="00951703" w14:paraId="7601003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16BA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Природни гас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C68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Најмање једном недељно</w:t>
            </w:r>
          </w:p>
        </w:tc>
      </w:tr>
      <w:tr w:rsidR="00951703" w:rsidRPr="00951703" w14:paraId="4E51B5A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72D02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Остали гасови, посебно синтезни гас и процесни гас као рафинеријски мешовити гас, гас из коксара, гас из високих пећи, конвертерски гас), гас са нафтних и гасних поља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A7E6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Најмање једном дневно – користећи одговарајуће поступке у различитим деловима дана</w:t>
            </w:r>
          </w:p>
        </w:tc>
      </w:tr>
      <w:tr w:rsidR="00951703" w:rsidRPr="00951703" w14:paraId="0381FFA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B2DF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Лож уље (на пример лако, средње, тешко лож уље, битумен)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311F1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20.000 t горива и најмање шест пута годишње</w:t>
            </w:r>
          </w:p>
        </w:tc>
      </w:tr>
      <w:tr w:rsidR="00951703" w:rsidRPr="00951703" w14:paraId="04ED3CF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8BAB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Угаљ, коксни угаљ, кокс, нафтни кокс, тресет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5F3E7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20.000 t горива/материјала најмање шест пута годишње</w:t>
            </w:r>
          </w:p>
        </w:tc>
      </w:tr>
      <w:tr w:rsidR="00951703" w:rsidRPr="00951703" w14:paraId="5C4428F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48BDC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Остала горива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A634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10.000 t горива и најмање четири пута годишње</w:t>
            </w:r>
          </w:p>
        </w:tc>
      </w:tr>
      <w:tr w:rsidR="00951703" w:rsidRPr="00951703" w14:paraId="183EB9E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E5323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Необрађен чврст отпад (чист фосилни или мешан од биомасе и фосила)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C3A2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5.000 t отпада и најмање четири пута годишње</w:t>
            </w:r>
          </w:p>
        </w:tc>
      </w:tr>
      <w:tr w:rsidR="00951703" w:rsidRPr="00951703" w14:paraId="5A8CF6A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6EE1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Течни отпад, претходно обрађен чврст одпад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C285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10 000 t отпада и најмање четири пута годишње</w:t>
            </w:r>
          </w:p>
        </w:tc>
      </w:tr>
      <w:tr w:rsidR="00951703" w:rsidRPr="00951703" w14:paraId="6371B90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DF79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Карбонатни минерали (укључујући кречњак и доломит)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412D3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 сваких 50.000 t материјала и најмање четири пута годишње</w:t>
            </w:r>
          </w:p>
        </w:tc>
      </w:tr>
      <w:tr w:rsidR="00951703" w:rsidRPr="00951703" w14:paraId="6245B7D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D343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Глине и шкриљци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D1E4D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Количине материјала које одговарају 50.000 t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 најмање четири пута годишње</w:t>
            </w:r>
          </w:p>
        </w:tc>
      </w:tr>
      <w:tr w:rsidR="00951703" w:rsidRPr="00951703" w14:paraId="099A514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A9BC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Остали материјали (примарни, међупроизводи и коначни производи)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AB59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зависности од врсте материјала и варијације, количине материјала које одговарају 50.000 t CО</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 најмање четири пута годишње</w:t>
            </w:r>
          </w:p>
        </w:tc>
      </w:tr>
    </w:tbl>
    <w:p w14:paraId="002CD7D4"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53609AFC"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lastRenderedPageBreak/>
        <w:t>ПРИЛОГ 7</w:t>
      </w:r>
    </w:p>
    <w:p w14:paraId="3C268D84"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МЕТОДОЛОГИЈЕ НА ОСНОВУ МЕРЕЊА</w:t>
      </w:r>
    </w:p>
    <w:p w14:paraId="2E0FCC4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Oдељак 1.</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Дефиниције новоа за методологије на основу мерења</w:t>
      </w:r>
    </w:p>
    <w:p w14:paraId="2F1BC88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Методологије на основу мерења одобравају се у складу са нивоима са следећим максимално дозвољеним несигурностима за годишње просечне једночасовне емисије израчунате у складу са једначином 2 која је дата у Одељку 3. овог прилога.</w:t>
      </w:r>
    </w:p>
    <w:p w14:paraId="57E7F67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Tабела 1. Нивои за SKME (максимално дозвољена несигурност за сваки ниво)</w:t>
      </w:r>
    </w:p>
    <w:p w14:paraId="78E7523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случају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несигурност треба да се примени на укупну измерену количину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Када се удео утврђује коришћењем методологије на основу мерења, на удео биомасе примењује се иста дефиниција нивоа као за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822"/>
        <w:gridCol w:w="2815"/>
        <w:gridCol w:w="2960"/>
        <w:gridCol w:w="2815"/>
        <w:gridCol w:w="2960"/>
      </w:tblGrid>
      <w:tr w:rsidR="00951703" w:rsidRPr="00951703" w14:paraId="21CD951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4A65D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31E3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E497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A723D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17D1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Ниво 4</w:t>
            </w:r>
          </w:p>
        </w:tc>
      </w:tr>
      <w:tr w:rsidR="00951703" w:rsidRPr="00951703" w14:paraId="1B9739F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DD48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Извори емисија CO</w:t>
            </w:r>
            <w:r w:rsidRPr="00B34F09">
              <w:rPr>
                <w:rFonts w:ascii="Arial" w:eastAsia="Times New Roman" w:hAnsi="Arial" w:cs="Arial"/>
                <w:noProof w:val="0"/>
                <w:color w:val="000000"/>
                <w:sz w:val="20"/>
                <w:szCs w:val="20"/>
                <w:vertAlign w:val="subscript"/>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3827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61587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8C8AA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AF06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r>
      <w:tr w:rsidR="00951703" w:rsidRPr="00951703" w14:paraId="58F6B49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9706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Извори емисија 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F0AD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4767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532E7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2B8E1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н.п.*</w:t>
            </w:r>
          </w:p>
        </w:tc>
      </w:tr>
      <w:tr w:rsidR="00951703" w:rsidRPr="00951703" w14:paraId="0354A11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79D89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Трансфер CO</w:t>
            </w:r>
            <w:r w:rsidRPr="00B34F09">
              <w:rPr>
                <w:rFonts w:ascii="Arial" w:eastAsia="Times New Roman" w:hAnsi="Arial" w:cs="Arial"/>
                <w:noProof w:val="0"/>
                <w:color w:val="000000"/>
                <w:sz w:val="20"/>
                <w:szCs w:val="20"/>
                <w:vertAlign w:val="subscript"/>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7728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10 %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61EB1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7,5 %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84BFC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BEEB4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2,5 %</w:t>
            </w:r>
          </w:p>
        </w:tc>
      </w:tr>
    </w:tbl>
    <w:p w14:paraId="60B3CB5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Напомена:</w:t>
      </w:r>
    </w:p>
    <w:p w14:paraId="6C8C8AF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н.п. значи није примењиво</w:t>
      </w:r>
    </w:p>
    <w:p w14:paraId="66BD2091"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2.</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Минимални захтеви за постројења А катагорије</w:t>
      </w:r>
    </w:p>
    <w:p w14:paraId="009742E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Табела 2. Минимални нивои који треба да се примене за постројења А категорије за методологије на основу мерења у складу са чланом 38. став 1. тачка 1) овог правилника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50"/>
        <w:gridCol w:w="16222"/>
      </w:tblGrid>
      <w:tr w:rsidR="00951703" w:rsidRPr="00951703" w14:paraId="6C30949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E64C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9DA7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Тражени минимални ниво</w:t>
            </w:r>
          </w:p>
        </w:tc>
      </w:tr>
      <w:tr w:rsidR="00951703" w:rsidRPr="00951703" w14:paraId="560275D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C09D8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CO</w:t>
            </w:r>
            <w:r w:rsidRPr="00B34F09">
              <w:rPr>
                <w:rFonts w:ascii="Arial" w:eastAsia="Times New Roman" w:hAnsi="Arial" w:cs="Arial"/>
                <w:noProof w:val="0"/>
                <w:color w:val="000000"/>
                <w:sz w:val="20"/>
                <w:szCs w:val="20"/>
                <w:vertAlign w:val="subscript"/>
                <w:lang w:val="en-US"/>
              </w:rPr>
              <w:t>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67FA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r>
      <w:tr w:rsidR="00951703" w:rsidRPr="00951703" w14:paraId="3C0D8C0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6EA0E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N</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O</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2081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w:t>
            </w:r>
          </w:p>
        </w:tc>
      </w:tr>
    </w:tbl>
    <w:p w14:paraId="6EC23B6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3.</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Утврђивање емисија GHG користећи методологију на основу мерења</w:t>
      </w:r>
    </w:p>
    <w:p w14:paraId="2C6D4A6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1: Прорачун емисија у складу са чланом 40. ст. 1–4. овог правилника</w:t>
      </w:r>
    </w:p>
    <w:p w14:paraId="77CC8B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0333A9EB" wp14:editId="700A4042">
            <wp:extent cx="5057775" cy="647700"/>
            <wp:effectExtent l="0" t="0" r="0" b="0"/>
            <wp:docPr id="13" name="Picture 13" descr="https://www.pravno-informacioni-sistem.rs/SlGlasnikPortal/slike/Staklena-basta_Page_0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ike/Staklena-basta_Page_06.png&amp;doctype=reg&amp;abc=cba&amp;eli=true&amp;eliActId=436691&amp;regactid=4366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647700"/>
                    </a:xfrm>
                    <a:prstGeom prst="rect">
                      <a:avLst/>
                    </a:prstGeom>
                    <a:noFill/>
                    <a:ln>
                      <a:noFill/>
                    </a:ln>
                  </pic:spPr>
                </pic:pic>
              </a:graphicData>
            </a:graphic>
          </wp:inline>
        </w:drawing>
      </w:r>
    </w:p>
    <w:p w14:paraId="7D096ED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2: Утврђивање просечних једночасовних емисија:</w:t>
      </w:r>
    </w:p>
    <w:p w14:paraId="6DEE85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54502468" wp14:editId="21918113">
            <wp:extent cx="5057775" cy="581025"/>
            <wp:effectExtent l="0" t="0" r="0" b="9525"/>
            <wp:docPr id="12" name="Picture 12" descr="https://www.pravno-informacioni-sistem.rs/SlGlasnikPortal/slike/Staklena-basta_Page_0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ike/Staklena-basta_Page_07.png&amp;doctype=reg&amp;abc=cba&amp;eli=true&amp;eliActId=436691&amp;regactid=4366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inline>
        </w:drawing>
      </w:r>
    </w:p>
    <w:p w14:paraId="728547E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2a: Утврђивање просечне једночасовне концентрације GHG у циљу извештавања у складу са тачком 9 (2) Одељка 1. у Прилогу 9 овог правилника:</w:t>
      </w:r>
    </w:p>
    <w:p w14:paraId="7E2494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661180D4" wp14:editId="4888376E">
            <wp:extent cx="5057775" cy="638175"/>
            <wp:effectExtent l="0" t="0" r="9525" b="0"/>
            <wp:docPr id="11" name="Picture 11" descr="https://www.pravno-informacioni-sistem.rs/SlGlasnikPortal/slike/Staklena-basta_Page_0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ravno-informacioni-sistem.rs/SlGlasnikPortal/slike/Staklena-basta_Page_08.png&amp;doctype=reg&amp;abc=cba&amp;eli=true&amp;eliActId=436691&amp;regactid=4366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638175"/>
                    </a:xfrm>
                    <a:prstGeom prst="rect">
                      <a:avLst/>
                    </a:prstGeom>
                    <a:noFill/>
                    <a:ln>
                      <a:noFill/>
                    </a:ln>
                  </pic:spPr>
                </pic:pic>
              </a:graphicData>
            </a:graphic>
          </wp:inline>
        </w:drawing>
      </w:r>
    </w:p>
    <w:p w14:paraId="5C64D10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2б: Утврђивање просечне једночасовне концентрације протока димног гаса у циљу извештавања у складу са тачком 9 (2) Одељка 1. у Прилогу 9 овог правилника:</w:t>
      </w:r>
    </w:p>
    <w:p w14:paraId="22B2C1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2CC35ED0" wp14:editId="5E1921F6">
            <wp:extent cx="5057775" cy="628650"/>
            <wp:effectExtent l="0" t="0" r="0" b="0"/>
            <wp:docPr id="10" name="Picture 10" descr="https://www.pravno-informacioni-sistem.rs/SlGlasnikPortal/slike/Staklena-basta_Page_0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avno-informacioni-sistem.rs/SlGlasnikPortal/slike/Staklena-basta_Page_09.png&amp;doctype=reg&amp;abc=cba&amp;eli=true&amp;eliActId=436691&amp;regactid=43669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775" cy="628650"/>
                    </a:xfrm>
                    <a:prstGeom prst="rect">
                      <a:avLst/>
                    </a:prstGeom>
                    <a:noFill/>
                    <a:ln>
                      <a:noFill/>
                    </a:ln>
                  </pic:spPr>
                </pic:pic>
              </a:graphicData>
            </a:graphic>
          </wp:inline>
        </w:drawing>
      </w:r>
    </w:p>
    <w:p w14:paraId="3EBF809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2в: Прорачун годишњих емисија у циљу израде годишњег извештаја о емисијама у складу са тачком 9 (2) Одељка 1. у Прилогу 9 овог правилника:</w:t>
      </w:r>
    </w:p>
    <w:p w14:paraId="53B4461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0538B064" wp14:editId="6AD38D85">
            <wp:extent cx="5057775" cy="323850"/>
            <wp:effectExtent l="0" t="0" r="9525" b="0"/>
            <wp:docPr id="9" name="Picture 9" descr="https://www.pravno-informacioni-sistem.rs/SlGlasnikPortal/slike/Staklena-basta_Page_10.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ravno-informacioni-sistem.rs/SlGlasnikPortal/slike/Staklena-basta_Page_10.png&amp;doctype=reg&amp;abc=cba&amp;eli=true&amp;eliActId=436691&amp;regactid=4366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7775" cy="323850"/>
                    </a:xfrm>
                    <a:prstGeom prst="rect">
                      <a:avLst/>
                    </a:prstGeom>
                    <a:noFill/>
                    <a:ln>
                      <a:noFill/>
                    </a:ln>
                  </pic:spPr>
                </pic:pic>
              </a:graphicData>
            </a:graphic>
          </wp:inline>
        </w:drawing>
      </w:r>
    </w:p>
    <w:p w14:paraId="45F2C80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 једначинама од 1 до 2в користе се следеће скраћенице:</w:t>
      </w:r>
    </w:p>
    <w:p w14:paraId="0DEFF02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Индекс </w:t>
      </w:r>
      <w:r w:rsidRPr="00B34F09">
        <w:rPr>
          <w:rFonts w:ascii="Arial" w:eastAsia="Times New Roman" w:hAnsi="Arial" w:cs="Arial"/>
          <w:i/>
          <w:iCs/>
          <w:noProof w:val="0"/>
          <w:color w:val="000000"/>
          <w:sz w:val="20"/>
          <w:szCs w:val="20"/>
          <w:lang w:val="en-US"/>
        </w:rPr>
        <w:t>i </w:t>
      </w:r>
      <w:r w:rsidRPr="00951703">
        <w:rPr>
          <w:rFonts w:ascii="Arial" w:eastAsia="Times New Roman" w:hAnsi="Arial" w:cs="Arial"/>
          <w:noProof w:val="0"/>
          <w:color w:val="000000"/>
          <w:sz w:val="20"/>
          <w:szCs w:val="20"/>
          <w:lang w:val="en-US"/>
        </w:rPr>
        <w:t>односи се на појединачне часове рада. Када оператер користи краће референтне периоде у складу са чланом 41. ст. 1–2 овог правилника, тај референтни период се користи уместо часова за те прорачуне.</w:t>
      </w:r>
    </w:p>
    <w:p w14:paraId="48DC286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GHG Em</w:t>
      </w:r>
      <w:r w:rsidRPr="00B34F09">
        <w:rPr>
          <w:rFonts w:ascii="Arial" w:eastAsia="Times New Roman" w:hAnsi="Arial" w:cs="Arial"/>
          <w:noProof w:val="0"/>
          <w:color w:val="000000"/>
          <w:sz w:val="20"/>
          <w:szCs w:val="20"/>
          <w:vertAlign w:val="subscript"/>
          <w:lang w:val="en-US"/>
        </w:rPr>
        <w:t>укупно </w:t>
      </w:r>
      <w:r w:rsidRPr="00951703">
        <w:rPr>
          <w:rFonts w:ascii="Arial" w:eastAsia="Times New Roman" w:hAnsi="Arial" w:cs="Arial"/>
          <w:noProof w:val="0"/>
          <w:color w:val="000000"/>
          <w:sz w:val="20"/>
          <w:szCs w:val="20"/>
          <w:lang w:val="en-US"/>
        </w:rPr>
        <w:t>= укупне годишње емисије GHG у тонама;</w:t>
      </w:r>
    </w:p>
    <w:p w14:paraId="410718B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GHG KONC</w:t>
      </w:r>
      <w:r w:rsidRPr="00B34F09">
        <w:rPr>
          <w:rFonts w:ascii="Arial" w:eastAsia="Times New Roman" w:hAnsi="Arial" w:cs="Arial"/>
          <w:noProof w:val="0"/>
          <w:color w:val="000000"/>
          <w:sz w:val="20"/>
          <w:szCs w:val="20"/>
          <w:vertAlign w:val="subscript"/>
          <w:lang w:val="en-US"/>
        </w:rPr>
        <w:t>сатни, I </w:t>
      </w:r>
      <w:r w:rsidRPr="00951703">
        <w:rPr>
          <w:rFonts w:ascii="Arial" w:eastAsia="Times New Roman" w:hAnsi="Arial" w:cs="Arial"/>
          <w:noProof w:val="0"/>
          <w:color w:val="000000"/>
          <w:sz w:val="20"/>
          <w:szCs w:val="20"/>
          <w:lang w:val="en-US"/>
        </w:rPr>
        <w:t>= једночасовне концентрације емисија GHG у g/Nm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 у протоку димног гаса мерено у току рада по часу </w:t>
      </w:r>
      <w:r w:rsidRPr="00B34F09">
        <w:rPr>
          <w:rFonts w:ascii="Arial" w:eastAsia="Times New Roman" w:hAnsi="Arial" w:cs="Arial"/>
          <w:i/>
          <w:iCs/>
          <w:noProof w:val="0"/>
          <w:color w:val="000000"/>
          <w:sz w:val="20"/>
          <w:szCs w:val="20"/>
          <w:lang w:val="en-US"/>
        </w:rPr>
        <w:t>i</w:t>
      </w:r>
      <w:r w:rsidRPr="00951703">
        <w:rPr>
          <w:rFonts w:ascii="Arial" w:eastAsia="Times New Roman" w:hAnsi="Arial" w:cs="Arial"/>
          <w:noProof w:val="0"/>
          <w:color w:val="000000"/>
          <w:sz w:val="20"/>
          <w:szCs w:val="20"/>
          <w:lang w:val="en-US"/>
        </w:rPr>
        <w:t>;</w:t>
      </w:r>
    </w:p>
    <w:p w14:paraId="484CE74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V</w:t>
      </w:r>
      <w:r w:rsidRPr="00B34F09">
        <w:rPr>
          <w:rFonts w:ascii="Arial" w:eastAsia="Times New Roman" w:hAnsi="Arial" w:cs="Arial"/>
          <w:noProof w:val="0"/>
          <w:color w:val="000000"/>
          <w:sz w:val="20"/>
          <w:szCs w:val="20"/>
          <w:vertAlign w:val="subscript"/>
          <w:lang w:val="en-US"/>
        </w:rPr>
        <w:t>сатни, I</w:t>
      </w:r>
      <w:r w:rsidRPr="00B34F09">
        <w:rPr>
          <w:rFonts w:ascii="Arial" w:eastAsia="Times New Roman" w:hAnsi="Arial" w:cs="Arial"/>
          <w:i/>
          <w:iCs/>
          <w:noProof w:val="0"/>
          <w:color w:val="000000"/>
          <w:sz w:val="20"/>
          <w:szCs w:val="20"/>
          <w:lang w:val="en-US"/>
        </w:rPr>
        <w:t> </w:t>
      </w:r>
      <w:r w:rsidRPr="00951703">
        <w:rPr>
          <w:rFonts w:ascii="Arial" w:eastAsia="Times New Roman" w:hAnsi="Arial" w:cs="Arial"/>
          <w:noProof w:val="0"/>
          <w:color w:val="000000"/>
          <w:sz w:val="20"/>
          <w:szCs w:val="20"/>
          <w:lang w:val="en-US"/>
        </w:rPr>
        <w:t>= запремина димног гаса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 по часу </w:t>
      </w:r>
      <w:r w:rsidRPr="00B34F09">
        <w:rPr>
          <w:rFonts w:ascii="Arial" w:eastAsia="Times New Roman" w:hAnsi="Arial" w:cs="Arial"/>
          <w:i/>
          <w:iCs/>
          <w:noProof w:val="0"/>
          <w:color w:val="000000"/>
          <w:sz w:val="20"/>
          <w:szCs w:val="20"/>
          <w:lang w:val="en-US"/>
        </w:rPr>
        <w:t>i (тј. Интегрисан проток у току часа или краћи референтни период)</w:t>
      </w:r>
      <w:r w:rsidRPr="00951703">
        <w:rPr>
          <w:rFonts w:ascii="Arial" w:eastAsia="Times New Roman" w:hAnsi="Arial" w:cs="Arial"/>
          <w:noProof w:val="0"/>
          <w:color w:val="000000"/>
          <w:sz w:val="20"/>
          <w:szCs w:val="20"/>
          <w:lang w:val="en-US"/>
        </w:rPr>
        <w:t>;</w:t>
      </w:r>
    </w:p>
    <w:p w14:paraId="49512F6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GHG Em</w:t>
      </w:r>
      <w:r w:rsidRPr="00B34F09">
        <w:rPr>
          <w:rFonts w:ascii="Arial" w:eastAsia="Times New Roman" w:hAnsi="Arial" w:cs="Arial"/>
          <w:noProof w:val="0"/>
          <w:color w:val="000000"/>
          <w:sz w:val="20"/>
          <w:szCs w:val="20"/>
          <w:vertAlign w:val="subscript"/>
          <w:lang w:val="en-US"/>
        </w:rPr>
        <w:t>просек </w:t>
      </w:r>
      <w:r w:rsidRPr="00951703">
        <w:rPr>
          <w:rFonts w:ascii="Arial" w:eastAsia="Times New Roman" w:hAnsi="Arial" w:cs="Arial"/>
          <w:noProof w:val="0"/>
          <w:color w:val="000000"/>
          <w:sz w:val="20"/>
          <w:szCs w:val="20"/>
          <w:lang w:val="en-US"/>
        </w:rPr>
        <w:t>= годишње просечне једночасовне емисије у kg/h из извора;</w:t>
      </w:r>
    </w:p>
    <w:p w14:paraId="4A93C35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lastRenderedPageBreak/>
        <w:t>Време рада </w:t>
      </w:r>
      <w:r w:rsidRPr="00951703">
        <w:rPr>
          <w:rFonts w:ascii="Arial" w:eastAsia="Times New Roman" w:hAnsi="Arial" w:cs="Arial"/>
          <w:noProof w:val="0"/>
          <w:color w:val="000000"/>
          <w:sz w:val="20"/>
          <w:szCs w:val="20"/>
          <w:lang w:val="en-US"/>
        </w:rPr>
        <w:t>= укупан број часова за које се примењује методологија на основу мерења, укључујући часове за које су подаци замењени у складу са чланом 42. ст. 2–5. овог правилника;</w:t>
      </w:r>
    </w:p>
    <w:p w14:paraId="21B9499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GHG konc</w:t>
      </w:r>
      <w:r w:rsidRPr="00B34F09">
        <w:rPr>
          <w:rFonts w:ascii="Arial" w:eastAsia="Times New Roman" w:hAnsi="Arial" w:cs="Arial"/>
          <w:noProof w:val="0"/>
          <w:color w:val="000000"/>
          <w:sz w:val="20"/>
          <w:szCs w:val="20"/>
          <w:vertAlign w:val="subscript"/>
          <w:lang w:val="en-US"/>
        </w:rPr>
        <w:t>просек</w:t>
      </w:r>
      <w:r w:rsidRPr="00951703">
        <w:rPr>
          <w:rFonts w:ascii="Arial" w:eastAsia="Times New Roman" w:hAnsi="Arial" w:cs="Arial"/>
          <w:noProof w:val="0"/>
          <w:color w:val="000000"/>
          <w:sz w:val="20"/>
          <w:szCs w:val="20"/>
          <w:lang w:val="en-US"/>
        </w:rPr>
        <w:t> = годишње просечне једночасовне концентрације емисија GHG у g/Nm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w:t>
      </w:r>
    </w:p>
    <w:p w14:paraId="5C497BD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i/>
          <w:iCs/>
          <w:noProof w:val="0"/>
          <w:color w:val="000000"/>
          <w:sz w:val="20"/>
          <w:szCs w:val="20"/>
          <w:lang w:val="en-US"/>
        </w:rPr>
        <w:t>PROTOK</w:t>
      </w:r>
      <w:r w:rsidRPr="00B34F09">
        <w:rPr>
          <w:rFonts w:ascii="Arial" w:eastAsia="Times New Roman" w:hAnsi="Arial" w:cs="Arial"/>
          <w:noProof w:val="0"/>
          <w:color w:val="000000"/>
          <w:sz w:val="20"/>
          <w:szCs w:val="20"/>
          <w:vertAlign w:val="subscript"/>
          <w:lang w:val="en-US"/>
        </w:rPr>
        <w:t>просек</w:t>
      </w:r>
      <w:r w:rsidRPr="00951703">
        <w:rPr>
          <w:rFonts w:ascii="Arial" w:eastAsia="Times New Roman" w:hAnsi="Arial" w:cs="Arial"/>
          <w:noProof w:val="0"/>
          <w:color w:val="000000"/>
          <w:sz w:val="20"/>
          <w:szCs w:val="20"/>
          <w:lang w:val="en-US"/>
        </w:rPr>
        <w:t> = годишњи просечни проток димног гаса у Nm</w:t>
      </w:r>
      <w:r w:rsidRPr="00B34F09">
        <w:rPr>
          <w:rFonts w:ascii="Arial" w:eastAsia="Times New Roman" w:hAnsi="Arial" w:cs="Arial"/>
          <w:noProof w:val="0"/>
          <w:color w:val="000000"/>
          <w:sz w:val="20"/>
          <w:szCs w:val="20"/>
          <w:vertAlign w:val="superscript"/>
          <w:lang w:val="en-US"/>
        </w:rPr>
        <w:t>3</w:t>
      </w:r>
      <w:r w:rsidRPr="00951703">
        <w:rPr>
          <w:rFonts w:ascii="Arial" w:eastAsia="Times New Roman" w:hAnsi="Arial" w:cs="Arial"/>
          <w:noProof w:val="0"/>
          <w:color w:val="000000"/>
          <w:sz w:val="20"/>
          <w:szCs w:val="20"/>
          <w:lang w:val="en-US"/>
        </w:rPr>
        <w:t>/h.</w:t>
      </w:r>
    </w:p>
    <w:p w14:paraId="0A212B0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4.</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Прорачун концентрације користећи индиректно мерење концентрације</w:t>
      </w:r>
    </w:p>
    <w:p w14:paraId="357D1E7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3. Прорачун концентрације</w:t>
      </w:r>
    </w:p>
    <w:p w14:paraId="1C066A1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50E91310" wp14:editId="188D2E72">
            <wp:extent cx="5057775" cy="800100"/>
            <wp:effectExtent l="0" t="0" r="9525" b="0"/>
            <wp:docPr id="8" name="Picture 8" descr="https://www.pravno-informacioni-sistem.rs/SlGlasnikPortal/slike/Staklena-basta_Page_11.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avno-informacioni-sistem.rs/SlGlasnikPortal/slike/Staklena-basta_Page_11.png&amp;doctype=reg&amp;abc=cba&amp;eli=true&amp;eliActId=436691&amp;regactid=4366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7775" cy="800100"/>
                    </a:xfrm>
                    <a:prstGeom prst="rect">
                      <a:avLst/>
                    </a:prstGeom>
                    <a:noFill/>
                    <a:ln>
                      <a:noFill/>
                    </a:ln>
                  </pic:spPr>
                </pic:pic>
              </a:graphicData>
            </a:graphic>
          </wp:inline>
        </w:drawing>
      </w:r>
    </w:p>
    <w:p w14:paraId="3D1FAF72"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Одељак 5.</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Замена за податке о концентрацији који недостају за методологије на основу мерења</w:t>
      </w:r>
    </w:p>
    <w:p w14:paraId="039A74C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Једначина 4. Замена за податке који недостају за методологије на основу мерења</w:t>
      </w:r>
    </w:p>
    <w:p w14:paraId="577E609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7B3B98E3" wp14:editId="386535A0">
            <wp:extent cx="5057775" cy="295275"/>
            <wp:effectExtent l="0" t="0" r="0" b="9525"/>
            <wp:docPr id="7" name="Picture 7" descr="https://www.pravno-informacioni-sistem.rs/SlGlasnikPortal/slike/Staklena-basta_Page_1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ravno-informacioni-sistem.rs/SlGlasnikPortal/slike/Staklena-basta_Page_12.png&amp;doctype=reg&amp;abc=cba&amp;eli=true&amp;eliActId=436691&amp;regactid=4366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7775" cy="295275"/>
                    </a:xfrm>
                    <a:prstGeom prst="rect">
                      <a:avLst/>
                    </a:prstGeom>
                    <a:noFill/>
                    <a:ln>
                      <a:noFill/>
                    </a:ln>
                  </pic:spPr>
                </pic:pic>
              </a:graphicData>
            </a:graphic>
          </wp:inline>
        </w:drawing>
      </w:r>
    </w:p>
    <w:p w14:paraId="264B5A9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Где је: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0"/>
        <w:gridCol w:w="177"/>
        <w:gridCol w:w="18595"/>
      </w:tblGrid>
      <w:tr w:rsidR="00951703" w:rsidRPr="00951703" w14:paraId="7CEC74C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DF2A5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drawing>
                <wp:inline distT="0" distB="0" distL="0" distR="0" wp14:anchorId="1DC70A07" wp14:editId="77D86C48">
                  <wp:extent cx="333375" cy="257175"/>
                  <wp:effectExtent l="0" t="0" r="9525" b="9525"/>
                  <wp:docPr id="6" name="Picture 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695E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553C0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Аритметичка средина концентрације специфичног параметра у току целог периода извештавања или, у случају када важе посебне околности кад дође до губитка података, одговарајући период који одражава те посебне околности;</w:t>
            </w:r>
          </w:p>
        </w:tc>
      </w:tr>
      <w:tr w:rsidR="00951703" w:rsidRPr="00951703" w14:paraId="3E23D56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4955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σC_</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64F3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E5C0D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Најбоља процена стандардног одступања од концентрације специфичног параметра у целом извештајном периоду или у случају када важе посебне околности када дође до губитка података, одговарајући период који одражава те посебне околности.</w:t>
            </w:r>
          </w:p>
        </w:tc>
      </w:tr>
    </w:tbl>
    <w:p w14:paraId="7FBE3CA2"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402914DA" w14:textId="77777777" w:rsidR="00951703" w:rsidRPr="00B34F09" w:rsidRDefault="00951703" w:rsidP="00951703">
      <w:pPr>
        <w:pStyle w:val="potpis"/>
        <w:spacing w:before="0" w:beforeAutospacing="0" w:after="0" w:afterAutospacing="0"/>
        <w:ind w:firstLine="480"/>
        <w:jc w:val="right"/>
        <w:rPr>
          <w:rFonts w:ascii="Arial" w:hAnsi="Arial" w:cs="Arial"/>
          <w:color w:val="000000"/>
          <w:sz w:val="20"/>
          <w:szCs w:val="20"/>
        </w:rPr>
      </w:pPr>
      <w:r w:rsidRPr="00B34F09">
        <w:rPr>
          <w:rStyle w:val="bold"/>
          <w:rFonts w:ascii="Arial" w:hAnsi="Arial" w:cs="Arial"/>
          <w:b/>
          <w:bCs/>
          <w:color w:val="000000"/>
          <w:sz w:val="20"/>
          <w:szCs w:val="20"/>
        </w:rPr>
        <w:t>ПРИЛОГ 8</w:t>
      </w:r>
    </w:p>
    <w:p w14:paraId="0311CEBC" w14:textId="77777777" w:rsidR="00951703" w:rsidRPr="00B34F09" w:rsidRDefault="00951703" w:rsidP="00951703">
      <w:pPr>
        <w:pStyle w:val="bold1"/>
        <w:spacing w:before="0" w:beforeAutospacing="0" w:after="0" w:afterAutospacing="0"/>
        <w:ind w:firstLine="480"/>
        <w:jc w:val="center"/>
        <w:rPr>
          <w:rFonts w:ascii="Arial" w:hAnsi="Arial" w:cs="Arial"/>
          <w:b/>
          <w:bCs/>
          <w:color w:val="000000"/>
          <w:sz w:val="20"/>
          <w:szCs w:val="20"/>
        </w:rPr>
      </w:pPr>
      <w:r w:rsidRPr="00B34F09">
        <w:rPr>
          <w:rStyle w:val="bold"/>
          <w:rFonts w:ascii="Arial" w:hAnsi="Arial" w:cs="Arial"/>
          <w:b/>
          <w:bCs/>
          <w:color w:val="000000"/>
          <w:sz w:val="20"/>
          <w:szCs w:val="20"/>
        </w:rPr>
        <w:t>МИНИМАЛНИ ПОДАЦИ ЗА КОЈЕ ЈЕ ПРОПИСАНА ОБАВЕЗА ВОЂЕЊА ЕВИДЕНЦИЈЕ И ЧУВАЊА У СКЛАДУ СА ЧЛАНОМ 57. ОВОГ ПРАВИЛНИКА</w:t>
      </w:r>
    </w:p>
    <w:p w14:paraId="5D34A61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Оператери чувају следеће документе:</w:t>
      </w:r>
    </w:p>
    <w:p w14:paraId="47D579A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ОПШТИ ЕЛЕМЕНТИ ЗА ПОСТРОЈЕЊА</w:t>
      </w:r>
    </w:p>
    <w:p w14:paraId="63A8173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план мониторинга који је одобрио надлежни орган;</w:t>
      </w:r>
    </w:p>
    <w:p w14:paraId="428E766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документа која правдају избор методологије мониторинга и документа која правдају привремене или сталне измене методологија мониторинга и нивоа, а које је одобрио надлежни орган;</w:t>
      </w:r>
    </w:p>
    <w:p w14:paraId="6E6087A8"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свако релевантно ажурирање планова мониторинга о којима је обавештен надлежни орган, као и одговори надлежног органа;</w:t>
      </w:r>
    </w:p>
    <w:p w14:paraId="0841341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сви писани поступци на које се упућује у плану мониторинга, укључујући план узорковања, поступке за активности тока података и поступке за контролне активности;</w:t>
      </w:r>
    </w:p>
    <w:p w14:paraId="48790E95"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попис свих коришћених верзија плана мониторинга и свих повезаних поступака;</w:t>
      </w:r>
    </w:p>
    <w:p w14:paraId="67313FF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документација о задужењима за мониторинг и извештавање;</w:t>
      </w:r>
    </w:p>
    <w:p w14:paraId="6770F99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процена ризика коју врши оператер постројења;</w:t>
      </w:r>
    </w:p>
    <w:p w14:paraId="7425166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8) извештаји о побољшању методологије мониторинга, у складу са чланом 59. овог правилника;</w:t>
      </w:r>
    </w:p>
    <w:p w14:paraId="4DD8B4B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9) верификовани годишњи извештај о емисијама GHG;</w:t>
      </w:r>
    </w:p>
    <w:p w14:paraId="0D98FDB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10) извештај о верификацији;</w:t>
      </w:r>
    </w:p>
    <w:p w14:paraId="4149076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11) све друге информације за које се утврди да су неопходне за верификацију годишњих извештаја о емисијама GHG.</w:t>
      </w:r>
    </w:p>
    <w:p w14:paraId="29AECD2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СПЕЦИФИЧНИ ЕЛЕМЕНТИ ЗА ПОСТРОЈЕЊА</w:t>
      </w:r>
    </w:p>
    <w:p w14:paraId="3201CC0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дозвола за емисију гасова и њене евентуалне измене;</w:t>
      </w:r>
    </w:p>
    <w:p w14:paraId="09FD077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свака процена несигурности, где је применљиво;</w:t>
      </w:r>
    </w:p>
    <w:p w14:paraId="4B14B27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за методологије на основу прорачуна које се примењују у постројењима:</w:t>
      </w:r>
    </w:p>
    <w:p w14:paraId="740FE66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подаци о активностима који се користе за рачунање емисија гасова за сваки ток извора, категорисане у складу са процесом и горивом или врстом материјала;</w:t>
      </w:r>
    </w:p>
    <w:p w14:paraId="2106254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попис свих стандардних вредности које се користе као обрачунски фактори, где је применљиво;</w:t>
      </w:r>
    </w:p>
    <w:p w14:paraId="03D1E3CD"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попис резултата узорковања и анализе за утврђивање обрачунских фактора;</w:t>
      </w:r>
    </w:p>
    <w:p w14:paraId="261CE75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документација о свим исправљеним неделотворним поступцима и о корективним мерама предузетим у складу са чланом 59. овог правилника;</w:t>
      </w:r>
    </w:p>
    <w:p w14:paraId="3DE4EE5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сви резултати калибрисања и одржавања мерних инструмената;</w:t>
      </w:r>
    </w:p>
    <w:p w14:paraId="12978C38"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за методологије на основу мерења у постројењима:</w:t>
      </w:r>
    </w:p>
    <w:p w14:paraId="5AEAFE4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документација којом се правда избор методологије засноване на мерењу;</w:t>
      </w:r>
    </w:p>
    <w:p w14:paraId="042AFED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подаци који се користе за анализу несигурности емисија гасова из сваког извора емисије, категорисани у складу са процесом;</w:t>
      </w:r>
    </w:p>
    <w:p w14:paraId="007FEF74"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подаци који се користе да се потврде прорачуни и резултати прорачуна;</w:t>
      </w:r>
    </w:p>
    <w:p w14:paraId="4711EB1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детаљан технички опис система континуираног мерења укључујући одобрења надлежног органа;</w:t>
      </w:r>
    </w:p>
    <w:p w14:paraId="1574A2C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необрађени и прикупљени подаци из система континуираног мерења, укључујући податке о променама, дневник о тестирањима, време застоја, калибрације, сервисирање и одржавање;</w:t>
      </w:r>
    </w:p>
    <w:p w14:paraId="369688C9"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документација о свакој промени система за континуирано мерење;</w:t>
      </w:r>
    </w:p>
    <w:p w14:paraId="480A599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сваки резултат калибрације и одржавања мерних инструмената;</w:t>
      </w:r>
    </w:p>
    <w:p w14:paraId="501BD62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lastRenderedPageBreak/>
        <w:t>(8) где је применљиво, модел масеног или енергетског биланса који се користи у циљу утврђивања посредних података у складу са чланом 42. ст. 5. и 6. овог правилника и претпоставки које су основ за замену;</w:t>
      </w:r>
    </w:p>
    <w:p w14:paraId="56F2E636"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за алтернативну методологију из члана 19. овог правилника, сви подаци неопходни за утврђивање емисија гасова за изворе емисија и токове емисија за које се примењује та методологија, као и посредни подаци за податке о активностима, обрачунски фактори и остали параметри који би се примењивали по методологији неког нивоа;</w:t>
      </w:r>
    </w:p>
    <w:p w14:paraId="3F769C3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за производњу примарног алуминијума:</w:t>
      </w:r>
    </w:p>
    <w:p w14:paraId="44544B84"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документација резултата из мерних активности за утврђивање емисионих фактора који су специфични за постројење за CF</w:t>
      </w:r>
      <w:r w:rsidRPr="00B34F09">
        <w:rPr>
          <w:rStyle w:val="subscript"/>
          <w:rFonts w:ascii="Arial" w:hAnsi="Arial" w:cs="Arial"/>
          <w:color w:val="000000"/>
          <w:sz w:val="20"/>
          <w:szCs w:val="20"/>
          <w:vertAlign w:val="subscript"/>
        </w:rPr>
        <w:t>4</w:t>
      </w:r>
      <w:r w:rsidRPr="00B34F09">
        <w:rPr>
          <w:rFonts w:ascii="Arial" w:hAnsi="Arial" w:cs="Arial"/>
          <w:color w:val="000000"/>
          <w:sz w:val="20"/>
          <w:szCs w:val="20"/>
        </w:rPr>
        <w:t> и C</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F</w:t>
      </w:r>
      <w:r w:rsidRPr="00B34F09">
        <w:rPr>
          <w:rStyle w:val="subscript"/>
          <w:rFonts w:ascii="Arial" w:hAnsi="Arial" w:cs="Arial"/>
          <w:color w:val="000000"/>
          <w:sz w:val="20"/>
          <w:szCs w:val="20"/>
          <w:vertAlign w:val="subscript"/>
        </w:rPr>
        <w:t>6</w:t>
      </w:r>
      <w:r w:rsidRPr="00B34F09">
        <w:rPr>
          <w:rFonts w:ascii="Arial" w:hAnsi="Arial" w:cs="Arial"/>
          <w:color w:val="000000"/>
          <w:sz w:val="20"/>
          <w:szCs w:val="20"/>
        </w:rPr>
        <w:t>;</w:t>
      </w:r>
    </w:p>
    <w:p w14:paraId="70E1D6C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документација резултата утврђивања ефикасности сакупљања за фугитивне емисије;</w:t>
      </w:r>
    </w:p>
    <w:p w14:paraId="22F86EC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сви релевантни подаци о производњи примарног алуминијума, учесталости и трајања анодног ефекта или података о пренапону;</w:t>
      </w:r>
    </w:p>
    <w:p w14:paraId="2FBD7DE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за активности хватања, превоза и геолошког складиштења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где је примењиво, следеће додатне елементе:</w:t>
      </w:r>
    </w:p>
    <w:p w14:paraId="13943C66"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документација о количини CО</w:t>
      </w:r>
      <w:r w:rsidRPr="00B34F09">
        <w:rPr>
          <w:rStyle w:val="subscript"/>
          <w:rFonts w:ascii="Arial" w:hAnsi="Arial" w:cs="Arial"/>
          <w:color w:val="000000"/>
          <w:sz w:val="20"/>
          <w:szCs w:val="20"/>
          <w:vertAlign w:val="subscript"/>
        </w:rPr>
        <w:t>2 </w:t>
      </w:r>
      <w:r w:rsidRPr="00B34F09">
        <w:rPr>
          <w:rFonts w:ascii="Arial" w:hAnsi="Arial" w:cs="Arial"/>
          <w:color w:val="000000"/>
          <w:sz w:val="20"/>
          <w:szCs w:val="20"/>
        </w:rPr>
        <w:t>коју су инсталације које изводе геолошко складиштење CО</w:t>
      </w:r>
      <w:r w:rsidRPr="00B34F09">
        <w:rPr>
          <w:rStyle w:val="subscript"/>
          <w:rFonts w:ascii="Arial" w:hAnsi="Arial" w:cs="Arial"/>
          <w:color w:val="000000"/>
          <w:sz w:val="20"/>
          <w:szCs w:val="20"/>
          <w:vertAlign w:val="subscript"/>
        </w:rPr>
        <w:t>2 </w:t>
      </w:r>
      <w:r w:rsidRPr="00B34F09">
        <w:rPr>
          <w:rFonts w:ascii="Arial" w:hAnsi="Arial" w:cs="Arial"/>
          <w:color w:val="000000"/>
          <w:sz w:val="20"/>
          <w:szCs w:val="20"/>
        </w:rPr>
        <w:t>убациле у складишни комплекс;</w:t>
      </w:r>
    </w:p>
    <w:p w14:paraId="38DDC5F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репрезентативно сакупљени подаци о температури и притиску из транспортне мреже;</w:t>
      </w:r>
    </w:p>
    <w:p w14:paraId="2F011F7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примерак дозволе за складиштење, укључујући одобрен план мониторинга, у складу са законом;</w:t>
      </w:r>
    </w:p>
    <w:p w14:paraId="5921575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извештаји достављени у складу са законом;</w:t>
      </w:r>
    </w:p>
    <w:p w14:paraId="6F21BF5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извештаји о резултатима контрола спроведених у складу са законом;</w:t>
      </w:r>
    </w:p>
    <w:p w14:paraId="7CB7232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документација о корективним мерама које су предузете у складу са законом.</w:t>
      </w:r>
    </w:p>
    <w:p w14:paraId="18CD982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w:t>
      </w:r>
    </w:p>
    <w:p w14:paraId="22537839"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7737EAEF" w14:textId="77777777" w:rsidR="00951703" w:rsidRPr="00B34F09" w:rsidRDefault="00951703" w:rsidP="00951703">
      <w:pPr>
        <w:pStyle w:val="potpis"/>
        <w:spacing w:before="0" w:beforeAutospacing="0" w:after="0" w:afterAutospacing="0"/>
        <w:ind w:firstLine="480"/>
        <w:jc w:val="right"/>
        <w:rPr>
          <w:rFonts w:ascii="Arial" w:hAnsi="Arial" w:cs="Arial"/>
          <w:color w:val="000000"/>
          <w:sz w:val="20"/>
          <w:szCs w:val="20"/>
        </w:rPr>
      </w:pPr>
      <w:r w:rsidRPr="00B34F09">
        <w:rPr>
          <w:rStyle w:val="bold"/>
          <w:rFonts w:ascii="Arial" w:hAnsi="Arial" w:cs="Arial"/>
          <w:b/>
          <w:bCs/>
          <w:color w:val="000000"/>
          <w:sz w:val="20"/>
          <w:szCs w:val="20"/>
        </w:rPr>
        <w:t>ПРИЛОГ 9</w:t>
      </w:r>
    </w:p>
    <w:p w14:paraId="373CD6EC" w14:textId="77777777" w:rsidR="00951703" w:rsidRPr="00B34F09" w:rsidRDefault="00951703" w:rsidP="00951703">
      <w:pPr>
        <w:pStyle w:val="bold1"/>
        <w:spacing w:before="0" w:beforeAutospacing="0" w:after="0" w:afterAutospacing="0"/>
        <w:ind w:firstLine="480"/>
        <w:jc w:val="center"/>
        <w:rPr>
          <w:rFonts w:ascii="Arial" w:hAnsi="Arial" w:cs="Arial"/>
          <w:b/>
          <w:bCs/>
          <w:color w:val="000000"/>
          <w:sz w:val="20"/>
          <w:szCs w:val="20"/>
        </w:rPr>
      </w:pPr>
      <w:r w:rsidRPr="00B34F09">
        <w:rPr>
          <w:rStyle w:val="bold"/>
          <w:rFonts w:ascii="Arial" w:hAnsi="Arial" w:cs="Arial"/>
          <w:b/>
          <w:bCs/>
          <w:color w:val="000000"/>
          <w:sz w:val="20"/>
          <w:szCs w:val="20"/>
        </w:rPr>
        <w:t>МИНИМАЛНИ САДРЖАЈ ИЗВЕШТАЈА О ГОДИШЊИМ ЕМИСИЈАМА GHG</w:t>
      </w:r>
    </w:p>
    <w:p w14:paraId="340DFE91"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ГОДИШЊИ ИЗВЕШТАЈ О ЕМИСИЈАМА GHG ИЗ ПОСТРОЈЕЊА</w:t>
      </w:r>
    </w:p>
    <w:p w14:paraId="17EBCA8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Годишњи извештај о емисијама GHG из постројења садржи најмање следеће податке:</w:t>
      </w:r>
    </w:p>
    <w:p w14:paraId="4BC6872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подаци за идентификацију постројења и јединствени број дозволе;</w:t>
      </w:r>
    </w:p>
    <w:p w14:paraId="1A3C77C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назив и адреса верификатора извештаја;</w:t>
      </w:r>
    </w:p>
    <w:p w14:paraId="1CCCE4F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година извештавања;</w:t>
      </w:r>
    </w:p>
    <w:p w14:paraId="7B799EDD"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упућивање на верзију најновијег одобреног плана мониторинга, као и њен број и датум од ког се примењује, као и позивање на верзију било ког другог плана мониторинга релевантног за годину извештавања и њен број;</w:t>
      </w:r>
    </w:p>
    <w:p w14:paraId="03D08624"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релевантне измене у раду постројења и измене као и привремена одступања од плана мониторинга која су се десила за време периода извештавања, а које је одобрио надлежни орган , укључујући привремене или сталне промене нивоа, разлоге за такве промене, датум почетка важења промене, као и датум почетка и престанка важења привремених промена;</w:t>
      </w:r>
    </w:p>
    <w:p w14:paraId="71B6BE4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информације за све изворе емисија и токове извора који обухватају најмање:</w:t>
      </w:r>
    </w:p>
    <w:p w14:paraId="0AAFD57D"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укупне емисије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(е) изражене у тонама, укључујући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из токова извора биомасе који нису у складу са одредбама члана 35. ст. 6–10. овог правилника;</w:t>
      </w:r>
    </w:p>
    <w:p w14:paraId="169DC865"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ако се испуштају други GHG осим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укупне емисије изражене у тонама;</w:t>
      </w:r>
    </w:p>
    <w:p w14:paraId="3E1D961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да ли се примењује методологија на основу мерења или прорачуна из члана 18. овог правилника;</w:t>
      </w:r>
    </w:p>
    <w:p w14:paraId="1013000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примењени нивои;</w:t>
      </w:r>
    </w:p>
    <w:p w14:paraId="43F54EC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подаци о активностима:</w:t>
      </w:r>
    </w:p>
    <w:p w14:paraId="34DB3B2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у случају горива, одвојено се извештава о количини горива (изражена у виду тона или Nm</w:t>
      </w:r>
      <w:r w:rsidRPr="00B34F09">
        <w:rPr>
          <w:rStyle w:val="superscript"/>
          <w:rFonts w:ascii="Arial" w:hAnsi="Arial" w:cs="Arial"/>
          <w:color w:val="000000"/>
          <w:sz w:val="20"/>
          <w:szCs w:val="20"/>
          <w:vertAlign w:val="superscript"/>
        </w:rPr>
        <w:t>3</w:t>
      </w:r>
      <w:r w:rsidRPr="00B34F09">
        <w:rPr>
          <w:rFonts w:ascii="Arial" w:hAnsi="Arial" w:cs="Arial"/>
          <w:color w:val="000000"/>
          <w:sz w:val="20"/>
          <w:szCs w:val="20"/>
        </w:rPr>
        <w:t>) и о нето калоријској вредности (GJ/t или GJ/Nm</w:t>
      </w:r>
      <w:r w:rsidRPr="00B34F09">
        <w:rPr>
          <w:rStyle w:val="superscript"/>
          <w:rFonts w:ascii="Arial" w:hAnsi="Arial" w:cs="Arial"/>
          <w:color w:val="000000"/>
          <w:sz w:val="20"/>
          <w:szCs w:val="20"/>
          <w:vertAlign w:val="superscript"/>
        </w:rPr>
        <w:t>3</w:t>
      </w:r>
      <w:r w:rsidRPr="00B34F09">
        <w:rPr>
          <w:rFonts w:ascii="Arial" w:hAnsi="Arial" w:cs="Arial"/>
          <w:color w:val="000000"/>
          <w:sz w:val="20"/>
          <w:szCs w:val="20"/>
        </w:rPr>
        <w:t>);</w:t>
      </w:r>
    </w:p>
    <w:p w14:paraId="5977FB8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за све остале токове извора количина изражена у виду тона или Nm</w:t>
      </w:r>
      <w:r w:rsidRPr="00B34F09">
        <w:rPr>
          <w:rStyle w:val="superscript"/>
          <w:rFonts w:ascii="Arial" w:hAnsi="Arial" w:cs="Arial"/>
          <w:color w:val="000000"/>
          <w:sz w:val="20"/>
          <w:szCs w:val="20"/>
          <w:vertAlign w:val="superscript"/>
        </w:rPr>
        <w:t>3</w:t>
      </w:r>
      <w:r w:rsidRPr="00B34F09">
        <w:rPr>
          <w:rFonts w:ascii="Arial" w:hAnsi="Arial" w:cs="Arial"/>
          <w:color w:val="000000"/>
          <w:sz w:val="20"/>
          <w:szCs w:val="20"/>
        </w:rPr>
        <w:t>;</w:t>
      </w:r>
    </w:p>
    <w:p w14:paraId="6AF8B5F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(6) емисиони фактори изражени у складу са чланом 33. ст. 2. и 3. овог правилника; удео биомасе, оксидациони и фактори конверзије изражени као бездимензиони удели;</w:t>
      </w:r>
    </w:p>
    <w:p w14:paraId="6269BBB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ако се емисиони фактори за горива односе на масу или запремину уместо на енергију, вредности утврђене на основу члана 23. став 7. овог правилника за нето калоријску вредност конкретног тока извора;</w:t>
      </w:r>
    </w:p>
    <w:p w14:paraId="0D534668"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ако се примењује методологија биланса масе, ток масе и садржај угљеника за сваки ток извора у постројењу и из постројења; удео биомасе и нето калоријска вредност, ако је применљиво;</w:t>
      </w:r>
    </w:p>
    <w:p w14:paraId="4EC0BEF9"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8) информације о којима се извештава у облику напомене, које обухватају:</w:t>
      </w:r>
    </w:p>
    <w:p w14:paraId="536B4354"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количину сагореле биомасе изражену у TJ или коришћене у процесима изражене у тонама или Nm</w:t>
      </w:r>
      <w:r w:rsidRPr="00B34F09">
        <w:rPr>
          <w:rStyle w:val="superscript"/>
          <w:rFonts w:ascii="Arial" w:hAnsi="Arial" w:cs="Arial"/>
          <w:color w:val="000000"/>
          <w:sz w:val="20"/>
          <w:szCs w:val="20"/>
          <w:vertAlign w:val="superscript"/>
        </w:rPr>
        <w:t>3</w:t>
      </w:r>
      <w:r w:rsidRPr="00B34F09">
        <w:rPr>
          <w:rFonts w:ascii="Arial" w:hAnsi="Arial" w:cs="Arial"/>
          <w:color w:val="000000"/>
          <w:sz w:val="20"/>
          <w:szCs w:val="20"/>
        </w:rPr>
        <w:t>;</w:t>
      </w:r>
    </w:p>
    <w:p w14:paraId="5502C46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емисије CО</w:t>
      </w:r>
      <w:r w:rsidRPr="00B34F09">
        <w:rPr>
          <w:rStyle w:val="subscript"/>
          <w:rFonts w:ascii="Arial" w:hAnsi="Arial" w:cs="Arial"/>
          <w:color w:val="000000"/>
          <w:sz w:val="20"/>
          <w:szCs w:val="20"/>
          <w:vertAlign w:val="subscript"/>
        </w:rPr>
        <w:t>2 </w:t>
      </w:r>
      <w:r w:rsidRPr="00B34F09">
        <w:rPr>
          <w:rFonts w:ascii="Arial" w:hAnsi="Arial" w:cs="Arial"/>
          <w:color w:val="000000"/>
          <w:sz w:val="20"/>
          <w:szCs w:val="20"/>
        </w:rPr>
        <w:t>из биомасе изражене у тонама ако се користи методологија на основу мерења да се утврде емисије;</w:t>
      </w:r>
    </w:p>
    <w:p w14:paraId="6636A4C6"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замена за нето калоријску вредност токова извора биомасе који се користе као гориво, ако је применљиво;</w:t>
      </w:r>
    </w:p>
    <w:p w14:paraId="595C2096"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емисије, количине и садржај енергије горива из биомасе и биотечности које су сагореле изражено у тонама и ТЈ, те информације да ли су таква горива из биомасе и биотечности у складу са одредбама члана 35. ст. 6–10. овог правилника;</w:t>
      </w:r>
    </w:p>
    <w:p w14:paraId="3E5B0078"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или NО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пренесен у постројење или примљен из постројења, када се примењује чл. 46. или 47. овог правилника, изражен у тонама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(е);</w:t>
      </w:r>
    </w:p>
    <w:p w14:paraId="442DDD9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lastRenderedPageBreak/>
        <w:t>(6) инхерентни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пренесен у постројење или примљен из постројења, када се примењује члан 45. овог правилника, изражен у тонама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w:t>
      </w:r>
    </w:p>
    <w:p w14:paraId="2E9B26E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(7) ако је примењиво, назив инсталација и њихова идентификациона ознака од:</w:t>
      </w:r>
    </w:p>
    <w:p w14:paraId="11302A1D"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једне или више инсталација у које је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или NО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пренесен у складу са тач. 5) и 6) тачке 8);</w:t>
      </w:r>
    </w:p>
    <w:p w14:paraId="7FCC44D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једне или више инсталација из којих је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или NО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примљен у складу са тач. 5) и 6) тачке 8); ако то постројење нема ту идентификациону ознаку, наводе се име и адреса постројења, односно релевантни подаци особе за контакт;</w:t>
      </w:r>
    </w:p>
    <w:p w14:paraId="5A7AEA8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(8) пренесен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из биомасе изражен у тонама;</w:t>
      </w:r>
    </w:p>
    <w:p w14:paraId="38848D9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9) ако се примењује методологија на основу мерења:</w:t>
      </w:r>
    </w:p>
    <w:p w14:paraId="5037E0E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ако се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мери као годишње емисије фосилног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и годишње емисије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од биомасе;</w:t>
      </w:r>
    </w:p>
    <w:p w14:paraId="0ABC912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часови рада континуираног система за мерење емисија (CEMS), измерене концентрације GHG и ток димног гаса израженог као годишњи једночасовни просек и као годишња укупна вредност;</w:t>
      </w:r>
    </w:p>
    <w:p w14:paraId="7F187F31"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10) ако се примењује методологија мониторинга која се не заснива на нивоима из члана 19. овог правилника, сви подаци неопходни за утврђивање емисија гасова за изворе емисија и токове извора за које се примењује та методологија, као и посредни подаци за податке о активностима, обрачунски фактори и остали параметри о којима се извештава у оквиру методологије нивоа;</w:t>
      </w:r>
    </w:p>
    <w:p w14:paraId="69D483B1"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11) ако недостају подаци који су замењени посредним подацима у складу са чланом 56. став 1. овог правилника:</w:t>
      </w:r>
    </w:p>
    <w:p w14:paraId="18CD181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 ток извора или извор емисије на који се односи сваки недостатак;</w:t>
      </w:r>
    </w:p>
    <w:p w14:paraId="0F22B8D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(2) разлози за сваки недостатак;</w:t>
      </w:r>
    </w:p>
    <w:p w14:paraId="421A2C08"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(3) датум почетка недостајања неког податка и окончања таквог недостатка;</w:t>
      </w:r>
    </w:p>
    <w:p w14:paraId="01180886"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(4) емисије гасова израчунате на основу посредних података;</w:t>
      </w:r>
    </w:p>
    <w:p w14:paraId="120BB97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(5) ако метода процене за заменске податке није још укључена у план мониторинга, детаљан опис методе процене укључујући доказ да коришћена методологија не води до потцењивања емисија за конкретни временски период;</w:t>
      </w:r>
    </w:p>
    <w:p w14:paraId="66D6302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12) све друге промене у постројењу за време периода извештавања које су значајне за емисије гасова за то постројење у току године извештавања;</w:t>
      </w:r>
    </w:p>
    <w:p w14:paraId="4202BA39"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13) ако је применљиво, ниво производње примарног алуминијума, учесталост и просечно трајање анодних ефеката за време периода извештавања, или подаци о пренапону анодног ефекта за време периода извештавања, као и резултати најскоријег утврђивања емисионих фактора специфичних за постројење за CF</w:t>
      </w:r>
      <w:r w:rsidRPr="00B34F09">
        <w:rPr>
          <w:rStyle w:val="subscript"/>
          <w:rFonts w:ascii="Arial" w:hAnsi="Arial" w:cs="Arial"/>
          <w:color w:val="000000"/>
          <w:sz w:val="20"/>
          <w:szCs w:val="20"/>
          <w:vertAlign w:val="subscript"/>
        </w:rPr>
        <w:t>4</w:t>
      </w:r>
      <w:r w:rsidRPr="00B34F09">
        <w:rPr>
          <w:rFonts w:ascii="Arial" w:hAnsi="Arial" w:cs="Arial"/>
          <w:color w:val="000000"/>
          <w:sz w:val="20"/>
          <w:szCs w:val="20"/>
        </w:rPr>
        <w:t> и C</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F</w:t>
      </w:r>
      <w:r w:rsidRPr="00B34F09">
        <w:rPr>
          <w:rStyle w:val="subscript"/>
          <w:rFonts w:ascii="Arial" w:hAnsi="Arial" w:cs="Arial"/>
          <w:color w:val="000000"/>
          <w:sz w:val="20"/>
          <w:szCs w:val="20"/>
          <w:vertAlign w:val="subscript"/>
        </w:rPr>
        <w:t>6</w:t>
      </w:r>
      <w:r w:rsidRPr="00B34F09">
        <w:rPr>
          <w:rFonts w:ascii="Arial" w:hAnsi="Arial" w:cs="Arial"/>
          <w:color w:val="000000"/>
          <w:sz w:val="20"/>
          <w:szCs w:val="20"/>
        </w:rPr>
        <w:t>, како је одређено у Прилогу 3 овог правилника, и резултати најновијег утврђивања ефикасности сакупљања цеви.</w:t>
      </w:r>
    </w:p>
    <w:p w14:paraId="7DAF01B5"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За емисије које долазе из различитих извора емисије или токова извора истог типа из једног постројења које припадају истом типу активности, извештавање се може вршити на збирни начин за ту врсту активности.</w:t>
      </w:r>
    </w:p>
    <w:p w14:paraId="3DE1774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Ако су нивои промењени у току периода извештавања, оператер рачуна и извештава о емисијама гасова у засебним деловима годишњег извештаја за одговарајуће периоде.</w:t>
      </w:r>
    </w:p>
    <w:p w14:paraId="0DA91E95"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Оператери локација за складиштење CО</w:t>
      </w:r>
      <w:r w:rsidRPr="00B34F09">
        <w:rPr>
          <w:rStyle w:val="subscript"/>
          <w:rFonts w:ascii="Arial" w:hAnsi="Arial" w:cs="Arial"/>
          <w:color w:val="000000"/>
          <w:sz w:val="20"/>
          <w:szCs w:val="20"/>
          <w:vertAlign w:val="subscript"/>
        </w:rPr>
        <w:t>2</w:t>
      </w:r>
      <w:r w:rsidRPr="00B34F09">
        <w:rPr>
          <w:rFonts w:ascii="Arial" w:hAnsi="Arial" w:cs="Arial"/>
          <w:color w:val="000000"/>
          <w:sz w:val="20"/>
          <w:szCs w:val="20"/>
        </w:rPr>
        <w:t> могу користити поједностављене извештаје о емисијама гасова након затварања локације за складиштење, у складу са прописом којим се уређује хватање и складиштење угљеника, који морају садржати најмање елементе из тач. 1) до 5), ако дозвола за емисију гасова не садржи изворе емисија.</w:t>
      </w:r>
    </w:p>
    <w:p w14:paraId="2C06FA6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t> </w:t>
      </w:r>
    </w:p>
    <w:p w14:paraId="22C1AED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44BEF9C5" wp14:editId="6D80DEE5">
            <wp:extent cx="10382250" cy="14573250"/>
            <wp:effectExtent l="0" t="0" r="0" b="0"/>
            <wp:docPr id="61" name="Picture 61" descr="https://www.pravno-informacioni-sistem.rs/SlGlasnikPortal/slike/Staklena-basta_Page_1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pravno-informacioni-sistem.rs/SlGlasnikPortal/slike/Staklena-basta_Page_13.png&amp;doctype=reg&amp;abc=cba&amp;eli=true&amp;eliActId=436691&amp;regactid=4366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7B5E45E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03F3D95A" wp14:editId="3CE60360">
            <wp:extent cx="10382250" cy="14573250"/>
            <wp:effectExtent l="0" t="0" r="0" b="0"/>
            <wp:docPr id="60" name="Picture 60" descr="https://www.pravno-informacioni-sistem.rs/SlGlasnikPortal/slike/Staklena-basta_Page_1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ravno-informacioni-sistem.rs/SlGlasnikPortal/slike/Staklena-basta_Page_14.png&amp;doctype=reg&amp;abc=cba&amp;eli=true&amp;eliActId=436691&amp;regactid=4366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AAB8A4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F1C3DC2" wp14:editId="597A2B0B">
            <wp:extent cx="10382250" cy="14573250"/>
            <wp:effectExtent l="0" t="0" r="0" b="0"/>
            <wp:docPr id="59" name="Picture 59" descr="https://www.pravno-informacioni-sistem.rs/SlGlasnikPortal/slike/Staklena-basta_Page_1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ravno-informacioni-sistem.rs/SlGlasnikPortal/slike/Staklena-basta_Page_15.png&amp;doctype=reg&amp;abc=cba&amp;eli=true&amp;eliActId=436691&amp;regactid=4366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1E5836A"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3ED23098" wp14:editId="209F0AC4">
            <wp:extent cx="10382250" cy="14573250"/>
            <wp:effectExtent l="0" t="0" r="0" b="0"/>
            <wp:docPr id="58" name="Picture 58" descr="https://www.pravno-informacioni-sistem.rs/SlGlasnikPortal/slike/Staklena-basta_Page_1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ravno-informacioni-sistem.rs/SlGlasnikPortal/slike/Staklena-basta_Page_16.png&amp;doctype=reg&amp;abc=cba&amp;eli=true&amp;eliActId=436691&amp;regactid=43669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CEF525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106CC8FD" wp14:editId="386745D6">
            <wp:extent cx="10382250" cy="14573250"/>
            <wp:effectExtent l="0" t="0" r="0" b="0"/>
            <wp:docPr id="57" name="Picture 57" descr="https://www.pravno-informacioni-sistem.rs/SlGlasnikPortal/slike/Staklena-basta_Page_1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ravno-informacioni-sistem.rs/SlGlasnikPortal/slike/Staklena-basta_Page_17.png&amp;doctype=reg&amp;abc=cba&amp;eli=true&amp;eliActId=436691&amp;regactid=4366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437F0B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CEEF7DC" wp14:editId="26A799F3">
            <wp:extent cx="10382250" cy="14573250"/>
            <wp:effectExtent l="0" t="0" r="0" b="0"/>
            <wp:docPr id="56" name="Picture 56" descr="https://www.pravno-informacioni-sistem.rs/SlGlasnikPortal/slike/Staklena-basta_Page_1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ravno-informacioni-sistem.rs/SlGlasnikPortal/slike/Staklena-basta_Page_18.png&amp;doctype=reg&amp;abc=cba&amp;eli=true&amp;eliActId=436691&amp;regactid=4366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119523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06C9CFD4" wp14:editId="0736B59C">
            <wp:extent cx="10382250" cy="14573250"/>
            <wp:effectExtent l="0" t="0" r="0" b="0"/>
            <wp:docPr id="55" name="Picture 55" descr="https://www.pravno-informacioni-sistem.rs/SlGlasnikPortal/slike/Staklena-basta_Page_1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ravno-informacioni-sistem.rs/SlGlasnikPortal/slike/Staklena-basta_Page_19.png&amp;doctype=reg&amp;abc=cba&amp;eli=true&amp;eliActId=436691&amp;regactid=4366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2375319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8E1E0FC" wp14:editId="6C81100A">
            <wp:extent cx="10382250" cy="14573250"/>
            <wp:effectExtent l="0" t="0" r="0" b="0"/>
            <wp:docPr id="54" name="Picture 54" descr="https://www.pravno-informacioni-sistem.rs/SlGlasnikPortal/slike/Staklena-basta_Page_20.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ravno-informacioni-sistem.rs/SlGlasnikPortal/slike/Staklena-basta_Page_20.png&amp;doctype=reg&amp;abc=cba&amp;eli=true&amp;eliActId=436691&amp;regactid=4366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1FBA37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E515070" wp14:editId="00879575">
            <wp:extent cx="10382250" cy="14573250"/>
            <wp:effectExtent l="0" t="0" r="0" b="0"/>
            <wp:docPr id="53" name="Picture 53" descr="https://www.pravno-informacioni-sistem.rs/SlGlasnikPortal/slike/Staklena-basta_Page_21.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pravno-informacioni-sistem.rs/SlGlasnikPortal/slike/Staklena-basta_Page_21.png&amp;doctype=reg&amp;abc=cba&amp;eli=true&amp;eliActId=436691&amp;regactid=4366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DBA64D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C7D68E4" wp14:editId="222DE64C">
            <wp:extent cx="10382250" cy="14573250"/>
            <wp:effectExtent l="0" t="0" r="0" b="0"/>
            <wp:docPr id="52" name="Picture 52" descr="https://www.pravno-informacioni-sistem.rs/SlGlasnikPortal/slike/Staklena-basta_Page_2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ravno-informacioni-sistem.rs/SlGlasnikPortal/slike/Staklena-basta_Page_22.png&amp;doctype=reg&amp;abc=cba&amp;eli=true&amp;eliActId=436691&amp;regactid=4366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42BA914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5E8AD2D" wp14:editId="5A4880B2">
            <wp:extent cx="10382250" cy="14573250"/>
            <wp:effectExtent l="0" t="0" r="0" b="0"/>
            <wp:docPr id="51" name="Picture 51" descr="https://www.pravno-informacioni-sistem.rs/SlGlasnikPortal/slike/Staklena-basta_Page_2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pravno-informacioni-sistem.rs/SlGlasnikPortal/slike/Staklena-basta_Page_23.png&amp;doctype=reg&amp;abc=cba&amp;eli=true&amp;eliActId=436691&amp;regactid=4366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A64F59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A7E1557" wp14:editId="42057AEE">
            <wp:extent cx="10382250" cy="14573250"/>
            <wp:effectExtent l="0" t="0" r="0" b="0"/>
            <wp:docPr id="50" name="Picture 50" descr="https://www.pravno-informacioni-sistem.rs/SlGlasnikPortal/slike/Staklena-basta_Page_2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pravno-informacioni-sistem.rs/SlGlasnikPortal/slike/Staklena-basta_Page_24.png&amp;doctype=reg&amp;abc=cba&amp;eli=true&amp;eliActId=436691&amp;regactid=4366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E2F5C2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749CB82" wp14:editId="15112C45">
            <wp:extent cx="10382250" cy="14573250"/>
            <wp:effectExtent l="0" t="0" r="0" b="0"/>
            <wp:docPr id="49" name="Picture 49" descr="https://www.pravno-informacioni-sistem.rs/SlGlasnikPortal/slike/Staklena-basta_Page_2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pravno-informacioni-sistem.rs/SlGlasnikPortal/slike/Staklena-basta_Page_25.png&amp;doctype=reg&amp;abc=cba&amp;eli=true&amp;eliActId=436691&amp;regactid=4366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9F029E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4EDC1813" wp14:editId="6C9475E7">
            <wp:extent cx="10382250" cy="14573250"/>
            <wp:effectExtent l="0" t="0" r="0" b="0"/>
            <wp:docPr id="48" name="Picture 48" descr="https://www.pravno-informacioni-sistem.rs/SlGlasnikPortal/slike/Staklena-basta_Page_2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pravno-informacioni-sistem.rs/SlGlasnikPortal/slike/Staklena-basta_Page_26.png&amp;doctype=reg&amp;abc=cba&amp;eli=true&amp;eliActId=436691&amp;regactid=4366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D83560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167C196E" wp14:editId="31E843D7">
            <wp:extent cx="10382250" cy="14573250"/>
            <wp:effectExtent l="0" t="0" r="0" b="0"/>
            <wp:docPr id="47" name="Picture 47" descr="https://www.pravno-informacioni-sistem.rs/SlGlasnikPortal/slike/Staklena-basta_Page_2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pravno-informacioni-sistem.rs/SlGlasnikPortal/slike/Staklena-basta_Page_27.png&amp;doctype=reg&amp;abc=cba&amp;eli=true&amp;eliActId=436691&amp;regactid=4366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289559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367F4F65" wp14:editId="4D15A9B0">
            <wp:extent cx="10382250" cy="14573250"/>
            <wp:effectExtent l="0" t="0" r="0" b="0"/>
            <wp:docPr id="46" name="Picture 46" descr="https://www.pravno-informacioni-sistem.rs/SlGlasnikPortal/slike/Staklena-basta_Page_2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ravno-informacioni-sistem.rs/SlGlasnikPortal/slike/Staklena-basta_Page_28.png&amp;doctype=reg&amp;abc=cba&amp;eli=true&amp;eliActId=436691&amp;regactid=4366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49A4668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31B902A" wp14:editId="6376832E">
            <wp:extent cx="10382250" cy="14573250"/>
            <wp:effectExtent l="0" t="0" r="0" b="0"/>
            <wp:docPr id="45" name="Picture 45" descr="https://www.pravno-informacioni-sistem.rs/SlGlasnikPortal/slike/Staklena-basta_Page_2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pravno-informacioni-sistem.rs/SlGlasnikPortal/slike/Staklena-basta_Page_29.png&amp;doctype=reg&amp;abc=cba&amp;eli=true&amp;eliActId=436691&amp;regactid=4366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42FE347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4937971" wp14:editId="38A6B5F3">
            <wp:extent cx="10382250" cy="14573250"/>
            <wp:effectExtent l="0" t="0" r="0" b="0"/>
            <wp:docPr id="44" name="Picture 44" descr="https://www.pravno-informacioni-sistem.rs/SlGlasnikPortal/slike/Staklena-basta_Page_30.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pravno-informacioni-sistem.rs/SlGlasnikPortal/slike/Staklena-basta_Page_30.png&amp;doctype=reg&amp;abc=cba&amp;eli=true&amp;eliActId=436691&amp;regactid=4366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2D308B6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E9EF335" wp14:editId="62E5207A">
            <wp:extent cx="10382250" cy="14573250"/>
            <wp:effectExtent l="0" t="0" r="0" b="0"/>
            <wp:docPr id="43" name="Picture 43" descr="https://www.pravno-informacioni-sistem.rs/SlGlasnikPortal/slike/Staklena-basta_Page_31.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pravno-informacioni-sistem.rs/SlGlasnikPortal/slike/Staklena-basta_Page_31.png&amp;doctype=reg&amp;abc=cba&amp;eli=true&amp;eliActId=436691&amp;regactid=4366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A5FFEA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0B1BDBA3" wp14:editId="46C5C498">
            <wp:extent cx="10382250" cy="14573250"/>
            <wp:effectExtent l="0" t="0" r="0" b="0"/>
            <wp:docPr id="42" name="Picture 42" descr="https://www.pravno-informacioni-sistem.rs/SlGlasnikPortal/slike/Staklena-basta_Page_3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pravno-informacioni-sistem.rs/SlGlasnikPortal/slike/Staklena-basta_Page_32.png&amp;doctype=reg&amp;abc=cba&amp;eli=true&amp;eliActId=436691&amp;regactid=4366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FB819A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C13E6E4" wp14:editId="128D9358">
            <wp:extent cx="10382250" cy="14573250"/>
            <wp:effectExtent l="0" t="0" r="0" b="0"/>
            <wp:docPr id="41" name="Picture 41" descr="https://www.pravno-informacioni-sistem.rs/SlGlasnikPortal/slike/Staklena-basta_Page_3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pravno-informacioni-sistem.rs/SlGlasnikPortal/slike/Staklena-basta_Page_33.png&amp;doctype=reg&amp;abc=cba&amp;eli=true&amp;eliActId=436691&amp;regactid=4366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24BD6AE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C5A5AA1" wp14:editId="1153AD28">
            <wp:extent cx="10382250" cy="14573250"/>
            <wp:effectExtent l="0" t="0" r="0" b="0"/>
            <wp:docPr id="40" name="Picture 40" descr="https://www.pravno-informacioni-sistem.rs/SlGlasnikPortal/slike/Staklena-basta_Page_3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ravno-informacioni-sistem.rs/SlGlasnikPortal/slike/Staklena-basta_Page_34.png&amp;doctype=reg&amp;abc=cba&amp;eli=true&amp;eliActId=436691&amp;regactid=4366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11BBA33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522682C4" wp14:editId="2A736BA0">
            <wp:extent cx="10382250" cy="14573250"/>
            <wp:effectExtent l="0" t="0" r="0" b="0"/>
            <wp:docPr id="39" name="Picture 39" descr="https://www.pravno-informacioni-sistem.rs/SlGlasnikPortal/slike/Staklena-basta_Page_3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pravno-informacioni-sistem.rs/SlGlasnikPortal/slike/Staklena-basta_Page_35.png&amp;doctype=reg&amp;abc=cba&amp;eli=true&amp;eliActId=436691&amp;regactid=4366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672749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8F4AB79" wp14:editId="4D630C56">
            <wp:extent cx="10382250" cy="14573250"/>
            <wp:effectExtent l="0" t="0" r="0" b="0"/>
            <wp:docPr id="38" name="Picture 38" descr="https://www.pravno-informacioni-sistem.rs/SlGlasnikPortal/slike/Staklena-basta_Page_3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pravno-informacioni-sistem.rs/SlGlasnikPortal/slike/Staklena-basta_Page_36.png&amp;doctype=reg&amp;abc=cba&amp;eli=true&amp;eliActId=436691&amp;regactid=4366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4FF084E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BDD0EBD" wp14:editId="1A8B5E26">
            <wp:extent cx="10382250" cy="14573250"/>
            <wp:effectExtent l="0" t="0" r="0" b="0"/>
            <wp:docPr id="37" name="Picture 37" descr="https://www.pravno-informacioni-sistem.rs/SlGlasnikPortal/slike/Staklena-basta_Page_3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ravno-informacioni-sistem.rs/SlGlasnikPortal/slike/Staklena-basta_Page_37.png&amp;doctype=reg&amp;abc=cba&amp;eli=true&amp;eliActId=436691&amp;regactid=4366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926570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FA7AA73" wp14:editId="0E42E508">
            <wp:extent cx="10382250" cy="14573250"/>
            <wp:effectExtent l="0" t="0" r="0" b="0"/>
            <wp:docPr id="36" name="Picture 36" descr="https://www.pravno-informacioni-sistem.rs/SlGlasnikPortal/slike/Staklena-basta_Page_3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ravno-informacioni-sistem.rs/SlGlasnikPortal/slike/Staklena-basta_Page_38.png&amp;doctype=reg&amp;abc=cba&amp;eli=true&amp;eliActId=436691&amp;regactid=4366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2EE640C0"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37592312" wp14:editId="71A34819">
            <wp:extent cx="10382250" cy="14573250"/>
            <wp:effectExtent l="0" t="0" r="0" b="0"/>
            <wp:docPr id="35" name="Picture 35" descr="https://www.pravno-informacioni-sistem.rs/SlGlasnikPortal/slike/Staklena-basta_Page_3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ravno-informacioni-sistem.rs/SlGlasnikPortal/slike/Staklena-basta_Page_39.png&amp;doctype=reg&amp;abc=cba&amp;eli=true&amp;eliActId=436691&amp;regactid=4366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24ED3F9"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011C9C4" wp14:editId="65762038">
            <wp:extent cx="10382250" cy="14573250"/>
            <wp:effectExtent l="0" t="0" r="0" b="0"/>
            <wp:docPr id="34" name="Picture 34" descr="https://www.pravno-informacioni-sistem.rs/SlGlasnikPortal/slike/Staklena-basta_Page_40.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pravno-informacioni-sistem.rs/SlGlasnikPortal/slike/Staklena-basta_Page_40.png&amp;doctype=reg&amp;abc=cba&amp;eli=true&amp;eliActId=436691&amp;regactid=4366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526E99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7FBEF123" wp14:editId="5B35C206">
            <wp:extent cx="10382250" cy="14573250"/>
            <wp:effectExtent l="0" t="0" r="0" b="0"/>
            <wp:docPr id="17" name="Picture 17" descr="https://www.pravno-informacioni-sistem.rs/SlGlasnikPortal/slike/Staklena-basta_Page_41.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ravno-informacioni-sistem.rs/SlGlasnikPortal/slike/Staklena-basta_Page_41.png&amp;doctype=reg&amp;abc=cba&amp;eli=true&amp;eliActId=436691&amp;regactid=4366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0DB7862"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38615931" wp14:editId="09A76DB1">
            <wp:extent cx="10382250" cy="14573250"/>
            <wp:effectExtent l="0" t="0" r="0" b="0"/>
            <wp:docPr id="16" name="Picture 16" descr="https://www.pravno-informacioni-sistem.rs/SlGlasnikPortal/slike/Staklena-basta_Page_4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ravno-informacioni-sistem.rs/SlGlasnikPortal/slike/Staklena-basta_Page_42.png&amp;doctype=reg&amp;abc=cba&amp;eli=true&amp;eliActId=436691&amp;regactid=4366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EA6021E"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7727DE50" wp14:editId="4F889A0C">
            <wp:extent cx="10382250" cy="14573250"/>
            <wp:effectExtent l="0" t="0" r="0" b="0"/>
            <wp:docPr id="15" name="Picture 15" descr="https://www.pravno-informacioni-sistem.rs/SlGlasnikPortal/slike/Staklena-basta_Page_4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ravno-informacioni-sistem.rs/SlGlasnikPortal/slike/Staklena-basta_Page_43.png&amp;doctype=reg&amp;abc=cba&amp;eli=true&amp;eliActId=436691&amp;regactid=4366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71AC33C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468AA948" wp14:editId="508D10B6">
            <wp:extent cx="10382250" cy="14573250"/>
            <wp:effectExtent l="0" t="0" r="0" b="0"/>
            <wp:docPr id="14" name="Picture 14" descr="https://www.pravno-informacioni-sistem.rs/SlGlasnikPortal/slike/Staklena-basta_Page_4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ravno-informacioni-sistem.rs/SlGlasnikPortal/slike/Staklena-basta_Page_44.png&amp;doctype=reg&amp;abc=cba&amp;eli=true&amp;eliActId=436691&amp;regactid=4366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764B554C"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color w:val="000000"/>
          <w:sz w:val="20"/>
          <w:szCs w:val="20"/>
        </w:rPr>
        <w:lastRenderedPageBreak/>
        <w:t> </w:t>
      </w:r>
    </w:p>
    <w:p w14:paraId="43143620"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11</w:t>
      </w:r>
    </w:p>
    <w:p w14:paraId="796D4AA7"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OБАВЕШТЕЊЕ О ПРЕДЛОЗИМА ЗА ИЗМЕНУ ПЛАНА МОНИТОРИНГА</w:t>
      </w:r>
    </w:p>
    <w:p w14:paraId="70D5F17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 Подаци о оператеру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51"/>
        <w:gridCol w:w="221"/>
      </w:tblGrid>
      <w:tr w:rsidR="00951703" w:rsidRPr="00951703" w14:paraId="63EDBAE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9E15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подносиоца захтева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BD583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C1378B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28EFA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Mатични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7E1C6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0FD4A9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0C2A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C6642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D38932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2276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1838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B9F0BC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E72CAF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E120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56D4AA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935A3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F894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E70188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D5C8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711C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77369F2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69B7C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Tелефон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BB303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DC0A65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58472D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3643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bl>
    <w:p w14:paraId="72BAD28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 Подаци о постројењу</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607"/>
        <w:gridCol w:w="765"/>
      </w:tblGrid>
      <w:tr w:rsidR="00951703" w:rsidRPr="00951703" w14:paraId="5650D6C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2BDE0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ID постројeња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F1DA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0AE487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4C4E1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дозволе за емисију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5D5C6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91EB26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III. Постојећи план мониторинга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080"/>
        <w:gridCol w:w="292"/>
      </w:tblGrid>
      <w:tr w:rsidR="00951703" w:rsidRPr="00951703" w14:paraId="3ADE4BC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AFFE7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верзије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FC16F7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692078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0EBF0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Референтни датум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C35B4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F4B576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37206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Статус на дан референтног датума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3EEC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AB2B19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63E1F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Датум примене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E1277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850DB9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355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датотеке плана мониторинга у прилогу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154DA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01059E4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IV. Разлози за измену плана мониторинга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709"/>
        <w:gridCol w:w="663"/>
      </w:tblGrid>
      <w:tr w:rsidR="00951703" w:rsidRPr="00951703" w14:paraId="2CB0C9A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95E2E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настају нове емисије GHG због нових активности или због коришћења нових горива или материјала који још увек садржани у плану мониторингу;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2DD0D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1D03FBF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533E7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промена у доступности података услед коришћења нових типова мерних инструмената, метода узорковања или метода анализе или из других разлога води већој тачности у утврђивању емисија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5633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50777AF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E518F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утврђено је да су подаци који су резултат претходно примењене методологије мониторинга нетачни;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FC13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6229275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B507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 измена плана мониторинга повећава тачност података о којима се извештава, осим, ако није технички изводљиво или води до неоправдано високих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E44B4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7E5B9B8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6AC5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 план мониторинга није у складу са овим правилником и надлежни орган захтева од оператера да га измени;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9F46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16AACFE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697A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 ако је неопходно реаговати на препоруке за побољшање плана мониторинга које су садржане у извештају о верификацији.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89B9D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bl>
    <w:p w14:paraId="31F5F11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Значајне измене плана мониторинга – стационарна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709"/>
        <w:gridCol w:w="663"/>
      </w:tblGrid>
      <w:tr w:rsidR="00951703" w:rsidRPr="00951703" w14:paraId="6E9BCAE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2EA6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промене категорије постројења где такве промене захтевају промене методологије мониторинга или воде до промене применљивог нивоа материјалности, у складу са прописом којим се уређује верификација и акредитација извештаја о емисијама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BADC2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40250A1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C510D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не доводећи у питање члан 44. став 8. овог правилника, измене везане за питање да ли се постројење сматра постројењем са ниским емисијама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24A04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20A1008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80140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3) промене извора емисија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07785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52231CF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9DB06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4) прелазак са методологије на основу прорачуна на методологију на основу мерења или обрнуто, или са алтернативне методологије на методологију на основу нивоа који се примењује за утврђивање емисија GHG или обрнуто;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B85413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19FAC8B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1A141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5) промена нивоа који се примењује;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821F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7006D7A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F2233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6) увођење нових токова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3CD0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3417276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8C9D8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7) промена у категоризацији токова извора, односно промена између главних, манјих или </w:t>
            </w:r>
            <w:r w:rsidRPr="00B34F09">
              <w:rPr>
                <w:rFonts w:ascii="Arial" w:eastAsia="Times New Roman" w:hAnsi="Arial" w:cs="Arial"/>
                <w:i/>
                <w:iCs/>
                <w:noProof w:val="0"/>
                <w:color w:val="000000"/>
                <w:sz w:val="20"/>
                <w:szCs w:val="20"/>
                <w:lang w:val="en-US"/>
              </w:rPr>
              <w:t>de minimis</w:t>
            </w:r>
            <w:r w:rsidRPr="00951703">
              <w:rPr>
                <w:rFonts w:ascii="Arial" w:eastAsia="Times New Roman" w:hAnsi="Arial" w:cs="Arial"/>
                <w:noProof w:val="0"/>
                <w:color w:val="000000"/>
                <w:sz w:val="20"/>
                <w:szCs w:val="20"/>
                <w:lang w:val="en-US"/>
              </w:rPr>
              <w:t> токова извора, где таква промена захтева промену методологије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8324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1345279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5075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8) промена стандардне вредности фактора прорачуна при чему се вредност утврђује у плану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B51DC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13B0A56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0D08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9) увођење нових метода или промена постојећих метода везаних за узорковање, анализу или калибрацију, где то има непосредан утицај на тачност података о емисијама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0CE4C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r w:rsidR="00951703" w:rsidRPr="00951703" w14:paraId="7D9ECC8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C6C38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10) употреба или прилагођавање методологије за квантификацију емисија GHG које настају код пропуштања из места складиштења.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47DA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ДA/НE</w:t>
            </w:r>
          </w:p>
        </w:tc>
      </w:tr>
    </w:tbl>
    <w:p w14:paraId="5019A21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 Опис значајних измена плана мониторинга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16F188D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6C7C8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B1BF62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VII. Опис измена плана мониторинга које нису значајне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04793CE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C00B2C"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3A2219F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VIII. Измењени план мониторинга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38"/>
        <w:gridCol w:w="234"/>
      </w:tblGrid>
      <w:tr w:rsidR="00951703" w:rsidRPr="00951703" w14:paraId="7E574D3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4A43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верзије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052B3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4CB4FF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3B3E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Референтни датум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CD51E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6C010C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C6F8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Статус на дан референтног датума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4AE85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AB59CA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50342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Датум примене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EC924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F9E628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4730F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датотеке измењеног плана мониторинга у прилогу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2D86E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3A37B26F"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05C525CB"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12</w:t>
      </w:r>
    </w:p>
    <w:p w14:paraId="77478B9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ЗАХТЕВ ЗА ОДОБРЕЊЕ КОРИШЋЕЊА ПОЈЕДНОСТАВЉЕНОГ ПЛАНА МОНИТОРИНГА</w:t>
      </w:r>
    </w:p>
    <w:p w14:paraId="0EC2746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 Подаци о оператеру постројења</w:t>
      </w:r>
    </w:p>
    <w:tbl>
      <w:tblPr>
        <w:tblW w:w="197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480"/>
        <w:gridCol w:w="225"/>
      </w:tblGrid>
      <w:tr w:rsidR="00951703" w:rsidRPr="00951703" w14:paraId="2D73D35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F839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подносиоца захтева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BF282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804B7D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8021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Mатични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94E43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B03CB2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0DE8C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A91E7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70E9C1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944E0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83819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342865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865D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B113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815B5D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28F10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B46F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AEBD02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EEE58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E965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67EA6E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9DA1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Tелефон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4DF36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F7D057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D6D8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377B2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bl>
    <w:p w14:paraId="3A47DF8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 Подаци о постројењу</w:t>
      </w:r>
    </w:p>
    <w:tbl>
      <w:tblPr>
        <w:tblW w:w="197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27"/>
        <w:gridCol w:w="478"/>
      </w:tblGrid>
      <w:tr w:rsidR="00951703" w:rsidRPr="00951703" w14:paraId="263DEE5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571F7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ID постројања (од стране надлежног органа)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5E5DB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5EC7BEF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EDC7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дозволе за емисије GHG (ако је примењиво)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061E5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2FF6A44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III. Подаци потребни за утврђивање испуњавања услова из члана 44. овог правилника</w:t>
      </w:r>
    </w:p>
    <w:tbl>
      <w:tblPr>
        <w:tblW w:w="1970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321"/>
        <w:gridCol w:w="1384"/>
      </w:tblGrid>
      <w:tr w:rsidR="00951703" w:rsidRPr="00951703" w14:paraId="6BD086F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095D1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 ли постројење већ има верификован годишњи извештај о емисијама?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44E34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4B144EA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D69FF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 ли је дошло до измена у границама постројења или измена у условима рада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C30E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6519A6A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постројење има верификован годишњи извештај о емисијама за годину која претходи години подношења захтева вршење мониторинга по поједностављеном плану мониторинга, уз захтев приложити верификован годишњи извештај о емисијама за годину која претходи години подношења.</w:t>
      </w:r>
    </w:p>
    <w:p w14:paraId="241AE33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постројење још нема верификован годишњи извештај о емисијама за годину која претходи години подношења захтева, уз захтев приложити следеће:</w:t>
      </w:r>
    </w:p>
    <w:p w14:paraId="368B24D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годишњи извештај о емисијама из постројења за годину која предстоји години подношења извештаја, при томе да се за факторе прорачуна користи Ниво 1.</w:t>
      </w:r>
    </w:p>
    <w:p w14:paraId="131256D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копије документације која потврђује потрошњу сваког појединачног тока извора из годишњег извештаја о емисијама.</w:t>
      </w:r>
    </w:p>
    <w:p w14:paraId="4199D85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Надлежни орган са провером на лицу места утврђује оправданост захтева за спровођење поједностављеног плана мониторинга.</w:t>
      </w:r>
    </w:p>
    <w:p w14:paraId="460E16F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оператер сматра да су за постројење испуњени услови из члана 44. став 1. тачка 2) овог правилника, уз захтев доставља сву документацију и прорачуне из којих је могуће утврдити да ће просечне годишње емисије GHG тог постројења за наредних пет година, не рачунајући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који потиче од биомасе и пре одузимања пренесеног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 износити мање од 25.000 t CO</w:t>
      </w:r>
      <w:r w:rsidRPr="00B34F09">
        <w:rPr>
          <w:rFonts w:ascii="Arial" w:eastAsia="Times New Roman" w:hAnsi="Arial" w:cs="Arial"/>
          <w:noProof w:val="0"/>
          <w:color w:val="000000"/>
          <w:sz w:val="20"/>
          <w:szCs w:val="20"/>
          <w:vertAlign w:val="subscript"/>
          <w:lang w:val="en-US"/>
        </w:rPr>
        <w:t>2</w:t>
      </w:r>
      <w:r w:rsidRPr="00951703">
        <w:rPr>
          <w:rFonts w:ascii="Arial" w:eastAsia="Times New Roman" w:hAnsi="Arial" w:cs="Arial"/>
          <w:noProof w:val="0"/>
          <w:color w:val="000000"/>
          <w:sz w:val="20"/>
          <w:szCs w:val="20"/>
          <w:lang w:val="en-US"/>
        </w:rPr>
        <w:t>(е) годишње.</w:t>
      </w:r>
    </w:p>
    <w:p w14:paraId="2594D263"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5957D7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4EC702FD" wp14:editId="43CA7AD4">
            <wp:extent cx="10382250" cy="7353300"/>
            <wp:effectExtent l="0" t="0" r="0" b="0"/>
            <wp:docPr id="71" name="Picture 71" descr="https://www.pravno-informacioni-sistem.rs/SlGlasnikPortal/slike/Staklena-basta_Page_4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pravno-informacioni-sistem.rs/SlGlasnikPortal/slike/Staklena-basta_Page_45.png&amp;doctype=reg&amp;abc=cba&amp;eli=true&amp;eliActId=436691&amp;regactid=4366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382250" cy="7353300"/>
                    </a:xfrm>
                    <a:prstGeom prst="rect">
                      <a:avLst/>
                    </a:prstGeom>
                    <a:noFill/>
                    <a:ln>
                      <a:noFill/>
                    </a:ln>
                  </pic:spPr>
                </pic:pic>
              </a:graphicData>
            </a:graphic>
          </wp:inline>
        </w:drawing>
      </w:r>
    </w:p>
    <w:p w14:paraId="19FB405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49D6E577" wp14:editId="542DE6E3">
            <wp:extent cx="10382250" cy="14573250"/>
            <wp:effectExtent l="0" t="0" r="0" b="0"/>
            <wp:docPr id="70" name="Picture 70" descr="https://www.pravno-informacioni-sistem.rs/SlGlasnikPortal/slike/Staklena-basta_Page_4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pravno-informacioni-sistem.rs/SlGlasnikPortal/slike/Staklena-basta_Page_46.png&amp;doctype=reg&amp;abc=cba&amp;eli=true&amp;eliActId=436691&amp;regactid=4366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6E0915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7FFF7870" wp14:editId="06BC6910">
            <wp:extent cx="10382250" cy="14573250"/>
            <wp:effectExtent l="0" t="0" r="0" b="0"/>
            <wp:docPr id="69" name="Picture 69" descr="https://www.pravno-informacioni-sistem.rs/SlGlasnikPortal/slike/Staklena-basta_Page_4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pravno-informacioni-sistem.rs/SlGlasnikPortal/slike/Staklena-basta_Page_47.png&amp;doctype=reg&amp;abc=cba&amp;eli=true&amp;eliActId=436691&amp;regactid=43669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035805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05172E68" wp14:editId="655C09F8">
            <wp:extent cx="10382250" cy="14573250"/>
            <wp:effectExtent l="0" t="0" r="0" b="0"/>
            <wp:docPr id="68" name="Picture 68" descr="https://www.pravno-informacioni-sistem.rs/SlGlasnikPortal/slike/Staklena-basta_Page_4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pravno-informacioni-sistem.rs/SlGlasnikPortal/slike/Staklena-basta_Page_48.png&amp;doctype=reg&amp;abc=cba&amp;eli=true&amp;eliActId=436691&amp;regactid=4366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1F8A58F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16F76628" wp14:editId="2C16D80F">
            <wp:extent cx="10382250" cy="14573250"/>
            <wp:effectExtent l="0" t="0" r="0" b="0"/>
            <wp:docPr id="67" name="Picture 67" descr="https://www.pravno-informacioni-sistem.rs/SlGlasnikPortal/slike/Staklena-basta_Page_4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pravno-informacioni-sistem.rs/SlGlasnikPortal/slike/Staklena-basta_Page_49.png&amp;doctype=reg&amp;abc=cba&amp;eli=true&amp;eliActId=436691&amp;regactid=4366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1984964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036B94E4" wp14:editId="513B8F59">
            <wp:extent cx="10382250" cy="14573250"/>
            <wp:effectExtent l="0" t="0" r="0" b="0"/>
            <wp:docPr id="66" name="Picture 66" descr="https://www.pravno-informacioni-sistem.rs/SlGlasnikPortal/slike/Staklena-basta_Page_50.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pravno-informacioni-sistem.rs/SlGlasnikPortal/slike/Staklena-basta_Page_50.png&amp;doctype=reg&amp;abc=cba&amp;eli=true&amp;eliActId=436691&amp;regactid=4366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E86557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74F71CB9" wp14:editId="4715EBC7">
            <wp:extent cx="10382250" cy="14573250"/>
            <wp:effectExtent l="0" t="0" r="0" b="0"/>
            <wp:docPr id="65" name="Picture 65" descr="https://www.pravno-informacioni-sistem.rs/SlGlasnikPortal/slike/Staklena-basta_Page_51.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pravno-informacioni-sistem.rs/SlGlasnikPortal/slike/Staklena-basta_Page_51.png&amp;doctype=reg&amp;abc=cba&amp;eli=true&amp;eliActId=436691&amp;regactid=4366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289CC7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2F0313D3" wp14:editId="241C5A06">
            <wp:extent cx="10382250" cy="14573250"/>
            <wp:effectExtent l="0" t="0" r="0" b="0"/>
            <wp:docPr id="64" name="Picture 64" descr="https://www.pravno-informacioni-sistem.rs/SlGlasnikPortal/slike/Staklena-basta_Page_52.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pravno-informacioni-sistem.rs/SlGlasnikPortal/slike/Staklena-basta_Page_52.png&amp;doctype=reg&amp;abc=cba&amp;eli=true&amp;eliActId=436691&amp;regactid=4366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0B75ABFA"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6EB65FE2" wp14:editId="65895AC8">
            <wp:extent cx="10382250" cy="14573250"/>
            <wp:effectExtent l="0" t="0" r="0" b="0"/>
            <wp:docPr id="63" name="Picture 63" descr="https://www.pravno-informacioni-sistem.rs/SlGlasnikPortal/slike/Staklena-basta_Page_53.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pravno-informacioni-sistem.rs/SlGlasnikPortal/slike/Staklena-basta_Page_53.png&amp;doctype=reg&amp;abc=cba&amp;eli=true&amp;eliActId=436691&amp;regactid=4366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C5358E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B34F09">
        <w:rPr>
          <w:rFonts w:ascii="Arial" w:eastAsia="Times New Roman" w:hAnsi="Arial" w:cs="Arial"/>
          <w:color w:val="000000"/>
          <w:sz w:val="20"/>
          <w:szCs w:val="20"/>
          <w:lang w:val="en-US"/>
        </w:rPr>
        <w:lastRenderedPageBreak/>
        <w:drawing>
          <wp:inline distT="0" distB="0" distL="0" distR="0" wp14:anchorId="616CAA42" wp14:editId="20CC8CA1">
            <wp:extent cx="10382250" cy="14573250"/>
            <wp:effectExtent l="0" t="0" r="0" b="0"/>
            <wp:docPr id="62" name="Picture 62" descr="https://www.pravno-informacioni-sistem.rs/SlGlasnikPortal/slike/Staklena-basta_Page_54.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pravno-informacioni-sistem.rs/SlGlasnikPortal/slike/Staklena-basta_Page_54.png&amp;doctype=reg&amp;abc=cba&amp;eli=true&amp;eliActId=436691&amp;regactid=4366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4859F6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 </w:t>
      </w:r>
    </w:p>
    <w:p w14:paraId="75403ECD"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623BD07B" wp14:editId="2BB9F047">
            <wp:extent cx="10382250" cy="14573250"/>
            <wp:effectExtent l="0" t="0" r="0" b="0"/>
            <wp:docPr id="76" name="Picture 76" descr="https://www.pravno-informacioni-sistem.rs/SlGlasnikPortal/slike/Staklena-basta_Page_55.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ravno-informacioni-sistem.rs/SlGlasnikPortal/slike/Staklena-basta_Page_55.png&amp;doctype=reg&amp;abc=cba&amp;eli=true&amp;eliActId=436691&amp;regactid=4366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CB63443"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1743955C" wp14:editId="16C59B6E">
            <wp:extent cx="10382250" cy="14573250"/>
            <wp:effectExtent l="0" t="0" r="0" b="0"/>
            <wp:docPr id="75" name="Picture 75" descr="https://www.pravno-informacioni-sistem.rs/SlGlasnikPortal/slike/Staklena-basta_Page_56.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www.pravno-informacioni-sistem.rs/SlGlasnikPortal/slike/Staklena-basta_Page_56.png&amp;doctype=reg&amp;abc=cba&amp;eli=true&amp;eliActId=436691&amp;regactid=43669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34FFB67F"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35E8767F" wp14:editId="3216AE12">
            <wp:extent cx="10382250" cy="14573250"/>
            <wp:effectExtent l="0" t="0" r="0" b="0"/>
            <wp:docPr id="74" name="Picture 74" descr="https://www.pravno-informacioni-sistem.rs/SlGlasnikPortal/slike/Staklena-basta_Page_57.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ravno-informacioni-sistem.rs/SlGlasnikPortal/slike/Staklena-basta_Page_57.png&amp;doctype=reg&amp;abc=cba&amp;eli=true&amp;eliActId=436691&amp;regactid=4366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5108FCE7"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2B20AA67" wp14:editId="1F35FE4C">
            <wp:extent cx="10382250" cy="14573250"/>
            <wp:effectExtent l="0" t="0" r="0" b="0"/>
            <wp:docPr id="73" name="Picture 73" descr="https://www.pravno-informacioni-sistem.rs/SlGlasnikPortal/slike/Staklena-basta_Page_58.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pravno-informacioni-sistem.rs/SlGlasnikPortal/slike/Staklena-basta_Page_58.png&amp;doctype=reg&amp;abc=cba&amp;eli=true&amp;eliActId=436691&amp;regactid=4366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60DB10CB" w14:textId="77777777" w:rsidR="00951703" w:rsidRPr="00B34F09" w:rsidRDefault="00951703" w:rsidP="00951703">
      <w:pPr>
        <w:pStyle w:val="basic-paragraph"/>
        <w:spacing w:before="0" w:beforeAutospacing="0" w:after="0" w:afterAutospacing="0"/>
        <w:ind w:firstLine="480"/>
        <w:rPr>
          <w:rFonts w:ascii="Arial" w:hAnsi="Arial" w:cs="Arial"/>
          <w:color w:val="000000"/>
          <w:sz w:val="20"/>
          <w:szCs w:val="20"/>
        </w:rPr>
      </w:pPr>
      <w:r w:rsidRPr="00B34F09">
        <w:rPr>
          <w:rFonts w:ascii="Arial" w:hAnsi="Arial" w:cs="Arial"/>
          <w:noProof/>
          <w:color w:val="000000"/>
          <w:sz w:val="20"/>
          <w:szCs w:val="20"/>
        </w:rPr>
        <w:lastRenderedPageBreak/>
        <w:drawing>
          <wp:inline distT="0" distB="0" distL="0" distR="0" wp14:anchorId="75696B05" wp14:editId="683B8E9B">
            <wp:extent cx="10382250" cy="14573250"/>
            <wp:effectExtent l="0" t="0" r="0" b="0"/>
            <wp:docPr id="72" name="Picture 72" descr="https://www.pravno-informacioni-sistem.rs/SlGlasnikPortal/slike/Staklena-basta_Page_59.png&amp;doctype=reg&amp;abc=cba&amp;eli=true&amp;eliActId=436691&amp;regactid=43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pravno-informacioni-sistem.rs/SlGlasnikPortal/slike/Staklena-basta_Page_59.png&amp;doctype=reg&amp;abc=cba&amp;eli=true&amp;eliActId=436691&amp;regactid=4366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382250" cy="14573250"/>
                    </a:xfrm>
                    <a:prstGeom prst="rect">
                      <a:avLst/>
                    </a:prstGeom>
                    <a:noFill/>
                    <a:ln>
                      <a:noFill/>
                    </a:ln>
                  </pic:spPr>
                </pic:pic>
              </a:graphicData>
            </a:graphic>
          </wp:inline>
        </w:drawing>
      </w:r>
    </w:p>
    <w:p w14:paraId="4F2024A5"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lastRenderedPageBreak/>
        <w:t>ПРИЛОГ 15</w:t>
      </w:r>
    </w:p>
    <w:p w14:paraId="1F2AB32C"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ЗАХТЕВ ЗА ИЗДАВАЊЕ ДОЗВОЛЕ ЗА ЕМИСИЈУ GHG</w:t>
      </w:r>
    </w:p>
    <w:p w14:paraId="442861A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 Подаци о оператеру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79"/>
        <w:gridCol w:w="193"/>
      </w:tblGrid>
      <w:tr w:rsidR="00951703" w:rsidRPr="00951703" w14:paraId="4828A11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37D04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подносиоца захтева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3E615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F85552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B7E2F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E8A024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FA1CCC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1F7A7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AA699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243043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3AB3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045B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5EE6DE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05A1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FF445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C40E52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FA8F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7172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349AC7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A392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44DFC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71BB06F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6901A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Teлефон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72448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699AB0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07267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5BA36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746655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41D20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интегрисане дозволе (ако је применљиво)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82324C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763D68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A9C6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PRTR (ако је применљиво)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3B2E1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FB4ACD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294C3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Лице одговорно за управљање постројењем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5E822C"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C06D19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158CD8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D1070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3D4C20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2421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Позиција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CFA40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EFAFB1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23D7B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E174D3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C7149C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80A59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Презиме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5C3BD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F7A6FB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273AF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Назив организације (ако се разликује од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90EFFDC"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289DDD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1D972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53D7A4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2CDFED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0FB94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Друго овлашћено лице за давање информација везаних за дозволу и план мониторинга ако примарно лице није доступно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429EA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9C39EA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5FCC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Позиција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AE6E2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2D5AB5A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AB90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CD419C"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238D2D8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F748B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Презиме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8AD832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3383E5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17B2D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Назив организације (ако се разликује од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358B9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81D3AE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BDB6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17CCEC"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46A4AA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 Опис и локација постројења и активности које се обављају у постројењу, укључујући технологије које се користе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274"/>
        <w:gridCol w:w="98"/>
      </w:tblGrid>
      <w:tr w:rsidR="00951703" w:rsidRPr="00951703" w14:paraId="6A57503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BD9C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2382A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6E36CA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2AC9C1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2EC862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2A69DE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CCC88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Teлефон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364FF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E0C4C7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04AB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3E59E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2352223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DD23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Краћи опис локације:</w:t>
            </w:r>
          </w:p>
          <w:p w14:paraId="36B260E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Maкролокација</w:t>
            </w:r>
          </w:p>
          <w:p w14:paraId="743BA4E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Mикролокација</w:t>
            </w:r>
          </w:p>
          <w:p w14:paraId="2F3213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Oријентација локације</w:t>
            </w:r>
          </w:p>
          <w:p w14:paraId="2F30554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Опис локације (транспортна инфраструктура)</w:t>
            </w:r>
          </w:p>
          <w:p w14:paraId="6C438E4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Oбјекти у околини постројења које може утицати na емисије GHG (друга постројења са којим је постројење инфрструктурно повезано,...)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B5462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4F0704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F740D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Активности које се обављају у постројењу, укључујући технологије које се користе</w:t>
            </w:r>
            <w:r w:rsidRPr="00B34F09">
              <w:rPr>
                <w:rFonts w:ascii="Arial" w:eastAsia="Times New Roman" w:hAnsi="Arial" w:cs="Arial"/>
                <w:noProof w:val="0"/>
                <w:color w:val="000000"/>
                <w:sz w:val="20"/>
                <w:szCs w:val="20"/>
                <w:vertAlign w:val="superscript"/>
                <w:lang w:val="en-US"/>
              </w:rPr>
              <w:t>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7E6B8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070FA01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p w14:paraId="7D7D85D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1 Активности у складу са Прилогом 1. Уредбе о врстама активности и гасовима са ефектом стаклене баште</w:t>
      </w:r>
      <w:r w:rsidRPr="00951703">
        <w:rPr>
          <w:rFonts w:ascii="Arial" w:eastAsia="Times New Roman" w:hAnsi="Arial" w:cs="Arial"/>
          <w:noProof w:val="0"/>
          <w:color w:val="000000"/>
          <w:sz w:val="20"/>
          <w:szCs w:val="20"/>
          <w:lang w:val="sl-SI"/>
        </w:rPr>
        <w:t> („Службени гласник РС</w:t>
      </w:r>
      <w:r w:rsidRPr="00951703">
        <w:rPr>
          <w:rFonts w:ascii="Arial" w:eastAsia="Times New Roman" w:hAnsi="Arial" w:cs="Arial"/>
          <w:noProof w:val="0"/>
          <w:color w:val="000000"/>
          <w:sz w:val="20"/>
          <w:szCs w:val="20"/>
          <w:lang w:val="en-US"/>
        </w:rPr>
        <w:t>”, Број 13/22).</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66"/>
        <w:gridCol w:w="2844"/>
        <w:gridCol w:w="2647"/>
        <w:gridCol w:w="1975"/>
        <w:gridCol w:w="7186"/>
        <w:gridCol w:w="1554"/>
      </w:tblGrid>
      <w:tr w:rsidR="00951703" w:rsidRPr="00951703" w14:paraId="42271F9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839F9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 (A1, A2…)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8EE0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Активност из Прилога 1 Уредбе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508DE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Укупни капацитет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6179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Јединице капацитета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8CF90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Номинална топлотна снага на улазу у MW(th) (ако је капацитет изражен у тонама)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3AC1B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Емитовани GHG</w:t>
            </w:r>
          </w:p>
        </w:tc>
      </w:tr>
      <w:tr w:rsidR="00951703" w:rsidRPr="00951703" w14:paraId="4CDECBA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F4AD7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AF897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3A89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C948A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F5BB9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12A3FD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A36BAC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p w14:paraId="40A7463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III Подаци о врсти и извору емисија GHG</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36"/>
        <w:gridCol w:w="3197"/>
        <w:gridCol w:w="7539"/>
      </w:tblGrid>
      <w:tr w:rsidR="00951703" w:rsidRPr="00951703" w14:paraId="520E80F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C3CBB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 (S1, S2,…)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03B75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Извор емисије</w:t>
            </w:r>
          </w:p>
          <w:p w14:paraId="369E535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опис)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EEE68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 (A1, A2,..)</w:t>
            </w:r>
          </w:p>
        </w:tc>
      </w:tr>
      <w:tr w:rsidR="00951703" w:rsidRPr="00951703" w14:paraId="4B0BBD7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7564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9DA99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7FE1F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AFC9BF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70025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017102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D3CA1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74834D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F9054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74BB8B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F9914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08206F0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90"/>
        <w:gridCol w:w="2905"/>
        <w:gridCol w:w="3651"/>
        <w:gridCol w:w="4260"/>
        <w:gridCol w:w="2466"/>
      </w:tblGrid>
      <w:tr w:rsidR="00951703" w:rsidRPr="00951703" w14:paraId="007DA67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50459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тачку емисије (EP1, EP2,..)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8AC1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Опис тачке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2260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EFFB9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92B6D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Емитовани GHG</w:t>
            </w:r>
          </w:p>
        </w:tc>
      </w:tr>
      <w:tr w:rsidR="00951703" w:rsidRPr="00951703" w14:paraId="0E454D5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689C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EP1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B381A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6851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0CB74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E1109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ACD296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B5B59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EP2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041C4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BE838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C8857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B4311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CF57929"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BA6E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40FBE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CFA3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E8622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0A5F4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50360258"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 Напомена: по потреби додати редове</w:t>
      </w:r>
    </w:p>
    <w:p w14:paraId="4304CBC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IV. Подаци о сировинама и другим материјалима (токови извора) чија употреба може да доведе до емисије GHG</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41"/>
        <w:gridCol w:w="2336"/>
        <w:gridCol w:w="2313"/>
        <w:gridCol w:w="3099"/>
        <w:gridCol w:w="3616"/>
        <w:gridCol w:w="3567"/>
      </w:tblGrid>
      <w:tr w:rsidR="00951703" w:rsidRPr="00951703" w14:paraId="74BEB83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0960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ток извора F1, F2,…)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BAF5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тока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74FC2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Врста тока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F9A0C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9AF3B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B84E7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тачку емисије</w:t>
            </w:r>
          </w:p>
        </w:tc>
      </w:tr>
      <w:tr w:rsidR="00951703" w:rsidRPr="00951703" w14:paraId="01E973A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3AEB82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DC83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A2D24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6922C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68800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704E59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5F32A6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07A42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31C3D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31EA5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F7D50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B4946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1AE475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97718B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AF40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5BDB0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EEAE8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AB3FB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B96B2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4FF50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8FC90F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p w14:paraId="1C51C45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Нетехнички резиме података који се односи на податке из тач. I–IV овог прилога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4DC0600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E7414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683052C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 План мониторинга (ПРИЛОГ 10)</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080"/>
        <w:gridCol w:w="292"/>
      </w:tblGrid>
      <w:tr w:rsidR="00951703" w:rsidRPr="00951703" w14:paraId="33EC42A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416D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верзије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4C6C8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89DD97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C598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Референтни датум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72511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02EC4C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AD6D3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Статус на дан референтног датума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44E5C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168C69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D3ED6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Датум примене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C973B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71738D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974E9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датотеке плана мониторинга у прилогу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AFF35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60EC1041"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5B387563"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16</w:t>
      </w:r>
    </w:p>
    <w:p w14:paraId="1FFC46C3"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ОБАВЕШТЕЊЕ</w:t>
      </w:r>
      <w:r w:rsidRPr="00951703">
        <w:rPr>
          <w:rFonts w:ascii="Arial" w:eastAsia="Times New Roman" w:hAnsi="Arial" w:cs="Arial"/>
          <w:b/>
          <w:bCs/>
          <w:noProof w:val="0"/>
          <w:color w:val="000000"/>
          <w:sz w:val="20"/>
          <w:szCs w:val="20"/>
          <w:lang w:val="en-US"/>
        </w:rPr>
        <w:br/>
      </w:r>
      <w:r w:rsidRPr="00B34F09">
        <w:rPr>
          <w:rFonts w:ascii="Arial" w:eastAsia="Times New Roman" w:hAnsi="Arial" w:cs="Arial"/>
          <w:b/>
          <w:bCs/>
          <w:noProof w:val="0"/>
          <w:color w:val="000000"/>
          <w:sz w:val="20"/>
          <w:szCs w:val="20"/>
          <w:lang w:val="en-US"/>
        </w:rPr>
        <w:t>О НАМЕРАВАНОЈ ПРОМЕНИ ВРСТЕ АКТИВНОСТИ, ПРОМЕНИ КАПАЦИТЕТА ПОСТОЈЕЋИХ ПОСТРОЈЕЊА И ИЗГРАДЊИ НОВИХ ПОСТРОЈЕЊА НА ЛОКАЦИЈИ, ПРОМЕНИ ГОРИВА И ГЛАВНИХ СИРОВИНА КОЈЕ СЕ КОРИСТЕ У ПОСТРОЈЕЊУ У СКЛАДУ СА ЧЛАНОМ 31. ЗАКОНА О КЛИМАТСКИМ ПРОМЕНАМА</w:t>
      </w:r>
    </w:p>
    <w:p w14:paraId="2C335A9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 Подаци о оператеру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51"/>
        <w:gridCol w:w="221"/>
      </w:tblGrid>
      <w:tr w:rsidR="00951703" w:rsidRPr="00951703" w14:paraId="1BB187F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92826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подносиоца захтева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5CEB0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AA0AAC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BAFF4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E1199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77BB82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C448B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27808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1E1580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539D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BE19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B521A5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FB466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EC80A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2DCD62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C9F96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712D1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3B4608B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10728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B078A0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8C601A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C9A28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Teлефон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6D28E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EEB6AC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3B1D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EEF2F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bl>
    <w:p w14:paraId="186D5DD2"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 Подаци о постројењу</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742"/>
        <w:gridCol w:w="630"/>
      </w:tblGrid>
      <w:tr w:rsidR="00951703" w:rsidRPr="00951703" w14:paraId="298C781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6B4F3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ID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FC566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30F5B9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E7610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дозволе за емисију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0E64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4274E1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392D8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Верзија важећег плана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94A26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62ECA2B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III. Намераване промене оператера, односно података о оператеру</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718"/>
        <w:gridCol w:w="2654"/>
      </w:tblGrid>
      <w:tr w:rsidR="00951703" w:rsidRPr="00951703" w14:paraId="7F652CD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2C6F0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Намераване промене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AC19C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1A256FD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7666F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Намераване промене података о оператеру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58B50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29412C1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IV. Намераване промене врсте активности, променe капацитета постојећих постројења и изградњи нових постројења на локацији, промени горива и главних сировина које се користе у постројењу</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98"/>
        <w:gridCol w:w="1974"/>
      </w:tblGrid>
      <w:tr w:rsidR="00951703" w:rsidRPr="00951703" w14:paraId="3D1AFF4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45D1D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врсте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8FEA4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3C4E9E6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C0390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капацитета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59CE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4C86567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2090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Изградња нових постројења/јединица постројења на локацији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62634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2E069C6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8B08A6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горива које се користи у постројењу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BB0DA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456C7E3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AAD6C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главних сировина које се корсите у постројењу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FDCB4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6E32135C"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Опис намераваних промена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18051C3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1DB06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7171CD4"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p w14:paraId="6CB9BE1D" w14:textId="77777777" w:rsidR="00951703" w:rsidRPr="00951703" w:rsidRDefault="00951703" w:rsidP="00951703">
      <w:pPr>
        <w:ind w:firstLine="480"/>
        <w:contextualSpacing w:val="0"/>
        <w:jc w:val="right"/>
        <w:rPr>
          <w:rFonts w:ascii="Arial" w:eastAsia="Times New Roman" w:hAnsi="Arial" w:cs="Arial"/>
          <w:noProof w:val="0"/>
          <w:color w:val="000000"/>
          <w:sz w:val="20"/>
          <w:szCs w:val="20"/>
          <w:lang w:val="en-US"/>
        </w:rPr>
      </w:pPr>
      <w:r w:rsidRPr="00B34F09">
        <w:rPr>
          <w:rFonts w:ascii="Arial" w:eastAsia="Times New Roman" w:hAnsi="Arial" w:cs="Arial"/>
          <w:b/>
          <w:bCs/>
          <w:noProof w:val="0"/>
          <w:color w:val="000000"/>
          <w:sz w:val="20"/>
          <w:szCs w:val="20"/>
          <w:lang w:val="en-US"/>
        </w:rPr>
        <w:t>ПРИЛОГ 17</w:t>
      </w:r>
    </w:p>
    <w:p w14:paraId="2CBF5B38" w14:textId="77777777" w:rsidR="00951703" w:rsidRPr="00951703" w:rsidRDefault="00951703" w:rsidP="00951703">
      <w:pPr>
        <w:ind w:firstLine="480"/>
        <w:contextualSpacing w:val="0"/>
        <w:jc w:val="center"/>
        <w:rPr>
          <w:rFonts w:ascii="Arial" w:eastAsia="Times New Roman" w:hAnsi="Arial" w:cs="Arial"/>
          <w:b/>
          <w:bCs/>
          <w:noProof w:val="0"/>
          <w:color w:val="000000"/>
          <w:sz w:val="20"/>
          <w:szCs w:val="20"/>
          <w:lang w:val="en-US"/>
        </w:rPr>
      </w:pPr>
      <w:r w:rsidRPr="00B34F09">
        <w:rPr>
          <w:rFonts w:ascii="Arial" w:eastAsia="Times New Roman" w:hAnsi="Arial" w:cs="Arial"/>
          <w:b/>
          <w:bCs/>
          <w:noProof w:val="0"/>
          <w:color w:val="000000"/>
          <w:sz w:val="20"/>
          <w:szCs w:val="20"/>
          <w:lang w:val="en-US"/>
        </w:rPr>
        <w:t>ЗАХТЕВ ЗА ИЗМЕНУ ДОЗВОЛЕ ЗА ЕМИСИЈУ GHG</w:t>
      </w:r>
    </w:p>
    <w:p w14:paraId="441B306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 Подаци о оператеру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51"/>
        <w:gridCol w:w="221"/>
      </w:tblGrid>
      <w:tr w:rsidR="00951703" w:rsidRPr="00951703" w14:paraId="5E4727A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21D076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подносиоца захтева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B203C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F7E86A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AC92D5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DE917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D77963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01608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E1188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DD39CD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FCA904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0DB48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B21491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3509B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C1DBF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1484F2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FD921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DAE9C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5CEE60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E10E0A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88873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A2A521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5A4AC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Teлефон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F326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E74935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9CAC2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842B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bl>
    <w:p w14:paraId="2945A05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 Подаци о постројењу</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742"/>
        <w:gridCol w:w="630"/>
      </w:tblGrid>
      <w:tr w:rsidR="00951703" w:rsidRPr="00951703" w14:paraId="3E45C84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F23F4E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ID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76311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037E6E9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20F08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дозволе за емисију GHG</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8B7853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493775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465680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Верзија важећег плана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53BD5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0855278F"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III. Oпис намераваних промена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857"/>
        <w:gridCol w:w="3515"/>
      </w:tblGrid>
      <w:tr w:rsidR="00951703" w:rsidRPr="00951703" w14:paraId="445E97B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5DB57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AADB0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6E1D648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EEFEE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података о оператеру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6B3D3"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78A6050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дошло до промене оператера односно података о постојећем оператеру попунити податке из тач. IV. овог прилога</w:t>
      </w:r>
    </w:p>
    <w:p w14:paraId="141AC45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IV. Нови подаци о оператеру постројења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79"/>
        <w:gridCol w:w="193"/>
      </w:tblGrid>
      <w:tr w:rsidR="00951703" w:rsidRPr="00951703" w14:paraId="430078A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1EA1FE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D5ED6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112B488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20A2F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Матични број, ПИБ и датум регистрације у регистру привредних субјеката Агенције за привредне регистре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318957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B058BE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48B445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Одговорно 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C9351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627354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D484F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Aдреса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FCE69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2D5F936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933B98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Oпштина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61A76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71D57AB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6A5A0D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Место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93A1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6728BAB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D17E7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Поштански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0EDA03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7DFC88B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90032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Teлефон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D6C97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439CEF6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C15B92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E-маил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86E1EB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r>
      <w:tr w:rsidR="00951703" w:rsidRPr="00951703" w14:paraId="591A745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99209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интегрисане дозволе (ако је применљиво)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B849A2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629289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EE84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PRTR (ако је применљиво)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6699D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2918D1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0643D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Лице одговорно за управљање постројењем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65E1B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364811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DF64A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245F2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89FC13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B922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Позиција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665C0B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B8A2EC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C346F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587887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5A58A6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F31F02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Презиме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9D5AEF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43A0A2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ABA668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Назив организације (ако се разликује од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BFB56B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28AA808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1A5A25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51A16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A20ECD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011A2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Друго овлашћено лице за давање информација везаних за дозволу и план мониторинга ако примарно лице није доступно</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F891CC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1AF479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2B781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Позиција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AB88E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FE1DE9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59CDD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395E4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49F7087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2463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Презиме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0FC49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E7160A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0D7FA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Назив организације (ако се разликује од оператера)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1E6CDC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011C4644"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94B45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Примарно овлашћено лице за давање информација везаних за дозволу и план мониторинга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D73BC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34C04870" w14:textId="77777777" w:rsidR="00951703" w:rsidRPr="00951703" w:rsidRDefault="00951703" w:rsidP="00951703">
      <w:pPr>
        <w:contextualSpacing w:val="0"/>
        <w:rPr>
          <w:rFonts w:ascii="Arial" w:eastAsia="Times New Roman" w:hAnsi="Arial" w:cs="Arial"/>
          <w:noProof w:val="0"/>
          <w:vanish/>
          <w:sz w:val="20"/>
          <w:szCs w:val="20"/>
          <w:lang w:val="en-US"/>
        </w:rPr>
      </w:pP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398"/>
        <w:gridCol w:w="1974"/>
      </w:tblGrid>
      <w:tr w:rsidR="00951703" w:rsidRPr="00951703" w14:paraId="5705485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FA7D13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врсте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4114EB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0660F9B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B4789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капацитета постројења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682E391"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0323832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15782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Изградња нових постројења/јединица постројења на локацији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545D5B0"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046C1EB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дошло до промене оператера, односно података о постојећем оператеру попунити податке из тач. V. и VI. овог прилога</w:t>
      </w:r>
    </w:p>
    <w:p w14:paraId="42E2B290"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 Нови подаци о активности које се обављају у постројењу, укључујући технологије које се користе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66"/>
        <w:gridCol w:w="2844"/>
        <w:gridCol w:w="2647"/>
        <w:gridCol w:w="1975"/>
        <w:gridCol w:w="7186"/>
        <w:gridCol w:w="1554"/>
      </w:tblGrid>
      <w:tr w:rsidR="00951703" w:rsidRPr="00951703" w14:paraId="1518F46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E9209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 (A1, A2…)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394D7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Активност из Прилога 1 Уредбе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0112AF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Укупни капацитет активности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DA9A18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Јединице капацитета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FA70F3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Номинална топлотна снага на улазу у MW(th) (ако је капацитет изражен у тонама)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0064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Емитовани GHG</w:t>
            </w:r>
          </w:p>
        </w:tc>
      </w:tr>
      <w:tr w:rsidR="00951703" w:rsidRPr="00951703" w14:paraId="60B30763"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964C83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A1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62CE8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B9A39B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6A4A9B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60FF74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D8EF75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F2F51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p w14:paraId="65623ACE"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 Опис нових активности које се обављају у постројењу, укључујући технологије које се користе</w:t>
      </w:r>
      <w:r w:rsidRPr="00B34F09">
        <w:rPr>
          <w:rFonts w:ascii="Arial" w:eastAsia="Times New Roman" w:hAnsi="Arial" w:cs="Arial"/>
          <w:noProof w:val="0"/>
          <w:color w:val="000000"/>
          <w:sz w:val="20"/>
          <w:szCs w:val="20"/>
          <w:vertAlign w:val="superscript"/>
          <w:lang w:val="en-US"/>
        </w:rPr>
        <w:t>2</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5C587FD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476CB0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A2E792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p w14:paraId="73EAE9F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2 Активности у складу са Прилогом 1. Уредбе о врстама активности и гасовима са ефектом стаклене баште („Службени гласник РС”, Број 13/22).</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229"/>
        <w:gridCol w:w="2143"/>
      </w:tblGrid>
      <w:tr w:rsidR="00951703" w:rsidRPr="00951703" w14:paraId="2F6223EA"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61F95C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горива које се користи у постројењу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4C1F1B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r w:rsidR="00951703" w:rsidRPr="00951703" w14:paraId="53F0018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308913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Промена главних сировина које се корсите у постројењу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AB7B03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ДА/НЕ</w:t>
            </w:r>
          </w:p>
        </w:tc>
      </w:tr>
    </w:tbl>
    <w:p w14:paraId="39775FD3"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дошло до промене оператера односно података о постојећем оператеру попунити податке из тач. VII, VIII и IX. овог прилога</w:t>
      </w:r>
    </w:p>
    <w:p w14:paraId="33A3FBF1"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VII. Нови подаци о врсти и извору емисија GHG</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466"/>
        <w:gridCol w:w="3248"/>
        <w:gridCol w:w="7658"/>
      </w:tblGrid>
      <w:tr w:rsidR="00951703" w:rsidRPr="00951703" w14:paraId="38E5E218"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50521AC"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 S1, S2,…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984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Извор емисије</w:t>
            </w:r>
          </w:p>
          <w:p w14:paraId="397F764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(назив, опис)</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9E95EC7"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lastRenderedPageBreak/>
              <w:t>Упућивање на активност (A1, A2,..)</w:t>
            </w:r>
          </w:p>
        </w:tc>
      </w:tr>
      <w:tr w:rsidR="00951703" w:rsidRPr="00951703" w14:paraId="1493BC0E"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61F787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05DBE4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759A175"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0FDE5C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A2218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S2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0EE0E7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ADC8D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10ED625"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763B8D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B6CB86"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AAAF2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013A14E6"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126"/>
        <w:gridCol w:w="2897"/>
        <w:gridCol w:w="3641"/>
        <w:gridCol w:w="4248"/>
        <w:gridCol w:w="2460"/>
      </w:tblGrid>
      <w:tr w:rsidR="00951703" w:rsidRPr="00951703" w14:paraId="6F21BECC"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406BA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тачку емисије (EP1, EP2…)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E6EFD6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Опис тачке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2FC109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14C9B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78C5EE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Емитовани GHG</w:t>
            </w:r>
          </w:p>
        </w:tc>
      </w:tr>
      <w:tr w:rsidR="00951703" w:rsidRPr="00951703" w14:paraId="74BF3BE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1941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EP1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DBC0E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273E9C2"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3DB7393"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ED757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3076F9F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768F9AF"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EP2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3F8B6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D4170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C8375B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A483DC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324C48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F618B6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C2D80C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B2190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76E70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88D37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4957D5D"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p w14:paraId="35F72357"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VIII. Нови подаци o сировинама и другим материјалима (токови извора) чија употреба може да доведе до емисије GHG</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08"/>
        <w:gridCol w:w="2326"/>
        <w:gridCol w:w="2302"/>
        <w:gridCol w:w="3085"/>
        <w:gridCol w:w="3600"/>
        <w:gridCol w:w="3551"/>
      </w:tblGrid>
      <w:tr w:rsidR="00951703" w:rsidRPr="00951703" w14:paraId="2F58F69B"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13902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ток извора (F1, F2,…)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A8F0AC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тока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C9E4F5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Врста тока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057640D"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активност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3A6023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извор емисије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AFDA5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Упућивање на тачку емисије</w:t>
            </w:r>
          </w:p>
        </w:tc>
      </w:tr>
      <w:tr w:rsidR="00951703" w:rsidRPr="00951703" w14:paraId="43EF5A3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2F96378"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4699DD4"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2D8A07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B8FD20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7798BF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CFA933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3ED318F"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064954B"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F2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C0499E"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D51768"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EF9E90"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CA2D37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97CF02"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29D9905D"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D92E66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579E0B1B"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51CF72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3428609"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A1CCC3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DD2C4ED"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A841894"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 Напомена: по потреби додати редове</w:t>
      </w:r>
    </w:p>
    <w:p w14:paraId="58AFA29B"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IX. Нетехнички резиме података који се односи на податке из тач. VII–VIII. овог прилога</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372"/>
      </w:tblGrid>
      <w:tr w:rsidR="00951703" w:rsidRPr="00951703" w14:paraId="7F7A58E2"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4FE0107"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13B0D329"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Ако је Надлежни орган проценио да је уз захтев за измену дозволе потребно доставити и измењени план мониторинга оператер постројења испуњава податке из тач. X. овог прилога и измењен план мониторинга доставља на ПРИЛОГУ 10 овог правилника.</w:t>
      </w:r>
    </w:p>
    <w:p w14:paraId="01A18585" w14:textId="77777777" w:rsidR="00951703" w:rsidRPr="00951703" w:rsidRDefault="00951703" w:rsidP="00951703">
      <w:pPr>
        <w:ind w:firstLine="480"/>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X. Нови план мониторинга (ПРИЛОГ 10)</w:t>
      </w:r>
    </w:p>
    <w:tbl>
      <w:tblPr>
        <w:tblW w:w="19372"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080"/>
        <w:gridCol w:w="292"/>
      </w:tblGrid>
      <w:tr w:rsidR="00951703" w:rsidRPr="00951703" w14:paraId="0795AC96"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2C8BE695"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Број верзије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0E199C81"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13584C5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40ABCAA"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Референтни датум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AF4907F"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73B14397"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D747826"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Статус на дан референтног датума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3832108A"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528A0420"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727AE04E"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Датум примене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6EFBF24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r w:rsidR="00951703" w:rsidRPr="00951703" w14:paraId="68C42E61" w14:textId="77777777" w:rsidTr="00951703">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13CD2F59" w14:textId="77777777" w:rsidR="00951703" w:rsidRPr="00951703" w:rsidRDefault="00951703" w:rsidP="00951703">
            <w:pPr>
              <w:contextualSpacing w:val="0"/>
              <w:rPr>
                <w:rFonts w:ascii="Arial" w:eastAsia="Times New Roman" w:hAnsi="Arial" w:cs="Arial"/>
                <w:noProof w:val="0"/>
                <w:color w:val="000000"/>
                <w:sz w:val="20"/>
                <w:szCs w:val="20"/>
                <w:lang w:val="en-US"/>
              </w:rPr>
            </w:pPr>
            <w:r w:rsidRPr="00951703">
              <w:rPr>
                <w:rFonts w:ascii="Arial" w:eastAsia="Times New Roman" w:hAnsi="Arial" w:cs="Arial"/>
                <w:noProof w:val="0"/>
                <w:color w:val="000000"/>
                <w:sz w:val="20"/>
                <w:szCs w:val="20"/>
                <w:lang w:val="en-US"/>
              </w:rPr>
              <w:t>Назив датотеке плана мониторинга у прилогу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14:paraId="419E1624" w14:textId="77777777" w:rsidR="00951703" w:rsidRPr="00951703" w:rsidRDefault="00951703" w:rsidP="00951703">
            <w:pPr>
              <w:contextualSpacing w:val="0"/>
              <w:rPr>
                <w:rFonts w:ascii="Arial" w:eastAsia="Times New Roman" w:hAnsi="Arial" w:cs="Arial"/>
                <w:noProof w:val="0"/>
                <w:color w:val="000000"/>
                <w:sz w:val="20"/>
                <w:szCs w:val="20"/>
                <w:lang w:val="en-US"/>
              </w:rPr>
            </w:pPr>
          </w:p>
        </w:tc>
      </w:tr>
    </w:tbl>
    <w:p w14:paraId="49342E22" w14:textId="77777777" w:rsidR="00951703" w:rsidRPr="00B34F09" w:rsidRDefault="00951703" w:rsidP="00987475">
      <w:pPr>
        <w:spacing w:after="120" w:line="276" w:lineRule="auto"/>
        <w:contextualSpacing w:val="0"/>
        <w:jc w:val="center"/>
        <w:rPr>
          <w:rFonts w:ascii="Arial" w:eastAsiaTheme="minorHAnsi" w:hAnsi="Arial" w:cs="Arial"/>
          <w:b/>
          <w:noProof w:val="0"/>
          <w:color w:val="000000"/>
          <w:sz w:val="20"/>
          <w:szCs w:val="20"/>
          <w:lang w:val="sr-Cyrl-RS"/>
        </w:rPr>
      </w:pPr>
    </w:p>
    <w:sectPr w:rsidR="00951703" w:rsidRPr="00B34F09" w:rsidSect="00EB57C1">
      <w:footerReference w:type="default" r:id="rId66"/>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A6506" w14:textId="77777777" w:rsidR="00EB57C1" w:rsidRDefault="00EB57C1" w:rsidP="00517A41">
      <w:r>
        <w:separator/>
      </w:r>
    </w:p>
  </w:endnote>
  <w:endnote w:type="continuationSeparator" w:id="0">
    <w:p w14:paraId="7180214F" w14:textId="77777777" w:rsidR="00EB57C1" w:rsidRDefault="00EB57C1"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41E8B" w14:textId="77777777"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7E2EB9">
      <w:rPr>
        <w:caps/>
        <w:noProof/>
        <w:color w:val="5B9BD5"/>
      </w:rPr>
      <w:t>5</w:t>
    </w:r>
    <w:r w:rsidRPr="00932A9A">
      <w:rPr>
        <w:caps/>
        <w:noProof/>
        <w:color w:val="5B9BD5"/>
      </w:rPr>
      <w:fldChar w:fldCharType="end"/>
    </w:r>
  </w:p>
  <w:p w14:paraId="60E48D98" w14:textId="77777777"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A4D77" w14:textId="77777777" w:rsidR="00EB57C1" w:rsidRDefault="00EB57C1" w:rsidP="00517A41">
      <w:r>
        <w:separator/>
      </w:r>
    </w:p>
  </w:footnote>
  <w:footnote w:type="continuationSeparator" w:id="0">
    <w:p w14:paraId="03162CEB" w14:textId="77777777" w:rsidR="00EB57C1" w:rsidRDefault="00EB57C1"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1374307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attachedTemplate r:id="rId1"/>
  <w:defaultTabStop w:val="720"/>
  <w:hyphenationZone w:val="425"/>
  <w:characterSpacingControl w:val="doNotCompress"/>
  <w:hdrShapeDefaults>
    <o:shapedefaults v:ext="edit" spidmax="2050"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A9A"/>
    <w:rsid w:val="000540A1"/>
    <w:rsid w:val="000831BD"/>
    <w:rsid w:val="000C5867"/>
    <w:rsid w:val="00134065"/>
    <w:rsid w:val="00172A45"/>
    <w:rsid w:val="00192081"/>
    <w:rsid w:val="001C11FA"/>
    <w:rsid w:val="00251BA3"/>
    <w:rsid w:val="002A17CE"/>
    <w:rsid w:val="00352BAB"/>
    <w:rsid w:val="003678AF"/>
    <w:rsid w:val="00380192"/>
    <w:rsid w:val="003858A6"/>
    <w:rsid w:val="003960C1"/>
    <w:rsid w:val="003C4BB6"/>
    <w:rsid w:val="003D018B"/>
    <w:rsid w:val="0042287B"/>
    <w:rsid w:val="0044547E"/>
    <w:rsid w:val="004777E6"/>
    <w:rsid w:val="004F4265"/>
    <w:rsid w:val="005029F7"/>
    <w:rsid w:val="00517A41"/>
    <w:rsid w:val="00596ED1"/>
    <w:rsid w:val="005D6DF1"/>
    <w:rsid w:val="005F6DF4"/>
    <w:rsid w:val="00606197"/>
    <w:rsid w:val="00643E74"/>
    <w:rsid w:val="00665421"/>
    <w:rsid w:val="006C26FD"/>
    <w:rsid w:val="006E10C5"/>
    <w:rsid w:val="00700BA5"/>
    <w:rsid w:val="00717B5A"/>
    <w:rsid w:val="007A55AE"/>
    <w:rsid w:val="007E2EB9"/>
    <w:rsid w:val="00801FF1"/>
    <w:rsid w:val="0081111A"/>
    <w:rsid w:val="00824D13"/>
    <w:rsid w:val="00836C83"/>
    <w:rsid w:val="00905917"/>
    <w:rsid w:val="009238C2"/>
    <w:rsid w:val="00932A9A"/>
    <w:rsid w:val="00944E3C"/>
    <w:rsid w:val="00951703"/>
    <w:rsid w:val="00987475"/>
    <w:rsid w:val="009A1B18"/>
    <w:rsid w:val="009B37BC"/>
    <w:rsid w:val="009B7D5A"/>
    <w:rsid w:val="009D4583"/>
    <w:rsid w:val="00A31AF5"/>
    <w:rsid w:val="00A43155"/>
    <w:rsid w:val="00A62947"/>
    <w:rsid w:val="00B34F09"/>
    <w:rsid w:val="00C40AD5"/>
    <w:rsid w:val="00C56CC9"/>
    <w:rsid w:val="00D70371"/>
    <w:rsid w:val="00DA3096"/>
    <w:rsid w:val="00DB1263"/>
    <w:rsid w:val="00DD75D6"/>
    <w:rsid w:val="00E110B2"/>
    <w:rsid w:val="00E25874"/>
    <w:rsid w:val="00E72AD7"/>
    <w:rsid w:val="00EB57C1"/>
    <w:rsid w:val="00F058FC"/>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mso-position-vertical-relative:page;mso-width-relative:margin;mso-height-relative:margin" fill="f" fillcolor="white" stroke="f">
      <v:fill color="white" on="f"/>
      <v:stroke on="f"/>
      <o:colormru v:ext="edit" colors="#d6f9fe,#ccecff"/>
    </o:shapedefaults>
    <o:shapelayout v:ext="edit">
      <o:idmap v:ext="edit" data="2"/>
    </o:shapelayout>
  </w:shapeDefaults>
  <w:decimalSymbol w:val="."/>
  <w:listSeparator w:val=","/>
  <w14:docId w14:val="185879F4"/>
  <w15:docId w15:val="{732CD125-9117-4857-94DE-6E567B194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298805">
      <w:bodyDiv w:val="1"/>
      <w:marLeft w:val="0"/>
      <w:marRight w:val="0"/>
      <w:marTop w:val="0"/>
      <w:marBottom w:val="0"/>
      <w:divBdr>
        <w:top w:val="none" w:sz="0" w:space="0" w:color="auto"/>
        <w:left w:val="none" w:sz="0" w:space="0" w:color="auto"/>
        <w:bottom w:val="none" w:sz="0" w:space="0" w:color="auto"/>
        <w:right w:val="none" w:sz="0" w:space="0" w:color="auto"/>
      </w:divBdr>
      <w:divsChild>
        <w:div w:id="1380938048">
          <w:marLeft w:val="0"/>
          <w:marRight w:val="0"/>
          <w:marTop w:val="0"/>
          <w:marBottom w:val="0"/>
          <w:divBdr>
            <w:top w:val="none" w:sz="0" w:space="0" w:color="auto"/>
            <w:left w:val="none" w:sz="0" w:space="0" w:color="auto"/>
            <w:bottom w:val="none" w:sz="0" w:space="0" w:color="auto"/>
            <w:right w:val="none" w:sz="0" w:space="0" w:color="auto"/>
          </w:divBdr>
          <w:divsChild>
            <w:div w:id="1705668434">
              <w:marLeft w:val="0"/>
              <w:marRight w:val="0"/>
              <w:marTop w:val="0"/>
              <w:marBottom w:val="0"/>
              <w:divBdr>
                <w:top w:val="none" w:sz="0" w:space="0" w:color="auto"/>
                <w:left w:val="none" w:sz="0" w:space="0" w:color="auto"/>
                <w:bottom w:val="none" w:sz="0" w:space="0" w:color="auto"/>
                <w:right w:val="none" w:sz="0" w:space="0" w:color="auto"/>
              </w:divBdr>
            </w:div>
          </w:divsChild>
        </w:div>
        <w:div w:id="473525421">
          <w:marLeft w:val="0"/>
          <w:marRight w:val="0"/>
          <w:marTop w:val="0"/>
          <w:marBottom w:val="0"/>
          <w:divBdr>
            <w:top w:val="none" w:sz="0" w:space="0" w:color="auto"/>
            <w:left w:val="none" w:sz="0" w:space="0" w:color="auto"/>
            <w:bottom w:val="none" w:sz="0" w:space="0" w:color="auto"/>
            <w:right w:val="none" w:sz="0" w:space="0" w:color="auto"/>
          </w:divBdr>
          <w:divsChild>
            <w:div w:id="436486820">
              <w:marLeft w:val="0"/>
              <w:marRight w:val="0"/>
              <w:marTop w:val="0"/>
              <w:marBottom w:val="0"/>
              <w:divBdr>
                <w:top w:val="none" w:sz="0" w:space="0" w:color="auto"/>
                <w:left w:val="none" w:sz="0" w:space="0" w:color="auto"/>
                <w:bottom w:val="none" w:sz="0" w:space="0" w:color="auto"/>
                <w:right w:val="none" w:sz="0" w:space="0" w:color="auto"/>
              </w:divBdr>
            </w:div>
          </w:divsChild>
        </w:div>
        <w:div w:id="411241607">
          <w:marLeft w:val="0"/>
          <w:marRight w:val="0"/>
          <w:marTop w:val="0"/>
          <w:marBottom w:val="0"/>
          <w:divBdr>
            <w:top w:val="none" w:sz="0" w:space="0" w:color="auto"/>
            <w:left w:val="none" w:sz="0" w:space="0" w:color="auto"/>
            <w:bottom w:val="none" w:sz="0" w:space="0" w:color="auto"/>
            <w:right w:val="none" w:sz="0" w:space="0" w:color="auto"/>
          </w:divBdr>
          <w:divsChild>
            <w:div w:id="1243952019">
              <w:marLeft w:val="0"/>
              <w:marRight w:val="0"/>
              <w:marTop w:val="0"/>
              <w:marBottom w:val="0"/>
              <w:divBdr>
                <w:top w:val="none" w:sz="0" w:space="0" w:color="auto"/>
                <w:left w:val="none" w:sz="0" w:space="0" w:color="auto"/>
                <w:bottom w:val="none" w:sz="0" w:space="0" w:color="auto"/>
                <w:right w:val="none" w:sz="0" w:space="0" w:color="auto"/>
              </w:divBdr>
            </w:div>
          </w:divsChild>
        </w:div>
        <w:div w:id="401680600">
          <w:marLeft w:val="0"/>
          <w:marRight w:val="0"/>
          <w:marTop w:val="0"/>
          <w:marBottom w:val="0"/>
          <w:divBdr>
            <w:top w:val="none" w:sz="0" w:space="0" w:color="auto"/>
            <w:left w:val="none" w:sz="0" w:space="0" w:color="auto"/>
            <w:bottom w:val="none" w:sz="0" w:space="0" w:color="auto"/>
            <w:right w:val="none" w:sz="0" w:space="0" w:color="auto"/>
          </w:divBdr>
          <w:divsChild>
            <w:div w:id="875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236252">
      <w:bodyDiv w:val="1"/>
      <w:marLeft w:val="0"/>
      <w:marRight w:val="0"/>
      <w:marTop w:val="0"/>
      <w:marBottom w:val="0"/>
      <w:divBdr>
        <w:top w:val="none" w:sz="0" w:space="0" w:color="auto"/>
        <w:left w:val="none" w:sz="0" w:space="0" w:color="auto"/>
        <w:bottom w:val="none" w:sz="0" w:space="0" w:color="auto"/>
        <w:right w:val="none" w:sz="0" w:space="0" w:color="auto"/>
      </w:divBdr>
    </w:div>
    <w:div w:id="339895713">
      <w:bodyDiv w:val="1"/>
      <w:marLeft w:val="0"/>
      <w:marRight w:val="0"/>
      <w:marTop w:val="0"/>
      <w:marBottom w:val="0"/>
      <w:divBdr>
        <w:top w:val="none" w:sz="0" w:space="0" w:color="auto"/>
        <w:left w:val="none" w:sz="0" w:space="0" w:color="auto"/>
        <w:bottom w:val="none" w:sz="0" w:space="0" w:color="auto"/>
        <w:right w:val="none" w:sz="0" w:space="0" w:color="auto"/>
      </w:divBdr>
    </w:div>
    <w:div w:id="395392990">
      <w:bodyDiv w:val="1"/>
      <w:marLeft w:val="0"/>
      <w:marRight w:val="0"/>
      <w:marTop w:val="0"/>
      <w:marBottom w:val="0"/>
      <w:divBdr>
        <w:top w:val="none" w:sz="0" w:space="0" w:color="auto"/>
        <w:left w:val="none" w:sz="0" w:space="0" w:color="auto"/>
        <w:bottom w:val="none" w:sz="0" w:space="0" w:color="auto"/>
        <w:right w:val="none" w:sz="0" w:space="0" w:color="auto"/>
      </w:divBdr>
    </w:div>
    <w:div w:id="622806944">
      <w:bodyDiv w:val="1"/>
      <w:marLeft w:val="0"/>
      <w:marRight w:val="0"/>
      <w:marTop w:val="0"/>
      <w:marBottom w:val="0"/>
      <w:divBdr>
        <w:top w:val="none" w:sz="0" w:space="0" w:color="auto"/>
        <w:left w:val="none" w:sz="0" w:space="0" w:color="auto"/>
        <w:bottom w:val="none" w:sz="0" w:space="0" w:color="auto"/>
        <w:right w:val="none" w:sz="0" w:space="0" w:color="auto"/>
      </w:divBdr>
    </w:div>
    <w:div w:id="688334798">
      <w:bodyDiv w:val="1"/>
      <w:marLeft w:val="0"/>
      <w:marRight w:val="0"/>
      <w:marTop w:val="0"/>
      <w:marBottom w:val="0"/>
      <w:divBdr>
        <w:top w:val="none" w:sz="0" w:space="0" w:color="auto"/>
        <w:left w:val="none" w:sz="0" w:space="0" w:color="auto"/>
        <w:bottom w:val="none" w:sz="0" w:space="0" w:color="auto"/>
        <w:right w:val="none" w:sz="0" w:space="0" w:color="auto"/>
      </w:divBdr>
    </w:div>
    <w:div w:id="816532183">
      <w:bodyDiv w:val="1"/>
      <w:marLeft w:val="0"/>
      <w:marRight w:val="0"/>
      <w:marTop w:val="0"/>
      <w:marBottom w:val="0"/>
      <w:divBdr>
        <w:top w:val="none" w:sz="0" w:space="0" w:color="auto"/>
        <w:left w:val="none" w:sz="0" w:space="0" w:color="auto"/>
        <w:bottom w:val="none" w:sz="0" w:space="0" w:color="auto"/>
        <w:right w:val="none" w:sz="0" w:space="0" w:color="auto"/>
      </w:divBdr>
    </w:div>
    <w:div w:id="840854120">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
    <w:div w:id="1366640084">
      <w:bodyDiv w:val="1"/>
      <w:marLeft w:val="0"/>
      <w:marRight w:val="0"/>
      <w:marTop w:val="0"/>
      <w:marBottom w:val="0"/>
      <w:divBdr>
        <w:top w:val="none" w:sz="0" w:space="0" w:color="auto"/>
        <w:left w:val="none" w:sz="0" w:space="0" w:color="auto"/>
        <w:bottom w:val="none" w:sz="0" w:space="0" w:color="auto"/>
        <w:right w:val="none" w:sz="0" w:space="0" w:color="auto"/>
      </w:divBdr>
    </w:div>
    <w:div w:id="1446534035">
      <w:bodyDiv w:val="1"/>
      <w:marLeft w:val="0"/>
      <w:marRight w:val="0"/>
      <w:marTop w:val="0"/>
      <w:marBottom w:val="0"/>
      <w:divBdr>
        <w:top w:val="none" w:sz="0" w:space="0" w:color="auto"/>
        <w:left w:val="none" w:sz="0" w:space="0" w:color="auto"/>
        <w:bottom w:val="none" w:sz="0" w:space="0" w:color="auto"/>
        <w:right w:val="none" w:sz="0" w:space="0" w:color="auto"/>
      </w:divBdr>
    </w:div>
    <w:div w:id="1621567867">
      <w:bodyDiv w:val="1"/>
      <w:marLeft w:val="0"/>
      <w:marRight w:val="0"/>
      <w:marTop w:val="0"/>
      <w:marBottom w:val="0"/>
      <w:divBdr>
        <w:top w:val="none" w:sz="0" w:space="0" w:color="auto"/>
        <w:left w:val="none" w:sz="0" w:space="0" w:color="auto"/>
        <w:bottom w:val="none" w:sz="0" w:space="0" w:color="auto"/>
        <w:right w:val="none" w:sz="0" w:space="0" w:color="auto"/>
      </w:divBdr>
    </w:div>
    <w:div w:id="1754470409">
      <w:bodyDiv w:val="1"/>
      <w:marLeft w:val="0"/>
      <w:marRight w:val="0"/>
      <w:marTop w:val="0"/>
      <w:marBottom w:val="0"/>
      <w:divBdr>
        <w:top w:val="none" w:sz="0" w:space="0" w:color="auto"/>
        <w:left w:val="none" w:sz="0" w:space="0" w:color="auto"/>
        <w:bottom w:val="none" w:sz="0" w:space="0" w:color="auto"/>
        <w:right w:val="none" w:sz="0" w:space="0" w:color="auto"/>
      </w:divBdr>
    </w:div>
    <w:div w:id="1875002560">
      <w:bodyDiv w:val="1"/>
      <w:marLeft w:val="0"/>
      <w:marRight w:val="0"/>
      <w:marTop w:val="0"/>
      <w:marBottom w:val="0"/>
      <w:divBdr>
        <w:top w:val="none" w:sz="0" w:space="0" w:color="auto"/>
        <w:left w:val="none" w:sz="0" w:space="0" w:color="auto"/>
        <w:bottom w:val="none" w:sz="0" w:space="0" w:color="auto"/>
        <w:right w:val="none" w:sz="0" w:space="0" w:color="auto"/>
      </w:divBdr>
      <w:divsChild>
        <w:div w:id="1728066079">
          <w:marLeft w:val="0"/>
          <w:marRight w:val="0"/>
          <w:marTop w:val="0"/>
          <w:marBottom w:val="0"/>
          <w:divBdr>
            <w:top w:val="none" w:sz="0" w:space="0" w:color="auto"/>
            <w:left w:val="none" w:sz="0" w:space="0" w:color="auto"/>
            <w:bottom w:val="none" w:sz="0" w:space="0" w:color="auto"/>
            <w:right w:val="none" w:sz="0" w:space="0" w:color="auto"/>
          </w:divBdr>
          <w:divsChild>
            <w:div w:id="1158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01606">
      <w:bodyDiv w:val="1"/>
      <w:marLeft w:val="0"/>
      <w:marRight w:val="0"/>
      <w:marTop w:val="0"/>
      <w:marBottom w:val="0"/>
      <w:divBdr>
        <w:top w:val="none" w:sz="0" w:space="0" w:color="auto"/>
        <w:left w:val="none" w:sz="0" w:space="0" w:color="auto"/>
        <w:bottom w:val="none" w:sz="0" w:space="0" w:color="auto"/>
        <w:right w:val="none" w:sz="0" w:space="0" w:color="auto"/>
      </w:divBdr>
    </w:div>
    <w:div w:id="2109082548">
      <w:bodyDiv w:val="1"/>
      <w:marLeft w:val="0"/>
      <w:marRight w:val="0"/>
      <w:marTop w:val="0"/>
      <w:marBottom w:val="0"/>
      <w:divBdr>
        <w:top w:val="none" w:sz="0" w:space="0" w:color="auto"/>
        <w:left w:val="none" w:sz="0" w:space="0" w:color="auto"/>
        <w:bottom w:val="none" w:sz="0" w:space="0" w:color="auto"/>
        <w:right w:val="none" w:sz="0" w:space="0" w:color="auto"/>
      </w:divBdr>
    </w:div>
    <w:div w:id="2130127574">
      <w:bodyDiv w:val="1"/>
      <w:marLeft w:val="0"/>
      <w:marRight w:val="0"/>
      <w:marTop w:val="0"/>
      <w:marBottom w:val="0"/>
      <w:divBdr>
        <w:top w:val="none" w:sz="0" w:space="0" w:color="auto"/>
        <w:left w:val="none" w:sz="0" w:space="0" w:color="auto"/>
        <w:bottom w:val="none" w:sz="0" w:space="0" w:color="auto"/>
        <w:right w:val="none" w:sz="0" w:space="0" w:color="auto"/>
      </w:divBdr>
      <w:divsChild>
        <w:div w:id="1136410382">
          <w:marLeft w:val="0"/>
          <w:marRight w:val="0"/>
          <w:marTop w:val="0"/>
          <w:marBottom w:val="0"/>
          <w:divBdr>
            <w:top w:val="none" w:sz="0" w:space="0" w:color="auto"/>
            <w:left w:val="none" w:sz="0" w:space="0" w:color="auto"/>
            <w:bottom w:val="none" w:sz="0" w:space="0" w:color="auto"/>
            <w:right w:val="none" w:sz="0" w:space="0" w:color="auto"/>
          </w:divBdr>
          <w:divsChild>
            <w:div w:id="254873189">
              <w:marLeft w:val="0"/>
              <w:marRight w:val="0"/>
              <w:marTop w:val="0"/>
              <w:marBottom w:val="0"/>
              <w:divBdr>
                <w:top w:val="none" w:sz="0" w:space="0" w:color="auto"/>
                <w:left w:val="none" w:sz="0" w:space="0" w:color="auto"/>
                <w:bottom w:val="none" w:sz="0" w:space="0" w:color="auto"/>
                <w:right w:val="none" w:sz="0" w:space="0" w:color="auto"/>
              </w:divBdr>
            </w:div>
          </w:divsChild>
        </w:div>
        <w:div w:id="369496546">
          <w:marLeft w:val="0"/>
          <w:marRight w:val="0"/>
          <w:marTop w:val="0"/>
          <w:marBottom w:val="0"/>
          <w:divBdr>
            <w:top w:val="none" w:sz="0" w:space="0" w:color="auto"/>
            <w:left w:val="none" w:sz="0" w:space="0" w:color="auto"/>
            <w:bottom w:val="none" w:sz="0" w:space="0" w:color="auto"/>
            <w:right w:val="none" w:sz="0" w:space="0" w:color="auto"/>
          </w:divBdr>
          <w:divsChild>
            <w:div w:id="401172518">
              <w:marLeft w:val="0"/>
              <w:marRight w:val="0"/>
              <w:marTop w:val="0"/>
              <w:marBottom w:val="0"/>
              <w:divBdr>
                <w:top w:val="none" w:sz="0" w:space="0" w:color="auto"/>
                <w:left w:val="none" w:sz="0" w:space="0" w:color="auto"/>
                <w:bottom w:val="none" w:sz="0" w:space="0" w:color="auto"/>
                <w:right w:val="none" w:sz="0" w:space="0" w:color="auto"/>
              </w:divBdr>
            </w:div>
          </w:divsChild>
        </w:div>
        <w:div w:id="1158227516">
          <w:marLeft w:val="0"/>
          <w:marRight w:val="0"/>
          <w:marTop w:val="0"/>
          <w:marBottom w:val="0"/>
          <w:divBdr>
            <w:top w:val="none" w:sz="0" w:space="0" w:color="auto"/>
            <w:left w:val="none" w:sz="0" w:space="0" w:color="auto"/>
            <w:bottom w:val="none" w:sz="0" w:space="0" w:color="auto"/>
            <w:right w:val="none" w:sz="0" w:space="0" w:color="auto"/>
          </w:divBdr>
          <w:divsChild>
            <w:div w:id="608587960">
              <w:marLeft w:val="0"/>
              <w:marRight w:val="0"/>
              <w:marTop w:val="0"/>
              <w:marBottom w:val="0"/>
              <w:divBdr>
                <w:top w:val="none" w:sz="0" w:space="0" w:color="auto"/>
                <w:left w:val="none" w:sz="0" w:space="0" w:color="auto"/>
                <w:bottom w:val="none" w:sz="0" w:space="0" w:color="auto"/>
                <w:right w:val="none" w:sz="0" w:space="0" w:color="auto"/>
              </w:divBdr>
            </w:div>
          </w:divsChild>
        </w:div>
        <w:div w:id="776602459">
          <w:marLeft w:val="0"/>
          <w:marRight w:val="0"/>
          <w:marTop w:val="0"/>
          <w:marBottom w:val="0"/>
          <w:divBdr>
            <w:top w:val="none" w:sz="0" w:space="0" w:color="auto"/>
            <w:left w:val="none" w:sz="0" w:space="0" w:color="auto"/>
            <w:bottom w:val="none" w:sz="0" w:space="0" w:color="auto"/>
            <w:right w:val="none" w:sz="0" w:space="0" w:color="auto"/>
          </w:divBdr>
          <w:divsChild>
            <w:div w:id="1572692800">
              <w:marLeft w:val="0"/>
              <w:marRight w:val="0"/>
              <w:marTop w:val="0"/>
              <w:marBottom w:val="0"/>
              <w:divBdr>
                <w:top w:val="none" w:sz="0" w:space="0" w:color="auto"/>
                <w:left w:val="none" w:sz="0" w:space="0" w:color="auto"/>
                <w:bottom w:val="none" w:sz="0" w:space="0" w:color="auto"/>
                <w:right w:val="none" w:sz="0" w:space="0" w:color="auto"/>
              </w:divBdr>
            </w:div>
          </w:divsChild>
        </w:div>
        <w:div w:id="545796113">
          <w:marLeft w:val="0"/>
          <w:marRight w:val="0"/>
          <w:marTop w:val="0"/>
          <w:marBottom w:val="0"/>
          <w:divBdr>
            <w:top w:val="none" w:sz="0" w:space="0" w:color="auto"/>
            <w:left w:val="none" w:sz="0" w:space="0" w:color="auto"/>
            <w:bottom w:val="none" w:sz="0" w:space="0" w:color="auto"/>
            <w:right w:val="none" w:sz="0" w:space="0" w:color="auto"/>
          </w:divBdr>
          <w:divsChild>
            <w:div w:id="1127429508">
              <w:marLeft w:val="0"/>
              <w:marRight w:val="0"/>
              <w:marTop w:val="0"/>
              <w:marBottom w:val="0"/>
              <w:divBdr>
                <w:top w:val="none" w:sz="0" w:space="0" w:color="auto"/>
                <w:left w:val="none" w:sz="0" w:space="0" w:color="auto"/>
                <w:bottom w:val="none" w:sz="0" w:space="0" w:color="auto"/>
                <w:right w:val="none" w:sz="0" w:space="0" w:color="auto"/>
              </w:divBdr>
            </w:div>
          </w:divsChild>
        </w:div>
        <w:div w:id="371268668">
          <w:marLeft w:val="0"/>
          <w:marRight w:val="0"/>
          <w:marTop w:val="0"/>
          <w:marBottom w:val="0"/>
          <w:divBdr>
            <w:top w:val="none" w:sz="0" w:space="0" w:color="auto"/>
            <w:left w:val="none" w:sz="0" w:space="0" w:color="auto"/>
            <w:bottom w:val="none" w:sz="0" w:space="0" w:color="auto"/>
            <w:right w:val="none" w:sz="0" w:space="0" w:color="auto"/>
          </w:divBdr>
          <w:divsChild>
            <w:div w:id="319160918">
              <w:marLeft w:val="0"/>
              <w:marRight w:val="0"/>
              <w:marTop w:val="0"/>
              <w:marBottom w:val="0"/>
              <w:divBdr>
                <w:top w:val="none" w:sz="0" w:space="0" w:color="auto"/>
                <w:left w:val="none" w:sz="0" w:space="0" w:color="auto"/>
                <w:bottom w:val="none" w:sz="0" w:space="0" w:color="auto"/>
                <w:right w:val="none" w:sz="0" w:space="0" w:color="auto"/>
              </w:divBdr>
            </w:div>
          </w:divsChild>
        </w:div>
        <w:div w:id="929311310">
          <w:marLeft w:val="0"/>
          <w:marRight w:val="0"/>
          <w:marTop w:val="0"/>
          <w:marBottom w:val="0"/>
          <w:divBdr>
            <w:top w:val="none" w:sz="0" w:space="0" w:color="auto"/>
            <w:left w:val="none" w:sz="0" w:space="0" w:color="auto"/>
            <w:bottom w:val="none" w:sz="0" w:space="0" w:color="auto"/>
            <w:right w:val="none" w:sz="0" w:space="0" w:color="auto"/>
          </w:divBdr>
          <w:divsChild>
            <w:div w:id="926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2</TotalTime>
  <Pages>1</Pages>
  <Words>19067</Words>
  <Characters>108684</Characters>
  <Application>Microsoft Office Word</Application>
  <DocSecurity>0</DocSecurity>
  <Lines>905</Lines>
  <Paragraphs>254</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127497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Cementna industrija Srbije</cp:lastModifiedBy>
  <cp:revision>4</cp:revision>
  <dcterms:created xsi:type="dcterms:W3CDTF">2024-01-11T12:43:00Z</dcterms:created>
  <dcterms:modified xsi:type="dcterms:W3CDTF">2024-03-26T11:59:00Z</dcterms:modified>
</cp:coreProperties>
</file>