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200EB4" w:rsidRPr="00200EB4" w:rsidTr="00200EB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00EB4" w:rsidRPr="00200EB4" w:rsidRDefault="00200EB4" w:rsidP="00200EB4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kern w:val="0"/>
                <w:sz w:val="36"/>
                <w:szCs w:val="36"/>
                <w:lang w:eastAsia="sr-Latn-RS"/>
                <w14:ligatures w14:val="none"/>
              </w:rPr>
            </w:pPr>
            <w:r w:rsidRPr="00200EB4">
              <w:rPr>
                <w:rFonts w:ascii="Arial" w:eastAsia="Times New Roman" w:hAnsi="Arial" w:cs="Arial"/>
                <w:b/>
                <w:bCs/>
                <w:color w:val="FFE8BF"/>
                <w:kern w:val="0"/>
                <w:sz w:val="36"/>
                <w:szCs w:val="36"/>
                <w:lang w:eastAsia="sr-Latn-RS"/>
                <w14:ligatures w14:val="none"/>
              </w:rPr>
              <w:t>PRAVILNIK</w:t>
            </w:r>
          </w:p>
          <w:p w:rsidR="00200EB4" w:rsidRPr="00200EB4" w:rsidRDefault="00200EB4" w:rsidP="00200EB4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</w:pPr>
            <w:r w:rsidRPr="00200EB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O ROKOVIMA, OBIMU I NAČINU SPROVOĐENJA ENERGETSKOG PREGLEDA U SISTEMU ENERGETSKOG MENADŽMENTA, KAO I SADRŽAJU I NAČINU DOSTAVLJANJA IZVODA IZ IZVEŠTAJA O SPROVEDENOM ENERGETSKOM PREGLEDU</w:t>
            </w:r>
          </w:p>
          <w:p w:rsidR="00200EB4" w:rsidRPr="00200EB4" w:rsidRDefault="00200EB4" w:rsidP="00200EB4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6"/>
                <w:szCs w:val="26"/>
                <w:lang w:eastAsia="sr-Latn-RS"/>
                <w14:ligatures w14:val="none"/>
              </w:rPr>
            </w:pPr>
            <w:r w:rsidRPr="00200EB4"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6"/>
                <w:szCs w:val="26"/>
                <w:lang w:eastAsia="sr-Latn-RS"/>
                <w14:ligatures w14:val="none"/>
              </w:rPr>
              <w:t>("Sl. glasnik RS", br. 51/2022)</w:t>
            </w:r>
          </w:p>
        </w:tc>
      </w:tr>
    </w:tbl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0" w:name="str_1"/>
      <w:bookmarkEnd w:id="0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Predmet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" w:name="clan_1"/>
      <w:bookmarkEnd w:id="1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Ovim pravilnikom propisuju se rokovi u kojima obveznici sistema energetskog menadžmenta (u daljem tekstu: obveznici sistema) sprovode energetski pregled, obim i način sprovođenja energetskog pregleda za oblast industrijske energetike, za oblast energetike zgrada i za oblast energetike javnog sektora i sadržaj i način dostavljanja izvoda iz izveštaja o sprovedenom energetskom pregledu.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Odredbe ovog pravilnika primenjuju se na energetski pregled u sistemu energetskog menadžmenta i na energetski pregled koji sprovode velika pravna lica u skladu sa zakonom kojim se uređuju energetska efikasnost i racionalna upotreba energije.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str_2"/>
      <w:bookmarkEnd w:id="2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Značenje izraza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2"/>
      <w:bookmarkEnd w:id="3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Izrazi upotrebljeni u ovom pravilniku imaju sledeće značenje: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</w:t>
      </w:r>
      <w:r w:rsidRPr="00200EB4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lokaciju</w:t>
      </w: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čine svi objekti za obavljanje delatnosti privrednog društva i javnog preduzeća, koji čine jednu ili više tehničko-tehnoloških celina u okviru jedne organizaciono-poslovne celine na određenoj prostornoj celini (adresa, katastarska parcela ili više katastarskih parcela) i čija ukupna potrošnja prelazi granične vrednosti propisane potrošnje energije;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</w:t>
      </w:r>
      <w:r w:rsidRPr="00200EB4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naručilac energetskog pregleda</w:t>
      </w: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 obveznik sistema ili veliko pravno lice koje naručuje sprovođenje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</w:t>
      </w:r>
      <w:r w:rsidRPr="00200EB4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tekuće održavanje</w:t>
      </w: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 izvođenje radova koji se preduzimaju radi sprečavanja oštećenja koja nastaju upotrebom objekta ili radi otklanjanja tih oštećenja, a sastoje se od pregleda, popravki i preduzimanja preventivnih i zaštitnih mera odnosno svih radova kojima se obezbeđuje održavanje objekata na zadovoljavajućem nivou upotrebljivosti, kao što su krečenje, farbanje, zamena obloga, zamena </w:t>
      </w:r>
      <w:proofErr w:type="spellStart"/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>sanitarija</w:t>
      </w:r>
      <w:proofErr w:type="spellEnd"/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radijatora, zamena unutrašnje i spoljašnje stolarije i bravarije, zamena unutrašnjih instalacija i opreme bez povećanja kapaciteta i drugi slični radovi, ako se njima ne menja spoljni izgled zgrade i ako nemaju uticaj na zajedničke delove zgrade i njihovo korišćenje;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4) </w:t>
      </w:r>
      <w:r w:rsidRPr="00200EB4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investiciono održavanje</w:t>
      </w: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 izvođenje građevinsko-zanatskih, odnosno drugih radova zavisno od vrste objekta u cilju poboljšanja uslova korišćenja objekta u toku eksploatacije.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4" w:name="str_3"/>
      <w:bookmarkEnd w:id="4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Rokovi u kojima obveznici sistema sprovode energetski pregled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5" w:name="clan_3"/>
      <w:bookmarkEnd w:id="5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Obveznici sistema sprovode energetski pregled periodično, najmanje jednom u šest godina.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Velika pravna lica koja nisu obveznici sistema sprovode energetski pregled najmanje jednom u četiri godine, u skladu sa zakonom.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Obveznici sistema će prvi energetski pregled sprovesti do 31. decembra 2025. godine.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" w:name="str_4"/>
      <w:bookmarkEnd w:id="6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Obim energetskog pregleda za oblast industrijske energetike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" w:name="clan_4"/>
      <w:bookmarkEnd w:id="7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4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Energetski pregled za oblast industrijske energetike obuhvata: energetske, industrijske, proizvodne procese, odnosno tehničke sisteme i objekte, kao i sredstva za transport robe i sirovina u okviru lokacije.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Energetski pregled za oblast industrijske energetike obuhvata pregled lokacija obveznika sistema sa pretežnom delatnošću u proizvodnom sektoru.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Energetski pregled za oblast industrijske energetike sprovodi se kod velikog pravnog lica koje nije obveznik sistema i čija je pretežna delatnost u proizvodnom sektoru, u skladu sa propisom kojim se uređuju minimalni kriterijumi sprovođenja energetskih pregleda, na način uređen ovim pravilnikom i propisom kojim se uređuje sadržaj izveštaja o sprovedenom energetskom pregledu.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Energetski pregled iz stava 3. ovog člana sprovodi se na objektima koji troše najmanje 80% ukupne godišnje potrošnje tog velikog pravnog lica.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8" w:name="str_5"/>
      <w:bookmarkEnd w:id="8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Obim energetskog pregleda za oblast energetike zgrada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9" w:name="clan_5"/>
      <w:bookmarkEnd w:id="9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5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Energetski pregled za oblast energetike zgrada obuhvata: energetska svojstva zgrade ili zgrada i svih tehničkih sistema koji koriste energiju za grejanje, hlađenje, ventilaciju i osvetljenje zarade, a koji čine energetske ili troškovne celine u okviru lokacije.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Energetski pregled za oblast energetike zgrada obuhvata pregled lokacija obveznika sistema sa pretežnom delatnošću u sektoru trgovine i usluga.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Energetski pregled za oblast energetike zgrada sprovodi se kod velikog pravnog lica koji nije obveznik sistema i čija je pretežna delatnost u sektoru trgovine i usluga, u skladu sa propisom kojim se uređuju minimalni kriterijumi sprovođenja energetskih pregleda, na način uređen ovim pravilnikom i propisom kojim se uređuje sadržaj izveštaja o sprovedenom energetskom pregledu.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Energetski pregled iz stava 3. ovog člana sprovodi se na objektima koji troše najmanje 80% ukupne godišnje potrošnje tog velikog pravnog lica.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0" w:name="str_6"/>
      <w:bookmarkEnd w:id="10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lastRenderedPageBreak/>
        <w:t xml:space="preserve">Obim energetskog pregleda za jedinice lokalne samouprave/gradske opštine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1" w:name="clan_6"/>
      <w:bookmarkEnd w:id="11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6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Energetski pregled za oblast energetike javnog sektora kada su obveznici sistema jedinice lokalne samouprave i gradske opštine obuhvata: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zgrade, javno osvetljenje i sve tehničke sisteme i energetske procese koje koristi jedinica lokalne samouprave/gradska opština i za koje snosi troškove potrošnje energije, odnosno energenata i tekućeg i/ili investicionog održavanja u funkciji poboljšanja energetske efikasnosti;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zgrade, javno osvetljenje i sve tehničke sisteme i energetske procese koje jedinica lokalne samouprave/gradska opština direktno ne koristi, a za koje snosi troškove potrošnje energije, odnosno energenata i tekućeg i/ili investicionog održavanja u funkciji poboljšanja energetske efikasnosti;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objekte, energetske procese i sve tehničke sisteme u javnim preduzećima čiji je osnivač jedinica lokalne samouprave/gradska opštine koje nisu posebni obveznici sistema.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2" w:name="str_7"/>
      <w:bookmarkEnd w:id="12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Obim energetskog pregleda za organe i organizacije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3" w:name="clan_7"/>
      <w:bookmarkEnd w:id="13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7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Energetski pregled za oblast energetike javnog sektora kada su obveznici sistema organi državne uprave, drugi organi i organizacije Republike Srbije, organi i organizacije autonomne pokrajine, ili organizacije za obavezno socijalno osiguranje obuhvata: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zgrade i sve tehničke sisteme i energetske procese koje koristi obveznik sistema i za koje snosi troškove potrošnje energije, odnosno energenata i tekućeg i/ili investicionog održavanja u funkciji poboljšanja energetske efikasnosti;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zgrade i sve tehničke sisteme i energetske procese koje obveznik sistema direktno ne koristi, a za koje snosi troškove potrošnje energije, odnosno energenata i tekućeg i/ili investicionog održavanja u funkciji poboljšanja energetske efikasnosti.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4" w:name="str_8"/>
      <w:bookmarkEnd w:id="14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Obim energetskog pregleda za ustanove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5" w:name="clan_8"/>
      <w:bookmarkEnd w:id="15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8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Energetski pregled za oblast energetike javnog sektora kada su obveznici sistema ustanove osnovane od strane Republike Srbije ili autonomne pokrajine u oblasti obrazovanja, nauke, kulture, fizičke kulture, zdravstvene zaštite, socijalne zaštite, društvene brige o deci i u drugim oblastima, ili drugi korisnici javnih sredstava koji nisu navedeni u čl. 6. i 7. ovog pravilnika, obuhvata: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zgrade i sve tehničke sisteme i energetske procese, koje koristi obveznik sistema i za koje snosi troškove potrošnje energije, odnosno energenata, tekućeg i/ili investicionog održavanja u funkciji poboljšanja energetske efikasnosti;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zgrade i sve tehničke sisteme i energetske procese koje obveznik sistema direktno ne koristi, a za koje snosi troškove potrošnje energije, odnosno energenata, tekućeg i/ili investicionog održavanja u funkciji poboljšanja energetske efikasnosti.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6" w:name="str_9"/>
      <w:bookmarkEnd w:id="16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lastRenderedPageBreak/>
        <w:t xml:space="preserve">Način sprovođenja energetskog pregleda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7" w:name="clan_9"/>
      <w:bookmarkEnd w:id="17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9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Energetski pregled sprovodi se vršenjem sledećih aktivnosti: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pripremnih aktivnosti;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neposrednog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izrade predloga izveštaja o sprovedenom energetskom pregledu i usaglašavanja predloga izveštaja sa naručiocem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izrade i dostavljanja izveštaja o sprovedenom energetskom pregledu;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završnog sastanaka izvršioca i naručioca energetskog pregleda.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8" w:name="str_10"/>
      <w:bookmarkEnd w:id="18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Pripremne aktivnosti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9" w:name="clan_10"/>
      <w:bookmarkEnd w:id="19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10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Pripremne aktivnosti obuhvataju: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uvodni sastanak na kome: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izvršilac energetskog pregleda predstavlja u opštim crtama cilj energetskog pregleda i upoznaje naručioca energetskog pregleda sa njegovim obavezama i načelno, o podacima i dokumentima koje je za potrebe energetskog pregleda potrebno da pripremi;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naručilac energetskog pregleda obaveštava izvršioca energetskog pregleda o licu ili licima koja su u njegovo ime zadužena za komunikaciju sa vodećim energetskim savetnikom tokom sprovođenja energetskog pregleda, kao i o imenu energetskog menadžera zaduženog za predmet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izvršilac energetskog pregleda obaveštava naručioca energetskog pregleda o energetskom savetniku koji će u toku vršenja energetskog pregleda biti vodeći energetski savetnik, zadužen za komunikaciju sa naručiocem energetskog pregleda i organizovanje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(4) naručilac energetskog pregleda upoznaje izvršioca energetskog pregleda sa predmetom energetskog pregleda i dostupnim informacijama i podacima o tehnološkim procesima, tehničkim sistemima, postrojenjima, uređajima i postojećoj opremi, odnosno nameni pojedinih objekta i zgrada, kao i vrstama energenata koje koriste, upotrebi vode i drugih sirovina, načinu upravljanja energijom, do sada sprovedenim energetskim pregledima, važećim sertifikatom o energetskim svojstvima zgrada, ako je taj sertifikat urađen i izdat kroz Centralni registar energetskih pasoša, preduzetim merama energetske efikasnosti, kao i specifičnim zahtevima koje ima u vezi sa energetskim pregledom;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(5) naručilac energetskog pregleda zajedno sa izvršiocem energetskog pregleda obilazi tehničke sisteme, postrojenja, uređaje, opremu, odnosno objekte i zgrade u </w:t>
      </w: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svrhu upoznavanja izvršioca energetskog pregleda sa predmetom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(6) izvršilac i naručilac energetskog pregleda se dogovaraju o načinu komunikacije tokom sprovođenja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nakon održanog uvodnog sastanaka, izvršilac energetskog pregleda dostavlja naručiocu energetskog pregleda upitnik i zahtev da dostavi odgovarajuću tehničku dokumentaciju u vezi sa predstojećim neposrednim energetskim pregledom, uključujući ali ne ograničavajući se na podatke o energetskim svojstvima postrojenja, uređaja, opreme, odnosno objekata i zgrada, podatke o potrošnji energije, vode i sirovina, kao i dokumentaciju o prethodno sprovedenim energetskim pregledima;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naručilac energetskog pregleda dostavlja izvršiocu energetskog pregleda odgovore na pitanja iz upitnika i svu zatraženu a raspoloživu dokumentaciju i podatke;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na osnovu analize odgovora na upitnik i dostavljenih podataka i dokumentacije, izvršilac energetskog pregleda po potrebi dostavlja naručiocu energetskog pregleda zahtev da odgovori na dodatna pitanja i dogovara se o vremenu, predmetu i planu neposrednog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naručilac energetskog pregleda dostavlja izvršiocu energetskog pregleda odgovore na dodatna pitanja;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izvršilac energetskog pregleda dostavlja naručiocu energetskog pregleda termin plan neposrednog energetskog pregleda.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0" w:name="str_11"/>
      <w:bookmarkEnd w:id="20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Neposredan energetski pregled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1" w:name="clan_11"/>
      <w:bookmarkEnd w:id="21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11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Neposredan energetski pregled, u skladu sa dogovorenim planom sprovođenja, organizuje naručilac energetskog pregleda, uvodeći izvršioca energetskog pregleda u posao i pokazujući mu predmet energetskog pregleda.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neposrednom energetskom pregledu, pored energetskih savetnika, mogu da učestvuju i druga lica koja odredi naručilac energetskog pregleda.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Izvršilac energetskog pregleda neposrednim uvidom ustanovljava i proverava tačnost i kvalitet podataka i informacija o potrošnji energije, vode i sirovina, energetskoj efikasnosti, stanju i načinu održavanja opreme i uređaja, koje je dobio od naručioca energetskog pregleda.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Provera ili utvrđivanje podataka iz stava 3. ovog člana, vrši se preuzimanjem podataka sa postojećih mernih instrumenta, a može se vršiti i direktnim merenjima pomoću drugih </w:t>
      </w:r>
      <w:proofErr w:type="spellStart"/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>neinvazivnih</w:t>
      </w:r>
      <w:proofErr w:type="spellEnd"/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mernih instrumenta.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Izvršilac energetskog pregleda dolazi do potrebnih informacija i podataka i kroz odgovore kompetentnih lica koja odredi naručilac energetskog pregleda.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 zahtev izvršioca energetskog pregleda, pojedini segmenti neposrednog energetskog pregleda mogu se ponoviti.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2" w:name="str_12"/>
      <w:bookmarkEnd w:id="22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lastRenderedPageBreak/>
        <w:t xml:space="preserve">Predlog izveštaja o sprovedenom energetskom pregledu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3" w:name="clan_12"/>
      <w:bookmarkEnd w:id="23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12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Izvršilac energetskog pregleda na osnovu analize dobijenih odgovora na upitnik, dostavljene dokumentacije i podataka, kao i podataka dobijenih u neposrednom energetskom pregledu, priprema predlog izveštaja o sprovedenom energetskom pregledu propisane sadržine i dostavlja ga naručiocu energetskog pregleda.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4" w:name="str_13"/>
      <w:bookmarkEnd w:id="24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Usaglašavanje predloga izveštaja o sprovedenom energetskom pregledu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5" w:name="clan_13"/>
      <w:bookmarkEnd w:id="25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13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Ukoliko ima primedbi na predlog izveštaja o sprovedenom energetskom pregledu, naručilac energetskog pregleda dostavlja izvršiocu energetskog pregleda primedbe koje se pre svega odnose na tačnost podataka navedenih u izveštaju.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Ako je potrebno, naručilac i izvršilac energetskog pregleda mogu održati jedan ili više sastanaka radi usaglašavanja stavova u vezi sa predlogom izveštaja o sprovedenom energetskom pregledu.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 sastancima iz stava 2. ovog člana vodi se zapisnik koji potpisuju obe strane.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6" w:name="str_14"/>
      <w:bookmarkEnd w:id="26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Izveštaj o sprovedenom energetskom pregledu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7" w:name="clan_14"/>
      <w:bookmarkEnd w:id="27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14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Nakon usaglašavanja teksta predloga izveštaja o sprovedenom energetskom pregledu, ili u slučaju ako naručilac energetskog pregleda nije imao primedbi na predlog izveštaja, izvršilac energetskog pregleda dostavlja naručiocu energetskog pregleda izveštaj o sprovedenom energetskom pregledu propisane sadržine.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 iz stava 1. ovog člana dostavlja se u elektronskoj formi i u dva odštampana primerka, potpisan od strane energetskih savetnika koji su učestvovali u sprovođenju energetskog pregleda.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8" w:name="str_15"/>
      <w:bookmarkEnd w:id="28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Završni sastanak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9" w:name="clan_15"/>
      <w:bookmarkEnd w:id="29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15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Izvršilac energetskog pregleda sa naručiocem energetskog pregleda zakazuje održavanje završnog sastanka u roku ne dužem od sedam dana od dana dostavljanja izveštaja o sprovedenom energetskom pregledu.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 završnom sastanku izvršilac energetskog pregleda predstavlja rezultate sprovedenog energetskog pregleda.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Uz izveštaj o sprovedenom energetskom pregledu energetski savetnici koji su učestvovali u izradi tog izveštaja prilažu potpisanu izjavu o nepostojanju sukoba interesa u skladu sa zakonom kojim se uređuju energetska efikasnost i racionalna upotreba energije i fotokopiju svojih licenci energetskog savetnika.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0" w:name="str_16"/>
      <w:bookmarkEnd w:id="30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Sadržaj izvoda iz izveštaja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1" w:name="clan_16"/>
      <w:bookmarkEnd w:id="31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lastRenderedPageBreak/>
        <w:t xml:space="preserve">Član 16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Izvod iz izveštaja sadrži: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naslovnu stranu;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rezime rezultata energetskog pregleda.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2" w:name="str_17"/>
      <w:bookmarkEnd w:id="32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Naslovna strana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3" w:name="clan_17"/>
      <w:bookmarkEnd w:id="33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17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Naslovna strana izvoda iz izveštaja sadrži: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poslovno ime/naziv naručioca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PIB i matični broj naručioca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naziv lokacije ili drugi naziv predmeta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poslovno ime izvršioca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vrstu izveštaja o sprovedenom energetskom pregledu u skladu sa propisom kojim se bliže propisuje sadržina izveštaja o sprovedenom energetskom pregledu;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ime i prezime i broj licence energetskih savetnika koji su učestvovali u sprovođenju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7) period sprovođenja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8) rezime rezultata sprovedenog energetskog pregleda;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9) datum izveštaja.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4" w:name="str_18"/>
      <w:bookmarkEnd w:id="34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Rezime rezultata energetskog pregleda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5" w:name="clan_18"/>
      <w:bookmarkEnd w:id="35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18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Rezime rezultata sprovedenog energetskog pregleda sadrži: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podatke koji se odnose na potrošnju energenata, energije i vode predmeta energetskog pregleda u periodu od sprovođenja prethodnog energetskog pregleda, ili, u slučaju prvog energetskog pregleda, od dana stupanja na snagu ovog pravilnika, i to: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>(1) pregled godišnje potrošnje energenata u fizičkim jedinicama (npr.: t, Nm</w:t>
      </w:r>
      <w:r w:rsidRPr="00200EB4">
        <w:rPr>
          <w:rFonts w:ascii="Arial" w:eastAsia="Times New Roman" w:hAnsi="Arial" w:cs="Arial"/>
          <w:kern w:val="0"/>
          <w:sz w:val="15"/>
          <w:szCs w:val="15"/>
          <w:vertAlign w:val="superscript"/>
          <w:lang w:eastAsia="sr-Latn-RS"/>
          <w14:ligatures w14:val="none"/>
        </w:rPr>
        <w:t>3</w:t>
      </w: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>, Sm</w:t>
      </w:r>
      <w:r w:rsidRPr="00200EB4">
        <w:rPr>
          <w:rFonts w:ascii="Arial" w:eastAsia="Times New Roman" w:hAnsi="Arial" w:cs="Arial"/>
          <w:kern w:val="0"/>
          <w:sz w:val="15"/>
          <w:szCs w:val="15"/>
          <w:vertAlign w:val="superscript"/>
          <w:lang w:eastAsia="sr-Latn-RS"/>
          <w14:ligatures w14:val="none"/>
        </w:rPr>
        <w:t>3</w:t>
      </w: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>, m</w:t>
      </w:r>
      <w:r w:rsidRPr="00200EB4">
        <w:rPr>
          <w:rFonts w:ascii="Arial" w:eastAsia="Times New Roman" w:hAnsi="Arial" w:cs="Arial"/>
          <w:kern w:val="0"/>
          <w:sz w:val="15"/>
          <w:szCs w:val="15"/>
          <w:vertAlign w:val="superscript"/>
          <w:lang w:eastAsia="sr-Latn-RS"/>
          <w14:ligatures w14:val="none"/>
        </w:rPr>
        <w:t>3</w:t>
      </w: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pregled godišnje potrošnje energije (MJ/god. ili </w:t>
      </w:r>
      <w:proofErr w:type="spellStart"/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>kWh</w:t>
      </w:r>
      <w:proofErr w:type="spellEnd"/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/god.);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>(3) pregled godišnje emisije ugljen-dioksida (t CO</w:t>
      </w:r>
      <w:r w:rsidRPr="00200EB4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/god.);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>(4) pregled godišnje potrošnje vode (m</w:t>
      </w:r>
      <w:r w:rsidRPr="00200EB4">
        <w:rPr>
          <w:rFonts w:ascii="Arial" w:eastAsia="Times New Roman" w:hAnsi="Arial" w:cs="Arial"/>
          <w:kern w:val="0"/>
          <w:sz w:val="15"/>
          <w:szCs w:val="15"/>
          <w:vertAlign w:val="superscript"/>
          <w:lang w:eastAsia="sr-Latn-RS"/>
          <w14:ligatures w14:val="none"/>
        </w:rPr>
        <w:t>3</w:t>
      </w: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/god.);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(5) pregled godišnjih troškova za energiju (RSD/god.) za korisnike javnih sredstava;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(6) pregled godišnjih troškova za utrošenu vodu (RSD/god.);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(7) pregled specifične potrošnje i specifičnih troškova za energiju (potrošnja energije, odnosno troškovi svedeni na jedinični proizvod);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(8) strukturu potrošnje energije koja prikazuje sve vrste energije koje koristi naručilac energetskog pregleda, izražene u procentima;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ocenu stanja menadžmenta energijom koja uzima u obzir najveće uočene nedostatke, kao i predloge za unapređenje menadžmenta energijom;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sažet predlog mera energetske efikasnosti, visinu investicije potrebne za sprovođenje tih mera i procenu uštede energije i smanjenja troškova ako bi naručilac energetskog pregleda sproveo predložene mere energetske efikasnosti, i to: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procenu uštede pojedinih vrsta energije koje koristi naručilac energetskog pregleda (MJ/god i </w:t>
      </w:r>
      <w:proofErr w:type="spellStart"/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>kWh</w:t>
      </w:r>
      <w:proofErr w:type="spellEnd"/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/god.);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procenu ukupne godišnje uštede energije, izraženu u procentima;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procenu ukupnog smanjenja troškova po osnovu sprovođenja predloženih mera (RSD/god) za korisnike javnih sredstava;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(4) godišnje smanjenje troškova za energiju koje bi se ostvarilo primenom predloženih mera, izraženo u procentima, za korisnike javnih sredstava;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(5) procenu vrednosti investicije i prost period povraćaja investicija za predložene mere;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>(6) procenu smanjenja emisije SO</w:t>
      </w:r>
      <w:r w:rsidRPr="00200EB4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po osnovu uštede pojedinih vrsta energije, ukupno (tCO</w:t>
      </w:r>
      <w:r w:rsidRPr="00200EB4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/god.) i izraženo u procentima;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preporuku za redosled sprovođenja predloženih mera, s obzirom na visinu neophodnih investicija i period povraćaja investicija;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zaključak.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6" w:name="str_19"/>
      <w:bookmarkEnd w:id="36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Način dostavljanja izvoda iz izveštaja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7" w:name="clan_19"/>
      <w:bookmarkEnd w:id="37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19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Izvod iz izveštaja dostavlja se ministarstvu nadležnom za poslove energetike u jednom odštampanom primerku poštom i putem informacionog sistema SEMIS.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Izvod iz izveštaja dostavlja se ministarstvu nadležnom za poslove energetike na popunjenom obrascu koji se objavljuje na internet stranici ministarstva nadležnog za poslove energetike. </w:t>
      </w:r>
    </w:p>
    <w:p w:rsidR="00200EB4" w:rsidRPr="00200EB4" w:rsidRDefault="00200EB4" w:rsidP="00200EB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8" w:name="str_20"/>
      <w:bookmarkEnd w:id="38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Završna odredba </w:t>
      </w:r>
    </w:p>
    <w:p w:rsidR="00200EB4" w:rsidRPr="00200EB4" w:rsidRDefault="00200EB4" w:rsidP="00200E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9" w:name="clan_20"/>
      <w:bookmarkEnd w:id="39"/>
      <w:r w:rsidRPr="00200EB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lastRenderedPageBreak/>
        <w:t xml:space="preserve">Član 20 </w:t>
      </w:r>
    </w:p>
    <w:p w:rsidR="00200EB4" w:rsidRPr="00200EB4" w:rsidRDefault="00200EB4" w:rsidP="00200EB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200EB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Ovaj pravilnik stupa na snagu osmog dana od dana objavljivanja u "Službenom glasniku Republike Srbije". </w:t>
      </w:r>
    </w:p>
    <w:p w:rsidR="00200EB4" w:rsidRDefault="00200EB4"/>
    <w:sectPr w:rsidR="00200E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B4"/>
    <w:rsid w:val="0020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4FE3E-D0B3-434A-B8D4-300DA234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00EB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00EB4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paragraph" w:customStyle="1" w:styleId="clan">
    <w:name w:val="clan"/>
    <w:basedOn w:val="Normal"/>
    <w:rsid w:val="00200EB4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0">
    <w:name w:val="normal"/>
    <w:basedOn w:val="Normal"/>
    <w:rsid w:val="00200EB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3">
    <w:name w:val="normal_uvuceni3"/>
    <w:basedOn w:val="Normal"/>
    <w:rsid w:val="00200EB4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200EB4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wyq110---naslov-clana">
    <w:name w:val="wyq110---naslov-clana"/>
    <w:basedOn w:val="Normal"/>
    <w:rsid w:val="00200EB4"/>
    <w:pPr>
      <w:spacing w:before="240" w:after="24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character" w:customStyle="1" w:styleId="stepen1">
    <w:name w:val="stepen1"/>
    <w:basedOn w:val="DefaultParagraphFont"/>
    <w:rsid w:val="00200EB4"/>
    <w:rPr>
      <w:sz w:val="15"/>
      <w:szCs w:val="15"/>
      <w:vertAlign w:val="superscript"/>
    </w:rPr>
  </w:style>
  <w:style w:type="character" w:customStyle="1" w:styleId="indeks1">
    <w:name w:val="indeks1"/>
    <w:basedOn w:val="DefaultParagraphFont"/>
    <w:rsid w:val="00200EB4"/>
    <w:rPr>
      <w:sz w:val="15"/>
      <w:szCs w:val="15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2646</Words>
  <Characters>15085</Characters>
  <Application>Microsoft Office Word</Application>
  <DocSecurity>0</DocSecurity>
  <Lines>125</Lines>
  <Paragraphs>35</Paragraphs>
  <ScaleCrop>false</ScaleCrop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Dejana Milinkovic</cp:lastModifiedBy>
  <cp:revision>1</cp:revision>
  <dcterms:created xsi:type="dcterms:W3CDTF">2023-05-22T11:42:00Z</dcterms:created>
  <dcterms:modified xsi:type="dcterms:W3CDTF">2023-05-22T11:43:00Z</dcterms:modified>
</cp:coreProperties>
</file>