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0" w:rsidRPr="002360E0" w:rsidRDefault="002360E0" w:rsidP="002360E0">
      <w:pPr>
        <w:pStyle w:val="Naslov"/>
        <w:jc w:val="center"/>
        <w:rPr>
          <w:rFonts w:eastAsia="Times New Roman"/>
          <w:lang w:eastAsia="sr-Latn-RS"/>
        </w:rPr>
      </w:pPr>
      <w:r w:rsidRPr="002360E0">
        <w:rPr>
          <w:rFonts w:eastAsia="Times New Roman"/>
          <w:lang w:eastAsia="sr-Latn-RS"/>
        </w:rPr>
        <w:t>PRAVILNIK</w:t>
      </w:r>
    </w:p>
    <w:p w:rsidR="002360E0" w:rsidRPr="002360E0" w:rsidRDefault="002360E0" w:rsidP="002360E0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2360E0">
        <w:rPr>
          <w:rFonts w:eastAsia="Times New Roman"/>
          <w:sz w:val="34"/>
          <w:szCs w:val="34"/>
          <w:lang w:eastAsia="sr-Latn-RS"/>
        </w:rPr>
        <w:t>O TEHNIČKIM ZAHTEVIMA ZA HEMIJSKE DODATKE BETONU, MLAZNOM BETONU, MALTERU I INJEKCIONOJ MASI ZA KABLOVE ZA PRETHODNO NAPREZANJE</w:t>
      </w:r>
    </w:p>
    <w:p w:rsidR="006363EB" w:rsidRPr="002360E0" w:rsidRDefault="006363EB" w:rsidP="002360E0">
      <w:pPr>
        <w:pStyle w:val="Naslov"/>
        <w:jc w:val="center"/>
        <w:rPr>
          <w:rFonts w:eastAsia="Times New Roman"/>
          <w:sz w:val="26"/>
          <w:szCs w:val="26"/>
          <w:lang w:eastAsia="sr-Latn-RS"/>
        </w:rPr>
      </w:pPr>
    </w:p>
    <w:p w:rsidR="002360E0" w:rsidRDefault="002360E0" w:rsidP="002360E0">
      <w:pPr>
        <w:pStyle w:val="Pod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6363EB">
        <w:rPr>
          <w:rFonts w:eastAsia="Times New Roman"/>
          <w:lang w:eastAsia="sr-Latn-RS"/>
        </w:rPr>
        <w:t>("Sl. glasnik RS", br. 39/2019)</w:t>
      </w:r>
    </w:p>
    <w:p w:rsidR="002360E0" w:rsidRDefault="002360E0" w:rsidP="002360E0">
      <w:pPr>
        <w:pStyle w:val="Podnaslov"/>
        <w:jc w:val="center"/>
        <w:rPr>
          <w:rFonts w:eastAsia="Times New Roman"/>
          <w:sz w:val="31"/>
          <w:szCs w:val="31"/>
          <w:lang w:eastAsia="sr-Latn-RS"/>
        </w:rPr>
      </w:pP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I UVODNE ODREDBE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" w:name="str_2"/>
      <w:bookmarkEnd w:id="1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Predmet </w:t>
      </w:r>
      <w:bookmarkStart w:id="2" w:name="_GoBack"/>
      <w:bookmarkEnd w:id="2"/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1"/>
      <w:bookmarkEnd w:id="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Ovim pravilnikom bliže se propisuju tehnički zahtevi koje moraju da ispune hemijski dodaci: betonu, mlaznom betonu, malteru i injekcionoj masi za kablove za prethodno naprezanje (u daljem tekstu: hemijski dodaci) koji se stavljaju ili čine dostupnim na tržištu; postupak ocenjivanja i verifikacije stalnosti performansi hemijskih dodataka; vrstu tela za ocenjivanje i verifikaciju stalnosti performansi, deklaracija o performansama; sertifikat o stalnosti performansi hemijskih dodataka, znak usaglašenosti i označavanje usaglašenosti i zaštitna klauzula.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" w:name="str_3"/>
      <w:bookmarkEnd w:id="4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Primena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"/>
      <w:bookmarkEnd w:id="5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Ovaj pravilnik se primenjuje na hemijske dodatke koji se koriste kao sastojak u proizvodnji: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nearmiranog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armiranog i prethodno napregnutog betona, normalne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koji se spravljaju na mestu ugradnje, proizvode u postrojenju za izradu prefabrikovanih betonskih proizvoda ili isporučuju u svežem stanju, spremni za ugradnju;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mlaznog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maltera na bazi cementa, koji se spravlja na mestu ugradnje ili isporučuje spreman za zidanje;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injekcione mase za kablove za prethodno naprezanje, koja se spravlja na mestu ugradnje ili proizvodi u postrojenju za izradu prefabrikovanih betonskih proizvoda.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Ovaj pravilnik se ne primenjuje na hemijske dodatke namenjene za upotrebu u polu-suvim betonima i betonima sa niskim sadržajem vode, koji su projektovani tako da budu zbijeni posebnim postupkom.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6" w:name="str_4"/>
      <w:bookmarkEnd w:id="6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Značenje pojedinih izraza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"/>
      <w:bookmarkEnd w:id="7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Pojedini izrazi upotrebljeni u ovom pravilniku imaju sledeće značenje: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1) hemijski dodatak betonu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admixtures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for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građevinski proizvod koji se, tokom procesa spravljanja betona dodaje u malim količinama u odnosu na masu cementa radi modifikovanja bitnih karakteristika svežeg i /ili očvrslog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plastifikator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(</w:t>
      </w:r>
      <w:r w:rsidRPr="006363EB">
        <w:rPr>
          <w:rFonts w:ascii="Arial" w:eastAsia="Times New Roman" w:hAnsi="Arial" w:cs="Arial"/>
          <w:i/>
          <w:iCs/>
          <w:lang w:eastAsia="sr-Latn-RS"/>
        </w:rPr>
        <w:t>reduktor vode</w:t>
      </w:r>
      <w:r w:rsidRPr="006363EB">
        <w:rPr>
          <w:rFonts w:ascii="Arial" w:eastAsia="Times New Roman" w:hAnsi="Arial" w:cs="Arial"/>
          <w:lang w:eastAsia="sr-Latn-RS"/>
        </w:rPr>
        <w:t>)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water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reducing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plasticizing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pri jednakoj količini vode poboljšava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betona ili pri jednakoj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betona omogućuje smanjivanje količine vode do 12% ili proizvodi oba efekta istovremeno;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superplastifikator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  <w:r w:rsidRPr="006363EB">
        <w:rPr>
          <w:rFonts w:ascii="Arial" w:eastAsia="Times New Roman" w:hAnsi="Arial" w:cs="Arial"/>
          <w:i/>
          <w:iCs/>
          <w:lang w:eastAsia="sr-Latn-RS"/>
        </w:rPr>
        <w:t>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visokostepeni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reduktor vode</w:t>
      </w:r>
      <w:r w:rsidRPr="006363EB">
        <w:rPr>
          <w:rFonts w:ascii="Arial" w:eastAsia="Times New Roman" w:hAnsi="Arial" w:cs="Arial"/>
          <w:lang w:eastAsia="sr-Latn-RS"/>
        </w:rPr>
        <w:t>)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high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range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water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reducing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superplasticizing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pri jednakoj količini vode poboljšava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betona ili pri jednakoj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betona omogućuje značajno smanjivanje količine vode, za najmanje 12% ili proizvodi oba efekta istovremeno;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aerant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air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entraining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pri mešanju betona izaziva stvaranje mehurića vazduha koji su ravnomerno raspoređeni u masi betona, ostaju tu nakon očvršćavanja i koji povećavaju postojanost betona prema mrazu;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5)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set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retarding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odlaže početak i kraj vremena vezivanja cementa, odnosno produžava vreme od početka prelaska betonske mešavine iz plastičnog u čvrsto stanje;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6)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set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accelerating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betonu, osim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za mlazni beton, koji ubrzava vezivanje cementa, odnosno skraćuje vreme od početka prelaska mešavine iz plastičnog u čvrsto stanje;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7)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procesa očvršćavanja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hardening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accelerating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ubrzava očvršćavanje betona, odnosno povećava brzinu razvoja početne čvrstoće betona, sa ili bez uticaja na vreme vezivanja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8) zaptivač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water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resisting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hemijskim reakcijama ili mehaničkim putem povećava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vodonepropustljivost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betona, odnosno smanjuje kapilarno upijanje očvrslog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9) dodatak za betoniranje pri niskim temperaturama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cold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weather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admixtures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omogućava betoniranje pri temperaturama ispod -5 °C;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10) dodatak za zadržavanje vode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water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retaining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betonu koji smanjuje gubitak vode tako što utiče na smanjenje izdvajanja vode;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11) dodatak za modifikaciju viskoziteta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viscosity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modifying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>) je hemijski dodatak betonu koji ograničava segregaciju tako što utiče na poboljšanje kohezije (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međumolekularnih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sila koje deluju između čestica jedinjenja betona);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12) hemijski dodatak mlaznom betonu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sprayed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građevinski proizvod koji se u betonsku mešavinu dodaje pre ili tokom procesa prskanja, u količini ne većoj od 5% u odnosu na masu cementa, osim hemijskog dodatka koji znatno ubrzava vezivanje (videti pod (13)), koji se, da bi modifikovao performanse betonske mešavine u svežem i/ili očvrslom stanju, dozira u količini koja ne bi trebalo da pređe 12% u odnosu na masu cementa;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13)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mlaznog betona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sprayed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set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accelerating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mlaznom betonu koji razvija rano vezivanje kod mlaznog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14)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mlaznog betona bez alkalija (</w:t>
      </w:r>
      <w:r w:rsidRPr="006363EB">
        <w:rPr>
          <w:rFonts w:ascii="Arial" w:eastAsia="Times New Roman" w:hAnsi="Arial" w:cs="Arial"/>
          <w:i/>
          <w:iCs/>
          <w:lang w:eastAsia="sr-Latn-RS"/>
        </w:rPr>
        <w:t>non-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alkaline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sprayed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set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accelerating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>) je hemijski dodatak mlaznom betonu koji razvija rano vezivanje kod mlaznog betona, sa sadržajem alkalija (izraženim kao Na</w:t>
      </w:r>
      <w:r w:rsidRPr="006363E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6363EB">
        <w:rPr>
          <w:rFonts w:ascii="Arial" w:eastAsia="Times New Roman" w:hAnsi="Arial" w:cs="Arial"/>
          <w:lang w:eastAsia="sr-Latn-RS"/>
        </w:rPr>
        <w:t xml:space="preserve">O ekvivalent) ne većim od 1,0% u odnosu na masu hemijskog dodatka;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15) hemijski dodatak za kontrolu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mlaznog betona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consistence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control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mlaznom betonu koji zadržava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konzistenciju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duži period i obično se koristi u kombinaciji sa kompatibilnim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ubrzivačima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za mlazne betone;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16) hemijski dodatak za poboljšanje veze mlaznog betona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bond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improving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mlaznom betonu koji se u betonsku mešavinu dodaje pre ili tokom postupka prskanja i koji poboljšava vezu između sloja mlaznog betona i/ili površine podloge;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17) hemijski dodatak malteru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admixtures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for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masonry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mortar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građevinski proizvod koji se tokom procesa spravljanja maltera dodaje u malim količinama u odnosu na masu cementa radi modifikovanja performansi svežeg i/ili očvrslog maltera;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18)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aerant</w:t>
      </w:r>
      <w:proofErr w:type="spellEnd"/>
      <w:r w:rsidRPr="006363EB">
        <w:rPr>
          <w:rFonts w:ascii="Arial" w:eastAsia="Times New Roman" w:hAnsi="Arial" w:cs="Arial"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plastifikator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za malter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air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entraining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plasticizing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malteru koji povećava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ili omogućava smanjenje vode, koji pri mešanju maltera izaziva stvaranje kontrolisane količine malih, ravnomerno raspoređenih mehurića vazduha koji ostaju tu i nakon očvršćavanja maltera;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19) dugotrajni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maltera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set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retarding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for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long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term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retarded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masonry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mortar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malteru za dugotrajno usporavanje vezivanja maltera koji pored bitnih karakteristika utvrđenih za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uključuju i uvučeni vazduh;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20) hemijski dodatak injekcionoj masi za kablove za prethodno naprezanje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admixtures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for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grout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for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prestressing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tendons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građevinski proizvod koji se dodaje radi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poboljšavanja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bitnih karakteristika mase koja se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injektira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u kanale kablova za prethodno naprezanje, utičući na performanse u vezi sa njenim bitnim karakteristikama kao što su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tečljivost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ekspanzija, promena zapremine i izdvajanje vode, pojedinačno ili na njihovu kombinaciju;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21) hemijski dodatak za ekspanziju injekcione mase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expanding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grout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injekcionoj masi za kablove za prethodno naprezanje koji osigurava da se početni volumen/zapremina tečnosti ne smanji nakon očvršćavanja;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22) opšti zahtevi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general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requirements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su zahtevi koji se primenjuju na sve hemijske dodatke koji su predmet ovog pravilnika;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23) specifični zahtevi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specific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requirements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su zahtevi koji se primenjuju na specifične performanse u vezi sa bitnim karakteristikama pojedinog hemijskog dodatka;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24)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multifunkcionalni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hemijski dodatak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multifunction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hemijski dodatak koji utiče na nekoliko performansi svežeg, očvrslog betona ili maltera obavljanjem više od jednog od primarnih dejstava definisanih u stavu 1. od tačke 2) do tačke 11);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25) primarno dejstvo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primary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function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jedna funkcija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multifunkcionalnog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hemijskog dodatka određena/utvrđena od strane proizvođača;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26) sekundarno dejstvo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secondary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function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funkcija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multifunkcionalnog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hemijskog dodatka koja je dodatak njegovom primarnom dejstvu;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27) kontrolna mešavina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control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mix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propisana mešavina bez hemijskog dodatka;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28) ispitna mešavina (test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mix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propisana mešavina koja sadrži hemijski dodatak;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29) preporučena dozaža hemijskog dodatka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compliance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dosage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of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an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dozaža izražena u % po masi cementa, koju je propisao proizvođač i koja će zadovoljiti zahteve ovog pravilnika. Preporučena dozaža nalazi se u okviru preporučenog opsega za doziranje;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30) preporučeni opseg za doziranje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recommended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range of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dosage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su sve dozaže između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građičnih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izražene u % po masi cementa, koje proizvođač preporučuje za proizvod na osnovu iskustva. Upotreba preporučene dozaže ne podrazumeva da će se usaglašenost sa zahtevima ovog pravilnika ispuniti u čitavom opsegu;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31) najveća preporučena dozaža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maximum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recommended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dosage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gornja granica preporučenog opsega za doziranje;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32) deklarisana vrednost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declared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value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performansa sa kojom proizvođač potvrđuje usaglašenost građevinskog proizvoda, navedena u deklaraciji o performansama 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33) referentni beton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reference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concrete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beton za ispitivanje usaglašenosti hemijskih dodataka betonu sa zahtevima ovog pravilnika;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34) referentni malter (</w:t>
      </w:r>
      <w:r w:rsidRPr="006363EB">
        <w:rPr>
          <w:rFonts w:ascii="Arial" w:eastAsia="Times New Roman" w:hAnsi="Arial" w:cs="Arial"/>
          <w:i/>
          <w:iCs/>
          <w:lang w:eastAsia="sr-Latn-RS"/>
        </w:rPr>
        <w:t xml:space="preserve">reference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mortar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malter za ispitivanje usaglašenosti hemijskih dodataka malteru sa zahtevima ovog pravilnika;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35)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šarža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batch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količina hemijskog dodatka za koju se može smatrati da ima ujednačeni sastav;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36) odobrena lista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approved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list</w:t>
      </w:r>
      <w:r w:rsidRPr="006363EB">
        <w:rPr>
          <w:rFonts w:ascii="Arial" w:eastAsia="Times New Roman" w:hAnsi="Arial" w:cs="Arial"/>
          <w:lang w:eastAsia="sr-Latn-RS"/>
        </w:rPr>
        <w:t xml:space="preserve">) je spisak supstanci koje se koriste kao sastojci u hemijskim dodacima, koji su prihvaćeni za upotrebu bez potrebe za daljim ispitivanjem;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37) fabrička kontrola proizvodnje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factory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production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control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dokumentovana, stalna i interna kontrola proizvodnje u fabrici u skladu sa odgovarajućom tehničkom specifikacijom ili tehničkim propisom;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38) proizvođač hemijskog dodatka (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manufacturer</w:t>
      </w:r>
      <w:proofErr w:type="spellEnd"/>
      <w:r w:rsidRPr="006363EB">
        <w:rPr>
          <w:rFonts w:ascii="Arial" w:eastAsia="Times New Roman" w:hAnsi="Arial" w:cs="Arial"/>
          <w:i/>
          <w:iCs/>
          <w:lang w:eastAsia="sr-Latn-RS"/>
        </w:rPr>
        <w:t xml:space="preserve"> of </w:t>
      </w:r>
      <w:proofErr w:type="spellStart"/>
      <w:r w:rsidRPr="006363EB">
        <w:rPr>
          <w:rFonts w:ascii="Arial" w:eastAsia="Times New Roman" w:hAnsi="Arial" w:cs="Arial"/>
          <w:i/>
          <w:iCs/>
          <w:lang w:eastAsia="sr-Latn-RS"/>
        </w:rPr>
        <w:t>admixture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je pravno lice ili preduzetnik koje proizvodi hemijski dodatak ili za koga se taj hemijski dodatak proizvodi i trguje njime pod svojim imenom ili žigom.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" w:name="str_5"/>
      <w:bookmarkEnd w:id="8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II KLASIFIKACIJA HEMIJSKIH DODATAKA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4"/>
      <w:bookmarkEnd w:id="9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 osnovu vrste mešavine na bazi cementa kojoj se dodaju, hemijski dodaci se klasifikuju kao: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hemijski dodaci betonu,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hemijski dodaci mlaznom betonu,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hemijski dodaci malteru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hemijski dodaci injekcionoj masi za kablove za prethodno naprezanje.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Hemijski dodaci betonu, koji se koriste za proizvodnju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nearmiranog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armiranog i prethodno napregnutog betona, normalne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prema načinu delovanja razvrstavaju se u sledeće grupe: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plastifikatori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superplastifikatori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aeranti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5)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6)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procesa očvršćavanja,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7) zaptivači,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8) dodaci za betoniranje pri niskim temperaturama,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9) dodaci za zadržavanje vode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10) dodaci za modifikaciju viskoziteta.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mlaznom betonu dele se na sledeće grupe: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mlaznog betona,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ubrzivači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mlaznog betona bez alkalija,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hemijski dodaci za kontrolu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mlaznih betona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hemijski dodaci za poboljšanje veze mlaznih betona.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malteru koji se dodaju malteru na bazi cementa, dele se na sledeće grupe: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aeranti</w:t>
      </w:r>
      <w:proofErr w:type="spellEnd"/>
      <w:r w:rsidRPr="006363EB">
        <w:rPr>
          <w:rFonts w:ascii="Arial" w:eastAsia="Times New Roman" w:hAnsi="Arial" w:cs="Arial"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plastifikatori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za maltere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dugotrajni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maltera.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injekcionoj masi za kablove za prethodno naprezanje, u smislu ovog pravilnika, podrazumevaju isključivo hemijske dodatke za ekspanziju injekcione mase.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1" w:name="str_6"/>
      <w:bookmarkEnd w:id="11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III TEHNIČKI ZAHTEVI ZA HEMIJSKE DODATKE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2" w:name="str_7"/>
      <w:bookmarkEnd w:id="12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Opšti zahtevi za hemijske dodatke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6"/>
      <w:bookmarkEnd w:id="1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Opšti zahtevi za hemijske dodatke iz člana 5. ovog pravilnika, utvrđeni su u Prilogu A - Opšti zahtevi za hemijske dodatke betonu, mlaznom betonu, malteru i injekcionoj masi za kablove za prethodno naprezanje, koji je odštampan uz ovaj pravilnik i čini njegov sastavni deo.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4" w:name="str_8"/>
      <w:bookmarkEnd w:id="14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lastRenderedPageBreak/>
        <w:t xml:space="preserve">Specifični zahtevi za hemijske dodatke betonu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7"/>
      <w:bookmarkEnd w:id="15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koji se koriste za pripremu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nearmiranog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armiranog i prethodno napregnutog betona (normalne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konzistencije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iz člana 5. stav 1. ovog pravilnika, moraju da imaju performanse u vezi sa njihovim bitnim karakteristikama utvrđene u Tabelama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B.1.3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B.1.4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Deo 1 Priloga B - Specifični zahtevi za hemijske dodatke, koji je odštampan uz ovaj pravilnik i čini njegov sastavni deo, u zavisnosti od deklarisanog načina delovanja, kada je njihov uticaj na bitne karakteristike cementne paste, maltera i betona, ispitan u obimu i na način utvrđen u članu 18. ovog pravilnika.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6" w:name="str_9"/>
      <w:bookmarkEnd w:id="16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Specifični zahtevi za hemijske dodatke mlaznom betonu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8"/>
      <w:bookmarkEnd w:id="17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mlaznom betonu iz člana 5. stav 2. ovog pravilnika, moraju da imaju performanse u vezi sa njihovim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Deo 2. Priloga B, u zavisnosti od deklarisanog načina delovanja, kada je njihov uticaj na bitne karakteristike cementne paste, maltera i betona, ispitan u obimu i na način utvrđenim u članu 18. ovog pravilnika.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18" w:name="str_10"/>
      <w:bookmarkEnd w:id="18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Specifični zahtevi za hemijske dodatke malteru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9"/>
      <w:bookmarkEnd w:id="19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malteru iz člana 5. stav 3. ovog pravilnika, moraju da imaju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B.3.1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Deo 3. Priloga B, u zavisnosti od deklarisanog načina delovanja, kada je njihov uticaj na bitne karakteristike cementne paste i maltera, ispitan u obimu i na način utvrđen u članu 18. ovog pravilnika.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0" w:name="str_11"/>
      <w:bookmarkEnd w:id="20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Specifični zahtevi za hemijske dodatke injekcionoj masi za kablove za prethodno naprezanje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0"/>
      <w:bookmarkEnd w:id="21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injekcionoj masi za kablove za prethodno naprezanje iz člana 5. stav 4. ovog pravilnika, moraju da imaju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B.4.1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Deo 4. Priloga B, ovog pravilnika, kada je njihov uticaj na bitne karakteristike cementne paste i maltera, ispitan u obimu i na način utvrđen u članu 18. ovog pravilnika.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2" w:name="str_12"/>
      <w:bookmarkEnd w:id="22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IV DEKLARACIJA O PERFORMANSAMA I TEHNIČKA UPUTSTVA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1"/>
      <w:bookmarkEnd w:id="2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Proizvođač sačinjava deklaraciju o performansama hemijskog dodatka u skladu sa propisom kojim je uređena oblast građevinskih proizvoda i obezbeđuje da hemijski dodatak prate tehnička uputstva.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Tehničko uputstvo koje se dostavlja uz hemijski dodatak prilikom njegovog činjenja dostupnim na tržište, pored oznake za identifikaciju hemijskog dodatka sadrži i sledeće podatke: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zahteve za skladištenje hemijskog dodatka, uključujući bilo koji poseban zahtev o dužini skladištenja koji mora da bude jasno označen;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uputstva za homogenizaciju hemijskog dodatka pre upotrebe, po potrebi;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uputstva za upotrebu hemijskog dodatka i sve potrebne mere predostrožnosti (na primer: ako je kaustičan, toksičan ili korozivan);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preporučeni opseg za doziranje hemijskog dodatka od strane proizvođača;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5) mere koje treba preduzeti pre upotrebe hemijskog dodatka ako je došlo do segregacije.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Tehnička uputstva iz stava 2. ovog člana, sadrže i informacije utvrđene propisom kojim se uređuje stavljanje u promet hemikalija, kao informacije o bezbednosti.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4" w:name="str_13"/>
      <w:bookmarkEnd w:id="24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V POSTUPAK OCENJIVANJA I VERIFIKACIJE STALNOSTI PERFORMANSI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5" w:name="str_14"/>
      <w:bookmarkEnd w:id="25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Radnje koje sprovodi proizvođač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2"/>
      <w:bookmarkEnd w:id="26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U okviru postupka ocenjivanja i verifikacije stalnosti performansi hemijskih dodataka proizvođač sprovodi sledeće radnje: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uspostavlja, dokumentuje i održava fabričku kontrolu proizvodnje, u svakoj fabrici/pogonu u kojoj proizvodi hemijske dodatke, kako bi obezbedio stalnost performansi hemijskih dodataka u vezi sa njihovim bitnim karakteristikama u skladu sa zahtevima ovog pravilnika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sačinjava deklaraciju o performansama.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Fabrička kontrola proizvodnje hemijskih dodataka obuhvata programe i postupke za kontrolu proizvodnje, praćenje fabričke kontrole proizvodnje i izradu zapisa o fabričkoj kontroli proizvodnje, na način i u obimu utvrđenom u tački 5.4 standarda SRPS EN 934-6.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7" w:name="str_15"/>
      <w:bookmarkEnd w:id="27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Radnje koje sprovodi imenovano </w:t>
      </w:r>
      <w:proofErr w:type="spellStart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tela za proizvod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13"/>
      <w:bookmarkEnd w:id="28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sprovodi radnje u okviru postupka ocenjivanja i verifikacije stalnosti performansi hemijskih dodataka na zahtev proizvođača ili njegovog zastupnika.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Radnje koje u okviru postupka ocenjivanja i verifikacije stalnosti performansi hemijskih dodataka, u zavisnosti od vrste mešavine na bazi cementa kojoj se dodaju, sprovodi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su: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početni pregled proizvodnog pogona i fabričke kontrole proizvodnje;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2) ocenjivanje performansi na osnovu rezultata ispitivanja (uključujući uzimanje uzoraka);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izdavanje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 stalnosti performansi proizvoda;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stalni nadzor, ocenjivanje i vrednovanje fabričke kontrole proizvodnje.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29" w:name="str_16"/>
      <w:bookmarkEnd w:id="29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Početni pregled proizvodnog pogona i fabričke kontrole proizvodnje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4"/>
      <w:bookmarkEnd w:id="30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Početni pregled proizvodnog pogona i fabričke kontrole proizvodnje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sprovodi u skladu sa tačkom 5.5 standarda SRPS EN 934-6. Pri početnom pregledu proizvodnog pogona i fabričke kontrole proizvodnje hemijskih dodataka,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vrši ocenjivanje i vrednovanje rezultata kontrole početnog pregleda proizvodnog pogona i fabričke kontrole proizvodnje koju obavlja proizvođač sa zahtevima utvrđenim u tački 5.4 standarda SRPS EN 934-6.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Nakon početnog pregleda proizvodnog pogona i fabričke kontrole proizvodnje,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priprema Izveštaj o početnom pregledu proizvodnog pogona i fabričke kontrole proizvodnje i dostavlja ga proizvođaču.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5"/>
      <w:bookmarkEnd w:id="31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Kada u toku početnog pregleda proizvodnog pogona i fabričke kontrole proizvodnje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utvrdi da proizvođač nije ispunio zahteve utvrđene tačkom 5.4 standarda SRPS EN 934-6, u obavezi je da utvrđene neusaglašenosti navede u Izveštaju o pregledu fabrike i fabričke kontrole proizvodnje.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Po prijemu izveštaja iz stava 1. ovog člana, proizvođač mora, u vremenskom roku koje utvrđuje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proizvod, da obavesti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o svim planiranim korektivnim radnjama koje će biti preduzete u cilju otklanjanja izveštajem utvrđenih neusaglašenosti.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Kada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prihvati predložene korektivne radnje, proizvođač otklanja utvrđene neusaglašenosti na način koji je predvideo korektivnim radnjama, 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potvrđuje da su otklonjene neusaglašenosti utvrđene izveštajem iz stava 1. ovog člana.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32" w:name="str_17"/>
      <w:bookmarkEnd w:id="32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Uzimanje uzoraka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6"/>
      <w:bookmarkEnd w:id="3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Uzimanje uzoraka za ispitivanje performansi u vezi sa bitnim karakteristikama hemijskih dodataka u skladu sa zahtevima ovog pravilnika, sprovodi se u skladu sa tačkom 4. standarda SRPS EN 934-6.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Uzorke uzima predstavnik imenovanog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tela za proizvod u prisustvu predstavnika proizvođača ili njegovog zastupnika, pri čemu se sačinjava zapisnik o uzimanju uzorka u skladu sa tačkom 4.4 standarda SRPS EN 934-6.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34" w:name="str_18"/>
      <w:bookmarkEnd w:id="34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Obim i metode ispitivanja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17"/>
      <w:bookmarkEnd w:id="35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Obim ispitivanja hemijskih dodataka u cilju utvrđivanja njihove usaglašenosti sa zahtevima ovog pravilnika, obuhvata ispitivanja utvrđena opštim i specifičnim zahtevima za hemijske dodatke.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Ispitivanjima utvrđenim opštim zahtevima za hemijske dodatke podležu svi hemijski dodaci utvrđeni članom 2. ovog pravilnika, u obimu i primenom metoda utvrđenih u Prilogu A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Obim i metode ispitivanja utvrđene specifičnim zahtevima za hemijske dodatke definisani su u zavisnosti od vrste mešavine na bazi cementa kojoj se dodaju i deklarisanog delovanja hemijskog dodatka, i to: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− u Tabeli 1. ovog pravilnika za ispitivanje uticaja hemijskih dodataka betonu i mlaznom betonu na bitne karakteristike cementne paste, maltera;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- u Tabeli 2. ovog pravilnika za ispitivanje uticaja hemijskih dodataka betonu i mlaznom betonu na bitne karakteristike svežeg i očvrslog betona;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- u Tabeli 3. ovog pravilnika za ispitivanje uticaja hemijskih dodataka malteru na bitne karakteristike cementne paste, maltera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- u Tabeli 4. za ispitivanje uticaja hemijskih dodataka za injekcione mase za kablove za prethodno naprezanje na bitne karakteristike cementne paste, maltera.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1. - Ispitivanja uticaja hemijskih dodataka betonu i mlaznom betonu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3"/>
        <w:gridCol w:w="3309"/>
      </w:tblGrid>
      <w:tr w:rsidR="006363EB" w:rsidRPr="006363EB" w:rsidTr="006363EB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Bitna karakteristika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Metoda ispitivanja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Cementna pasta/malter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Standardna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196-3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480-2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Postojanost zapremine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196-3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1015-7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413-2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413-2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Kapilarno upijanje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pri pritisku nakon 1, 3, 7 i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196-1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prijanjanja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pri zatezanju nakon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934-5, Prilog C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 SRPS EN 1542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 vezivanja hemijskih dodataka za betoniranje pri niskim temperaturama određuje se na -5 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°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>C i na donjoj graničnoj temperaturi deklarisanoj od strane proizvođača.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Postojanost zapremine cementnog maltera sa hemijskim dodatkom određuje se na cementnom malteru standardne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kome je dodat hemijski dodatak.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Samo kod ispitivanja uticaja hemijskih dodataka za poboljšanje veze mlaznih betona.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2. - Ispitivanje uticaja hemijskih dodataka betonu na bitne karakteristike svežeg i očvrslog betona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3"/>
        <w:gridCol w:w="3309"/>
      </w:tblGrid>
      <w:tr w:rsidR="006363EB" w:rsidRPr="006363EB" w:rsidTr="006363EB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Bitna karakteristika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Metoda ispitivanja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Svež beton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zbijenog svežeg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12350-6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svežeg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12350-2 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SRPS EN 12350-5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12350-2 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SRPS EN 12350-5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u svežem betonu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12350-7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Segregacija u svežem betonu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12350-11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480-4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Očvrsli beton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očvrslog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12390-7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Karakteristike vazdušnih pora u očvrslom betonu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480-11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pri pritisku nakon 1, 3, 7 i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12390-3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Otpornost prema dejstvu mraza očvrslog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U.M1.206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Prilog R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Otpornost prema prodoru vode očvrslog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12390-8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3. - Ispitivanje uticaja hemijskih dodataka malteru na bine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3"/>
        <w:gridCol w:w="3309"/>
      </w:tblGrid>
      <w:tr w:rsidR="006363EB" w:rsidRPr="006363EB" w:rsidTr="006363EB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Bitna karakteristika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Metoda ispitivanja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Sveža cementna pasta/malter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hlorida rastvorljivih u 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1015-17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(pomoću potresnog stola)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1015-3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(penetracijom klipa)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1015-4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1015-6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1015-7;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ugradivosti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 vreme korekcije svežeg 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1015-9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Očvrsla cementna pasta/malter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u suvom stanju očvrslog 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1015-10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pri savijanju i pri pritisku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1015-11;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Koeficijent kapilarnog upijanja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1015-18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Paropropustljivost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1015-19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prijanjanja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metodom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pull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off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SRPS EN 1542;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SRPS EN 1015-12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Otpornost prema dejstvu mraza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13687-3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4. - Ispitivanje uticaja hemijskih dodataka injekcionoj masi za kablove za prethodno naprezanje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3"/>
        <w:gridCol w:w="3309"/>
      </w:tblGrid>
      <w:tr w:rsidR="006363EB" w:rsidRPr="006363EB" w:rsidTr="006363EB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Bitne karakteristike cementne paste/maltera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Metoda ispitivanja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Protočnost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injekcione mase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445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 i promena zapremine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445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sveže injekcione mase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445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196-3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pri pritisku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445 </w:t>
            </w:r>
          </w:p>
        </w:tc>
      </w:tr>
    </w:tbl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clan_18"/>
      <w:bookmarkEnd w:id="36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Referentni malter i beton koji se koriste za ispitivanje bitnih karakteristika hemijskih dodataka utvrđenih u Tabelama 1, 2, 3. i 4. u zavisnosti od vrste mešavine na bazi cementa kojoj se dodaju i deklarisanog delovanja hemijskog dodatka, moraju da ispunjavaju zahteve utvrđene u standardu: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SRPS EN 480-1, za ispitivanje bitnih karakteristika hemijskih dodataka betonu;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SRPS EN 934-5, Prilog B, za ispitivanje bitnih karakteristika hemijskih dodataka mlaznom betonu;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SRPS EN 480-13, za ispitivanje bitnih karakteristika hemijskih dodataka malteru;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SRPS EN 934-4, tačka 4, za ispitivanje bitnih karakteristika hemijskih dodataka injekcionoj masi za kablove za prethodno naprezanje.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19"/>
      <w:bookmarkEnd w:id="37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Nakon izvršenih ispitivanja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sačinjava izveštaj o ispitivanju.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Bitne karakteristike koje su utvrđene u Tabelama 1, 2, 3. i 4, a nisu obuhvaćene Prilogom B Deo 1, 2, 3. i 4, moraju se ispitati i rezultati ispitivanja moraju biti uneti u izveštaj o ispitivanju.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Ocenjivanje i vrednovanje početnog pregleda proizvodnog pogona i fabričke kontrole proizvodnje i rezultata ispitivanja.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20"/>
      <w:bookmarkEnd w:id="38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vrši ocenjivanje i vrednovanje rezultata početnog pregleda proizvodnog pogona i fabričke kontrole proizvodnje, sprovedenog u skladu sa čl. 14. i 15. ovog pravilnika, kao i vrednovanje rezultata ispitivanja dobijenih na uzorku uzetom u skladu sa članom 16. ovog pravilnika, a ispitanom u skladu sa čl. 17, 18. i 19.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ispunjava zahteve ovog pravilnika ako je pregledom proizvodnog pogona i fabričke kontrole proizvodnje hemijskog dodatka utvrđeno da su ispunjeni zahtevi iz tačke 5.4 standarda SRPS EN 934-6 i ako svi pojedinačni rezultati ispitivanja ispunjavaju opšte i specifične zahteve za hemijske dodatke i to: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za hemijske dodatke betonu utvrđene u čl. 6. i 7. ovog pravilnika;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2) za hemijske dodatke mlaznom betonu utvrđene u čl. 6. i 8. ovog pravilnika;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za hemijske dodatke malteru utvrđene u čl. 6. i 9. ovog pravilnika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za hemijske dodatke injekcionoj masi za kablove za prethodno naprezanje utvrđene u čl. 6. i 10. ovog pravilnika.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39" w:name="str_19"/>
      <w:bookmarkEnd w:id="39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Sertifikat o stalnosti performansi građevinskog proizvoda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clan_21"/>
      <w:bookmarkEnd w:id="40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Ako hemijski dodatak ispunjava zahteve ovog pravilnika,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izdaje sertifikat o stalnosti performansi građevinskog proizvoda.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Sertifikat o stalnosti performansi hemijskog dodatka izdaje se za svaki hemijski dodatak i važi tri godine od datuma izdavanja.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Sertifikat o stalnosti performansi hemijskih dodataka sadrži: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poslovno ime, odnosno ime ili naziv i adresu sedišta imenovanog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tela za proizvod koje je izdalo sertifikat;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jedinstveni broj imenovanog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sertifikacionog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tela za proizvod iz Registra imenovanih tela za ocenjivanje usaglašenosti;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broj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4) poslovno ime, odnosno ime ili naziv i adresu sedišta proizvođača;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5) poslovno ime, odnosno ime ili naziv i adresu sedišta podnosioca zahteva, ako je različit od proizvođača;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6) naziv i/ili oznaku tipa proizvoda za koji se izdaje sertifikat, uključujući model ili druge podatke radi bliže identifikacije proizvoda.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Sertifikat o stalnosti performansi proizvoda izdaje se u najmanje dva originalna primerka, od kojih najmanje jedan primerak zadržava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proizvod, a najmanje jedan se izdaje podnosiocu zahteva.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je dužno da čuva dokumentaciju o sprovedenim pregledima proizvodnog pogona i fabričke kontrole proizvodnje, podatke o rezultatima ispitivanja hemijskih dodataka kao i tehničku i drugu dokumentaciju u vezi sa sprovedenim postupkom ocenjivanja i verifikacije stalnosti performansi u skladu sa propisom kojim je uređena oblast građevinskih proizvoda i posebnim propisima koji se primenjuju u skladu sa njim.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1" w:name="str_20"/>
      <w:bookmarkEnd w:id="41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Stalni nadzor fabričke kontrole proizvodnje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clan_22"/>
      <w:bookmarkEnd w:id="42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Nakon izdavanja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iz člana 21. ovog pravilnika,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sprovodi stalni nadzor, ocenjivanje i vrednovanje fabričke kontrole proizvodnje, koji </w:t>
      </w:r>
      <w:r w:rsidRPr="006363EB">
        <w:rPr>
          <w:rFonts w:ascii="Arial" w:eastAsia="Times New Roman" w:hAnsi="Arial" w:cs="Arial"/>
          <w:lang w:eastAsia="sr-Latn-RS"/>
        </w:rPr>
        <w:lastRenderedPageBreak/>
        <w:t xml:space="preserve">obuhvata proveru sprovođenja svih zadataka fabričke kontrole proizvodnje i njihove učestalosti.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sprovodi stalni nadzor fabričke kontrole proizvodnje jednom godišnje.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Nakon sprovedenog stalnog nadzora fabričke kontrole proizvodnje,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sačinjava Izveštaj o stalnom nadzoru fabričke kontrole proizvodnje.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Kada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proizvod, u toku sprovođenja stalnog nadzora fabričke kontrole proizvodnje, utvrdi da proizvođač nije ispunio zahteve utvrđene tačkom 5.4 standarda SRPS EN 934-6, uočene neusaglašenosti navodi u Izveštaju o stalnom nadzoru fabričke kontrole proizvodnje. Postupak otklanjanja neusaglašenosti utvrđenih u stalnom nadzoru fabrike definisan je u članu 15. st. 2. i 3.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 osnovu sprovedenog stalnog nadzora,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vrši ocenjivanje i vrednovanje rezultata kontrole fabričke kontrole proizvodnje sa zahtevima utvrđenim u tački 5.4 standarda SRPS EN 934-6 i donosi odluku o produženju, suspenziji ili oduzimanju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iz člana 21.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sačinjava Potvrdu o produženju važenja, suspenziji ili oduzimanju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iz člana 21.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Sertifikat iz člana 21. ovog pravilnika važi u roku propisanom ovim pravilnikom samo uz potvrdu iz stava 6. ovog člana.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3" w:name="str_21"/>
      <w:bookmarkEnd w:id="43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Proširenje </w:t>
      </w:r>
      <w:proofErr w:type="spellStart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sertifikacije</w:t>
      </w:r>
      <w:proofErr w:type="spellEnd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clan_23"/>
      <w:bookmarkEnd w:id="44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Ukoliko proizvođač uspostavlja proizvodnju nove vrste/grupe hemijskog dodatka, u proizvodnom pogonu za koji je već izrađen izveštaj o početnom pregledu i na osnovu njega izdat sertifikat o ocenjivanju i verifikaciji stalnosti performansi jedne vrste/grupe hemijskog dodatka,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koje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sertifikuje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novu vrstu/grupu hemijskog dodatka razmatra informacije o svim značajnim promenama koje se odnose na fabričku kontrolu proizvodnje i opremu, prouzrokovanim proizvodnjom nove vrste/grupe hemijskog dodatka i na osnovu njih donosi odluke o potrebi sprovođenja kompletnog ili delimičnog početnog pregleda proizvodnog pogona i fabričke kontrole proizvodnje u postupku ocenjivanja i verifikacije stalnosti performansi nove vrste/grupe hemijskog dodatka.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Za novu vrstu/grupu hemijskog dodatka proizvođač i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sprovode sve ostale radnje u okviru postupka ocenjivanja i verifikacije stalnosti performansi u skladu sa ovim pravilnikom.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5" w:name="str_22"/>
      <w:bookmarkEnd w:id="45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Obnavljanje </w:t>
      </w:r>
      <w:proofErr w:type="spellStart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 o stalnosti performansi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4"/>
      <w:bookmarkEnd w:id="46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24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Nakon isteka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roka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važenja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 stalnosti performansi, na zahtev proizvođača ili njegovog zastupnika,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sprovodi ponovni postupak ocenjivanja i verifikacije stalnosti performansi, što obuhvata ponovno sprovođenje svih radnji u okviru postupka ocenjivanja i verifikacije stalnosti performansi utvrđenih ovim pravilnikom.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7" w:name="str_23"/>
      <w:bookmarkEnd w:id="47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 xml:space="preserve">VI ZNAK USAGLAŠENOSTI I OZNAČAVANJE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clan_25"/>
      <w:bookmarkEnd w:id="48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25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 hemijski dodatak koji je usaglašen sa zahtevima ovog pravilnika, pre njegovog stavljanja ili činjenja dostupnim na tržištu, stavlja se srpski znak usaglašenosti u skladu sa propisom kojim je uređena oblast građevinskih proizvoda.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Srpski znak usaglašenosti u slučaju hemijskog dodataka upakovanog u vreće ili kontejnere, treba da bude nalepljen ili odštampan na ambalaži.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Na hemijski dodatak se mogu stavljati i drugi znakovi, simboli, natpisi ili druge oznake, pod uslovom da se time ne smanjuje vidljivost, čitljivost i/ili značenje srpskog znaka usaglašenosti.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Pakovanje hemijskog dodatka betonu, mlaznom betonu, malteru i/ili injekcionoj masi za kablove za prethodno naprezanje koje se stavlja i/ili čini dostupnim na tržištu, mora da bude obeleženo obeležava se tako da sadrži sledeće podatke: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1) naziv vrste i grupe hemijskog dodatka,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2) naziv i sedište proizvođača, njegovog zastupnika i uvoznika ako proizvođač nije registrovan na teritoriji Republike Srbije;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3) oznaku za identifikaciju hemijskog dodatka, koja se sastoji od naziva ovog pravilnika i broja tabele u kojom su utvrđeni specifični zahtevi za performanse u vezi sa bitnim karakteristikama za određenu vrstu hemijskih dodataka. Kada su zahtevi za performanse u vezi sa bitnim karakteristikama utvrđeni u dve tabele, brojevi obe tabele moraju da budu uključene u oznaku;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4) broj serije (</w:t>
      </w:r>
      <w:proofErr w:type="spellStart"/>
      <w:r w:rsidRPr="006363EB">
        <w:rPr>
          <w:rFonts w:ascii="Arial" w:eastAsia="Times New Roman" w:hAnsi="Arial" w:cs="Arial"/>
          <w:lang w:eastAsia="sr-Latn-RS"/>
        </w:rPr>
        <w:t>šarže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lota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) i proizvodni pogon;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5) datum pakovanja;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6) rok upotrebe 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7) masu.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Primeri označavanja vrste i grupe hemijskog dodatka prema ovom pravilniku dati su u Prilogu V - Primeri identifikacionog označavanja vrste i grupe hemijskog dodatka, koji je odštampan uz ovaj pravilnik i čini njegov sastavni deo.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9" w:name="str_24"/>
      <w:bookmarkEnd w:id="49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t xml:space="preserve">VII ZAŠTITNA KLAUZULA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0" w:name="str_25"/>
      <w:bookmarkEnd w:id="50"/>
      <w:r w:rsidRPr="006363E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Činjenje dostupnim ili upotreba hemijskih dodataka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clan_26"/>
      <w:bookmarkEnd w:id="51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Činjenje dostupnim ili upotreba hemijskog dodatka koji je stavljen na tržište Republike Srbije i na koji je stavljen znak usaglašenosti, a za koji se utvrdi da ne ispunjava zahteve utvrđene ovim pravilnikom, može se ograničiti ili zabraniti u skladu sa propisom kojim je uređena oblast građevinskih proizvoda i propisom kojim je uređen tržišni nadzor.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52" w:name="str_26"/>
      <w:bookmarkEnd w:id="52"/>
      <w:r w:rsidRPr="006363EB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 xml:space="preserve">VIII PRELAZNE I ZAVRŠNE ODREDBE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clan_27"/>
      <w:bookmarkEnd w:id="5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27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Danom početka primene ovog pravilnika prestaje da važi Naredba o obaveznom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atestiranju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dodataka betonu ("Službeni list SFRJ", broj 34/85).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Isprava o usaglašenosti izdata u skladu sa propisom iz stava 1. ovog člana važi do datuma važenja utvrđenog u ispravi o usaglašenosti.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Telo za ocenjivanje usaglašenosti koje je akreditovano, odnosno ovlašćeno za ocenjivanje usaglašenosti u skladu sa propisom iz stava 1. ovog člana može da obavlja radnje koje su utvrđene za imenovano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sertifikaciono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telo za proizvod u skladu sa ovim pravilnikom do njegovog imenovanja u skladu sa odredbama ovog pravilnika, a najduže dve godine od dana stupanja na snagu ovog pravilnika.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clan_28"/>
      <w:bookmarkEnd w:id="54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28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koji je projektovan i proizveden i čija usaglašenost je ocenjena u skladu sa propisom iz člana 27. stav 1. ovog pravilnika može, najkasnije godinu dana od dana stupanja na snagu ovog pravilnika, da bude učinjen dostupnim na tržištu. </w:t>
      </w:r>
    </w:p>
    <w:p w:rsidR="006363EB" w:rsidRPr="006363EB" w:rsidRDefault="006363EB" w:rsidP="006363E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clan_29"/>
      <w:bookmarkEnd w:id="55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29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Srbije", a primenjuje se od 1. septembra 2019. godine. </w:t>
      </w:r>
    </w:p>
    <w:p w:rsidR="006363EB" w:rsidRPr="006363EB" w:rsidRDefault="006363EB" w:rsidP="006363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363E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56" w:name="str_27"/>
      <w:bookmarkEnd w:id="56"/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A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OPŠTI ZAHTEVI ZA HEMIJSKE DODATKE BETONU, MLAZNOM BETONU, MALTERU I INJEKCIONOJ MASI ZA KABLOVE ZA PRETHODNO NAPREZANJE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str_28"/>
      <w:bookmarkEnd w:id="57"/>
      <w:proofErr w:type="spellStart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A.0</w:t>
      </w:r>
      <w:proofErr w:type="spellEnd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Opšte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Ovim prilogom utvrđuju se opšti zahtevi koji su zajednički za sve hemijske dodatke utvrđene članom 2. ovog pravilnika.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Opšti zahtevi prema potrebi obuhvataju i zahteve u pogledu uticaja hemijskih dodatka na koroziju čelika za armiranje betona, utvrđene kroz odobrenu listu aktivnih supstanci koje se mogu koristiti u hemijskim dodacima. Upotreba hemijskih dodataka koji sadrže isključivo supstance sa odobrene liste, ne utiče na koroziju ugrađenog čelika za armiranje betona.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A.1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Opšti zahtevi za hemijske dodatke betonu, mlaznom betonu, malteru i injekcionoj masi za kablove za prethodno naprezanje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dodaci utvrđeni članom 2. ovog pravilnika moraju da imaju performanse u vezi sa njihovim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Opšti zahtevi za hemijske dodatke betonu, mlaznom betonu, malteru i injekcionoj masi za kablove za prethodno naprezanje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094"/>
        <w:gridCol w:w="1360"/>
        <w:gridCol w:w="5312"/>
      </w:tblGrid>
      <w:tr w:rsidR="006363EB" w:rsidRPr="006363EB" w:rsidTr="006363EB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Bitna karakteristika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t>Metoda</w:t>
            </w: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ispitivanja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Performanse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Homogenost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Vizuelno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Homogeno kada se koristi. Raslojavanje/segregacija ne sme preći granicu koju je naveo proizvođač.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Vizuelno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Ujednačeno i slično opisu koji je deklarisao proizvođač.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Efektivna komponenta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Infracrveni spektar ne pokazuje značajne promene u odnosu na efektivnu komponentu u poređenju sa referentnim spektrom obezbeđenim od strane proizvođača.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Apsolutna gustina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 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(samo za tečne hemijske dodatke)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ISO 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 ± 0,03 ako je D &gt; 1,10 kg/l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D ± 0,02 ako je D ≤ 1,10 kg/l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gde je D vrednost gustine navedene od strane proizvođača;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(za hemijske dodatke u čvrstom stanju)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B.C8.023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tač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4.2.1. i 4.2.2.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 ± 0.03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gde je D vrednost gustine navedene od strane proizvođača;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suve materije (samo za tečne hemijske dodatke)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0,95T ≤ X ≤ 1,05T, ako je T ≥ 20%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0,90T ≤ X ≤ 1,10T, ako je T &lt; 20%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"T" je vrednost 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masenim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% navedena od strane proizvođača; "X" je rezultat u % dobijen ispitivanjem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vrednost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(samo za tečne hemijske dodatke)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ISO 4316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Navedena vrednost proizvođača ± 1 ili u okviru opsega koji je naveo proizvođač.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Hloridi rastvorljivi u vodi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0,10%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masenih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ili ne više od vrednosti koju je utvrdio proizvođač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Sadržaj alkalija (Na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 ekvivalent)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Ne više od maksimalne vrednosti koju je naveo proizvođač u %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Uticaj na koroziju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480-14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Bez uticaja na koroziju čelika za armiranje betona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Sadržaj silicijum dioksida SiO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 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SRPS EN 196-2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Ne više od maksimalne vrednosti koju je naveo proizvođač u %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Kod mlaznih betona ispituje se relativna gustina.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Kada je sadržaj hlorida rastvorljivih u vodi ≤ 0,10%, hemijski dodatak može biti opisan kao "bez hlorida".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ispitivanje se koristi cement CEM I, sa sadržajem C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>A manjim od 5%.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Sadržaj silicijum-dioksida se zahteva samo u slučaju kada je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(SiO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>) sastojak čiji sadržaj u hemijskom dodatku prelazi 5%.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Ovi zahtevi se ne primenjuju na prirodni pesak. </w:t>
            </w:r>
          </w:p>
        </w:tc>
      </w:tr>
    </w:tbl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str_29"/>
      <w:bookmarkEnd w:id="58"/>
      <w:proofErr w:type="spellStart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A.2</w:t>
      </w:r>
      <w:proofErr w:type="spellEnd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Zahtevi u pogledu uticaja na koroziju čelika za armiranje betona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sr-Latn-RS"/>
        </w:rPr>
      </w:pPr>
      <w:proofErr w:type="spellStart"/>
      <w:r w:rsidRPr="006363EB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A.2.1</w:t>
      </w:r>
      <w:proofErr w:type="spellEnd"/>
      <w:r w:rsidRPr="006363EB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 xml:space="preserve"> Ispitivanje i obeležavanje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Za hemijske dodatke koji sadrže isključivo supstance sa odobrene liste,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priloga, ne zahteva se ispitivanje uticaja na koroziju čelika za armiranje betona.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Hemijski dodaci koji sadrže bilo koju supstancu koja nije navedena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priloga, moraju biti podvrgnuti ispitivanju uticaja na koroziju čelika za armiranje betona u skladu sa standardom SRPS EN 480-14 i zadovoljiti rezultate ispitivanja utvrđene u tački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A.2.2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Za hemijske dodatke koji sadrže isključivo sledeće supstance: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formiate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sulfide, nitrate,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tiocijanate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 nitrite, ne zahteva se ispitivanje uticaja na koroziju čelika za armiranje betona, u slučaju kada su nazivi ovih supstanci navedeni na etiketi/pakovanju ili u tehničkoj dokumentaciji.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Za hemijske dodatke koji sadrže hloride moraju da budu ispunjeni zahtevi utvrđeni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, pod 7.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sr-Latn-RS"/>
        </w:rPr>
      </w:pPr>
      <w:proofErr w:type="spellStart"/>
      <w:r w:rsidRPr="006363EB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A.2.2</w:t>
      </w:r>
      <w:proofErr w:type="spellEnd"/>
      <w:r w:rsidRPr="006363EB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 xml:space="preserve"> Zahtevi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Obračunata trenutna gustina struje, na svakoj epruveti/uzorku od tri ispitne mešavine, ne sme da prelazi 10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μA</w:t>
      </w:r>
      <w:proofErr w:type="spellEnd"/>
      <w:r w:rsidRPr="006363EB">
        <w:rPr>
          <w:rFonts w:ascii="Arial" w:eastAsia="Times New Roman" w:hAnsi="Arial" w:cs="Arial"/>
          <w:lang w:eastAsia="sr-Latn-RS"/>
        </w:rPr>
        <w:t>/cm</w:t>
      </w:r>
      <w:r w:rsidRPr="006363E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6363EB">
        <w:rPr>
          <w:rFonts w:ascii="Arial" w:eastAsia="Times New Roman" w:hAnsi="Arial" w:cs="Arial"/>
          <w:lang w:eastAsia="sr-Latn-RS"/>
        </w:rPr>
        <w:t xml:space="preserve">, u bilo kom vremenskom periodu između 1 sata i 24 sata od momenta spravljanja mešavine. Dodatno, potrebno je da krive porasta trenutne gustine u vremenu, budu sličnog trenda rasta, za kontrolnu i ispitnu mešavinu, kada se ispitivanje sprovodi u skladu sa standardom SRPS EN 480-14.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A.2.1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Odobrena lista supstanci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1"/>
        <w:gridCol w:w="5461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Acetati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Polietri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Alkanolamini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Polikarboksilni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polimeri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Anjonska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katjonska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rešetka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Polikarboksilni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etri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Aluminati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Polisaharidi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Aluminijum prah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Prirodni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polimeri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 njihove soli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Benzoati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Saharoza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Borati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Silikati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Vodeno 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(SiO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>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Sintetička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(koloidna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nanometrička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Silikatna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čađ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Glukonati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Skrob 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etri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skroba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Glikoli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 derivati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Surfakanti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(površinski aktivne supstance)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Etoksilovani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amini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Sulfati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Jabučna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Tartrati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Karbonati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Filer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(kameno brašno) (cement i njegovi glavni sastojci)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Laktati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Lignosulfonat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Fosfonska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kiselina i njene soli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Maltodekstrini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Fosfati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Masne kiseline i soli/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estri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masnih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Hidroksidi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Melamin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sulfonat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Hidroksikarboksilna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kiselina i soli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hidroksikarboksilne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kiseline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Naftalen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sulfonat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Citrati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Poliakrilati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akrilni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estarski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polimeri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Celuloza i celulozni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etri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Polivinili i njihovi derivati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Šećer </w:t>
            </w:r>
          </w:p>
        </w:tc>
      </w:tr>
    </w:tbl>
    <w:p w:rsidR="006363EB" w:rsidRPr="006363EB" w:rsidRDefault="006363EB" w:rsidP="006363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363E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59" w:name="str_30"/>
      <w:bookmarkEnd w:id="59"/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B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SPECIFIČNI ZAHTEVI ZA HEMIJSKE DODATKE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str_31"/>
      <w:bookmarkEnd w:id="60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1.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SPECIFIČNI ZAHTEVI ZA HEMIJSKE DODATKE BETONU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betonu, kada je ispitan njegov uticaj na bitne karakteristike cementne paste i maltera, prema obimu i u skladu sa metodama ispitivanja definisanim u Tabeli 1.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betonu, kada je ispitan njegov uticaj na bitne karakteristike svežeg i očvrslog betona, prema obimu i u skladu sa metodama ispitivanja definisanim u Tabeli 2.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Multifunkcionalni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hemijski dodatak betonu, kada je ispitan njegov uticaj na bitne karakteristike cementne paste i maltera, prema obimu i u skladu sa metodama ispitivanja definisanim u Tabeli 1.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B.1.3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Multifunkcionalni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hemijski dodatak betonu, kada je ispitan njegov uticaj na bitne karakteristike svežeg i očvrslog betona, prema obimu i u skladu sa metodama ispitivanja definisanim u Tabeli 2.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B.1.4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hemijske dodatke betonu koji utiču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0"/>
        <w:gridCol w:w="888"/>
        <w:gridCol w:w="904"/>
        <w:gridCol w:w="581"/>
        <w:gridCol w:w="799"/>
        <w:gridCol w:w="727"/>
        <w:gridCol w:w="968"/>
        <w:gridCol w:w="839"/>
        <w:gridCol w:w="702"/>
        <w:gridCol w:w="904"/>
        <w:gridCol w:w="880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Bitna karakteristika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cementne paste/maltera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Super-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procesa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očvršćavanja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Dodaci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za betoniranje pri niskim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temp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Zaptivači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Dodaci za zadržavanje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Dodaci za modifikaciju viskoziteta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Standardna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Vreme vezivanj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a, min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početak vezivanja ≥ 60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60 ≤ poč. 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vez. ≤ 210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60 ≥ poč. 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vez. ≥ 180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početak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a ≥ 60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Postojanost zapremine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+4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12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vode, %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50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Kapilarno upijanje vode, %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50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>≤ 60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 </w:t>
            </w:r>
          </w:p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- 1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- 3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- 7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5%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115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 potresnom stolu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kontrolne mešavine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klase cementa 52,5, početak vremena vezivanja ne sme biti kraći od 45 minuta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početak vezivanja u odnosu na uzorak bez hemijskog dodatka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istu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konzistenciju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% od uzorka bez hemijskog dodatka (kada se ispitivanje vrši pri W/C = 0.5)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smanjenje za svaki % dodatno uvučenog vazduha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izdvajanje vode u odnosu na mešavinu bez hemijskog dodatka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mešavinu bez hemijskog dodatka, ispitano nakon 7 dana negovanja i 7 dana kontakta sa vodom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mešavinu bez hemijskog dodatka, ispitano nakon 90 dana negovanja i onda nakon 1, 7, ili 28 dana kontakta sa vodom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hemijske dodatke betonu koji utiču na bitne karakteristike svežeg i očvrslog betona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"/>
        <w:gridCol w:w="841"/>
        <w:gridCol w:w="903"/>
        <w:gridCol w:w="817"/>
        <w:gridCol w:w="687"/>
        <w:gridCol w:w="723"/>
        <w:gridCol w:w="659"/>
        <w:gridCol w:w="874"/>
        <w:gridCol w:w="760"/>
        <w:gridCol w:w="50"/>
        <w:gridCol w:w="344"/>
        <w:gridCol w:w="344"/>
        <w:gridCol w:w="50"/>
        <w:gridCol w:w="817"/>
        <w:gridCol w:w="795"/>
      </w:tblGrid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Bitna karakteristika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svežeg/očvrslog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Super-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  <w:t>procesa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očvršćavanja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Dodaci za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betoniranje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pri niskim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temp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Zaptivači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Dodaci za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zadržavanje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Dodaci za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modifikaciju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viskoziteta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vezivanja, min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+360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skraćuje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vreme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vezivanja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Stand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konz.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  <w:proofErr w:type="spellEnd"/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porast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u sleganju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120 mm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u rasprostiranju ≥ 160 mm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 xml:space="preserve">2)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vazduha, %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2,5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 (krvarenje)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&lt; kontrolne mešavine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Karakteristike vazdušnih pora u očvrslom betonu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Faktor razmaka≤ 0,200 mm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Segregacija u svežem betonu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&lt; 70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 </w:t>
            </w:r>
          </w:p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- 1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- 3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- 7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≥ 140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120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115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115/90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110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110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80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80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60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120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>120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100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80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Otpornost prema dejstvu mraza, broj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+20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Vodonepropustljivost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(dubina prodiranja vode pod pritiskom),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20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kontrolnu mešavinu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30 min nakon primene hemijskog dodatka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ispitivane mešavine ne sme pasti ispod vrednosti početne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kontrolne mešavine za istu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konzistenciju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specifični zahtev za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pri jednakom w/c odnosu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ukupan sadržaj uvučenog vazduha 4-6%, zapreminskih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vrednost dobijenu u kontrolnoj mešavini (kontrolna mešavina ≥ 15% i segregacija ≤ 30%)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≥ 90% u odnosu na kontrolnu mešavinu, važi pri jednakom w/c odnosu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 na pritisak nakon 90 dana mora da bude ≥ u odnosu na vrednost pritisne čvrstoće dobijene nakon 28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 na pritisak nakon 46 sati, izmerena na 5 °C mora da bude ≥ 130% u odnosu na kontrolnu mešavinu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B.1.3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multifunkcionalne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hemijske dodatke betonu koji utiču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"/>
        <w:gridCol w:w="1552"/>
        <w:gridCol w:w="1284"/>
        <w:gridCol w:w="882"/>
        <w:gridCol w:w="1284"/>
        <w:gridCol w:w="1385"/>
        <w:gridCol w:w="1771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Bitna karakteristika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cementne paste/maltera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Standardna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vezivanja, min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60 ≤ poč. vez. ≤ 210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60 ≥ poč. vez. ≥ 180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početak vezivanja ≥ 60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Postojanost 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zapremine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≤ 10 mm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Sadržaj vazduha,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+4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+4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12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12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najmanje 12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vode, %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Kapilarno upijanje vode, %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 </w:t>
            </w:r>
          </w:p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- 1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- 3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- 7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5%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75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5%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80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80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klase cementa 52,5, početak vremena vezivanja ne sme biti kraći od 45 minuta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početak vezivanja u odnosu na uzorak bez dodatka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istu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konzistenciju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% od uzorka bez hemijskog dodatka (kada se ispitivanje vrši pri W/C = 0.5)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smanjenje za svaki % dodatno uvučenog vazduha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izdvajanje vode u odnosu na mešavinu bez dodatka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mešavinu bez dodatka, ispitano na 7 dana, nakon 7 dana negovanja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mešavinu bez dodatka, ispitano na 28 dana, nakon 90 dana negovanja </w:t>
            </w:r>
          </w:p>
        </w:tc>
      </w:tr>
    </w:tbl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B.1.4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multifunkcionalne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hemijske dodatke betonu koji utiču na bitne karakteristike svežeg i očvrslog betona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7"/>
        <w:gridCol w:w="975"/>
        <w:gridCol w:w="896"/>
        <w:gridCol w:w="1305"/>
        <w:gridCol w:w="896"/>
        <w:gridCol w:w="1305"/>
        <w:gridCol w:w="1408"/>
        <w:gridCol w:w="1800"/>
      </w:tblGrid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Bitne karakteristike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svežeg/očvrslog betona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 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 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vremena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vezivanja/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vezivanja, 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+360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+360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skraćuje vreme </w:t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vezivanja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skraćuje vreme vezivanja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>Stand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konz.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  <w:proofErr w:type="spellEnd"/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porast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u sleganju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120 mm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u rasprostiranju ≥ 160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u sleganju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120 mm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u rasprostiranju ≥ 160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u sleganju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120 mm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ili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u rasprostiranju ≥ 160 mm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 xml:space="preserve">2)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2,5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2,5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12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Karakteristike vazdušnih pora u očvrslom betonu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Faktor razmaka ≤ 0,200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Faktor razmaka ≤ 0,200 mm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 </w:t>
            </w:r>
          </w:p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- 1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- 3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- 7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75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85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80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100/75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80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70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70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110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120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≥ 95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≥ 90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Otpornost prema dejstvu mraza, broj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+20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+20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Vodonepropustljivost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(dubina prodiranja vode pod pritiskom), 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kontrolnu mešavinu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30 min nakon primene hemijskog dodatka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ispitivane mešavine ne sme pasti ispod vrednosti početne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kontrolne mešavine za istu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konzistenciju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specifični zahtev za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superplastifikatore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pri jednakom w/c odnosu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ukupan sadržaj uvučenog vazduha 4-6%, zapreminskih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vrednost dobijenu u kontrolnoj mešavini (kontrolna mešavina ≥ 15% i segregacija ≤ 30%)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≥ 75% u odnosu na kontrolnu mešavinu, važi pri jednakom w/c odnosu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 na pritisak nakon 90 dana mora da bude ≥ u odnosu na vrednost pritisne čvrstoće dobijene nakon 28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 na pritisak nakon 46 sati, izmerena na 5 °C mora da bude ≥ 130% u odnosu na kontrolnu mešavinu </w:t>
            </w:r>
          </w:p>
        </w:tc>
      </w:tr>
    </w:tbl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str_32"/>
      <w:bookmarkEnd w:id="61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Deo 2.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SPECIFIČNI ZAHTEVI ZA HEMIJSKE DODATKE MLAZNOM BETONU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mlaznom betonu, kada je ispitan njegov uticaj na bitne karakteristike cementne paste i maltera, prema obimu i u skladu sa metodama ispitivanja definisanim u Tabeli 1. ovog pravilnika, mora da ima performanse u vezi sa njegovim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B.2.1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hemijske dodatke mlaznom betonu koji utiču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143"/>
        <w:gridCol w:w="2161"/>
        <w:gridCol w:w="1883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Performanse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Bitna karakteristika cementne paste/maltera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vezivanja (sa i bez alkalija)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Dodaci za kontrolu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Dodaci za poboljšanje veze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Standardna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vezivanja, 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poč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. vez. ≤ 10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kraj vez. ≤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početak vezivanja ≥ 60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početak vezivanja ≥ 60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Postojanost zapremine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+2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prijanjanja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pri zatezanju nakon 28 dana,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125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>- 28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- 90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75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 2)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 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100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80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 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kontrolnu mešavinu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≥ 90% u odnosu na čvrstoću pri pritisku kontrolne mešavine (samo za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ubrzivače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vezivanja bez alkalija)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od čvrstoće pri pritisku ispitne mešavine na 28 dana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klase cementa 52,5, početak vremena vezivanja ne sme biti kraći od 45 minuta </w:t>
            </w:r>
          </w:p>
        </w:tc>
      </w:tr>
    </w:tbl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str_33"/>
      <w:bookmarkEnd w:id="62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3.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SPECIFIČNI ZAHTEVI ZA HEMIJSKE DODATKE MALTERU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malteru, kada je ispitan njegov uticaj na bitne karakteristike cementne paste i maltera, prema obimu i u skladu sa metodama ispitivanja definisanim u Tabeli 3.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B.3.1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B.3.1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hemijske dodatke malteru koji utiču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0"/>
        <w:gridCol w:w="2364"/>
        <w:gridCol w:w="2168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Bitna karakteristika cementne paste/maltera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Aeranti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>/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Plastifikatori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Dugotrajni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usporivači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vezivanja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Standardna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nakon standardnog mešanja,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=17 ± 3 po zapremini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=17 ± 3 po zapremini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nakon stajanja 1 h,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- 3%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nakon stajanja 28 h,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0.7A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%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Sadržaj vazduha nakon produženog mešanja,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+ 5% i ≥ 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- 5%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≤ 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+ 5% i ≥ A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- 5%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 stajanja 28 h,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± 15 mm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Smanjenje vode, zahtev za standardnu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konzistenciju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8% po masi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Otpornost na penetraciju posle 72 h,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1.0 N/mm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Pritisna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čvrstoća, %</w:t>
            </w:r>
            <w:r w:rsidRPr="006363E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nakon: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- 28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≥ 70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70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u odnosu na kontrolnu mešavinu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od početne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konzistencije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za klase cementa 52,5, početak vremena vezivanja ne sme biti kraći od 45 minuta </w:t>
            </w:r>
          </w:p>
        </w:tc>
      </w:tr>
    </w:tbl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str_34"/>
      <w:bookmarkEnd w:id="63"/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4. </w:t>
      </w:r>
    </w:p>
    <w:p w:rsidR="006363EB" w:rsidRPr="006363EB" w:rsidRDefault="006363EB" w:rsidP="006363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SPECIFIČNI ZAHTEVI ZA HEMIJSKE DODATKE INJEKCIONOJ MASI ZA KABLOVE ZA PRETHODNO NAPREZANJE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injekcionoj masi za kablove za prethodno naprezanje, kada je ispitan njegov uticaj na bitne karakteristike cementne paste i maltera, prema obimu i u skladu sa metodama ispitivanja definisanim u Tabeli 4. ovog pravilnika, mora da ima performanse u vezi sa svojim bitnim karakteristikama utvrđene u Tabeli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B.4.1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ovog priloga.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Tabela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B.4.1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Specifični zahtevi za hemijske dodatke injekcionoj masi za kablove za prethodno naprezanje koja utiču na bitne karakteristike cementne paste i maltera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9"/>
        <w:gridCol w:w="4193"/>
      </w:tblGrid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Bitne karakteristike cementne paste/maltera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Performanse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Protočnost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injekcione mase,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Konusna metoda ≤ 25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Izdvajanje vode,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≤ 2% od početne vrednosti na 3 sata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Zapreminska masa sveže injekcione mase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Vreme vezivanja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Čvrstoća pri pritisku nakon 28 dana,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MPa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≥ 30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 xml:space="preserve">Promena zapremine nakon 24 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-1% ≤ S ≤ 5%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  <w:t xml:space="preserve">0% ≤ S ≤ 5%, </w:t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6363EB" w:rsidRPr="006363EB" w:rsidTr="006363E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3EB" w:rsidRPr="006363EB" w:rsidRDefault="006363EB" w:rsidP="006363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363EB">
              <w:rPr>
                <w:rFonts w:ascii="Arial" w:eastAsia="Times New Roman" w:hAnsi="Arial" w:cs="Arial"/>
                <w:lang w:eastAsia="sr-Latn-RS"/>
              </w:rPr>
              <w:t>NAPOMENE:</w:t>
            </w:r>
            <w:r w:rsidRPr="006363EB">
              <w:rPr>
                <w:rFonts w:ascii="Arial" w:eastAsia="Times New Roman" w:hAnsi="Arial" w:cs="Arial"/>
                <w:lang w:eastAsia="sr-Latn-RS"/>
              </w:rPr>
              <w:br/>
            </w:r>
            <w:r w:rsidRPr="006363EB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1)</w:t>
            </w:r>
            <w:r w:rsidRPr="006363EB">
              <w:rPr>
                <w:rFonts w:ascii="Arial" w:eastAsia="Times New Roman" w:hAnsi="Arial" w:cs="Arial"/>
                <w:lang w:eastAsia="sr-Latn-RS"/>
              </w:rPr>
              <w:t xml:space="preserve"> prilikom ispitivanja </w:t>
            </w:r>
            <w:proofErr w:type="spellStart"/>
            <w:r w:rsidRPr="006363EB">
              <w:rPr>
                <w:rFonts w:ascii="Arial" w:eastAsia="Times New Roman" w:hAnsi="Arial" w:cs="Arial"/>
                <w:lang w:eastAsia="sr-Latn-RS"/>
              </w:rPr>
              <w:t>ekspandirajućih</w:t>
            </w:r>
            <w:proofErr w:type="spellEnd"/>
            <w:r w:rsidRPr="006363EB">
              <w:rPr>
                <w:rFonts w:ascii="Arial" w:eastAsia="Times New Roman" w:hAnsi="Arial" w:cs="Arial"/>
                <w:lang w:eastAsia="sr-Latn-RS"/>
              </w:rPr>
              <w:t xml:space="preserve"> dodataka, gde je S promena zapremine </w:t>
            </w:r>
          </w:p>
        </w:tc>
      </w:tr>
    </w:tbl>
    <w:p w:rsidR="006363EB" w:rsidRPr="006363EB" w:rsidRDefault="006363EB" w:rsidP="006363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363E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64" w:name="str_35"/>
      <w:bookmarkEnd w:id="64"/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V </w:t>
      </w:r>
    </w:p>
    <w:p w:rsidR="006363EB" w:rsidRPr="006363EB" w:rsidRDefault="006363EB" w:rsidP="006363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6363EB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lastRenderedPageBreak/>
        <w:t xml:space="preserve">PRIMERI IDENTIFIKACIONOG OZNAČAVANJA VRSTE I GRUPE HEMIJSKOG DODATKA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 1: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betonu koji pri mešanju betona izaziva stvaranje mehurića vazduha koji ostaju tu nakon očvršćavanja i povećavaju postojanost betona prema mrazu, koji ispunjava zahteve ovog pravilnika označava se: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Aerant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hemijski dodatak betonu;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Pravilnik o tehničkim i drugim zahtevima za hemijske dodatke betonu, mlaznom betonu, malteru i injekcionoj masi za kablove za prethodno naprezanje - T: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B1.1/B.1.2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 2: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betonu koji povećava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obradivost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ili omogućava smanjenje vode, uključivanjem tokom mešanja kontrolisane količine malih, ravnomerno raspoređenih mehurića vazduha koji ostaju tu nakon očvršćavanja, koji ispunjava zahteve ovog pravilnika označava se: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Aerant</w:t>
      </w:r>
      <w:proofErr w:type="spellEnd"/>
      <w:r w:rsidRPr="006363EB">
        <w:rPr>
          <w:rFonts w:ascii="Arial" w:eastAsia="Times New Roman" w:hAnsi="Arial" w:cs="Arial"/>
          <w:lang w:eastAsia="sr-Latn-RS"/>
        </w:rPr>
        <w:t>/</w:t>
      </w:r>
      <w:proofErr w:type="spellStart"/>
      <w:r w:rsidRPr="006363EB">
        <w:rPr>
          <w:rFonts w:ascii="Arial" w:eastAsia="Times New Roman" w:hAnsi="Arial" w:cs="Arial"/>
          <w:lang w:eastAsia="sr-Latn-RS"/>
        </w:rPr>
        <w:t>Plastifikator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- hemijski dodatak betonu;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Pravilnik o tehničkim i drugim zahtevima za hemijske dodatke betonu, mlaznom betonu, malteru i injekcionoj masi za kablove za prethodno naprezanje - T: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B1.3/B.1.4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 3: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>Hemijski dodatak mlaznom betonu koji razvija veoma rano vezivanje mlaznog betona, sa sadržajem alkalija (izraženim kao Na</w:t>
      </w:r>
      <w:r w:rsidRPr="006363E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6363EB">
        <w:rPr>
          <w:rFonts w:ascii="Arial" w:eastAsia="Times New Roman" w:hAnsi="Arial" w:cs="Arial"/>
          <w:lang w:eastAsia="sr-Latn-RS"/>
        </w:rPr>
        <w:t xml:space="preserve">O ekvivalent) ne većim od 1,0% u odnosu na masu hemijskog dodatka, koji ispunjava zahteve ovog pravilnika označava se: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proofErr w:type="spellStart"/>
      <w:r w:rsidRPr="006363EB">
        <w:rPr>
          <w:rFonts w:ascii="Arial" w:eastAsia="Times New Roman" w:hAnsi="Arial" w:cs="Arial"/>
          <w:lang w:eastAsia="sr-Latn-RS"/>
        </w:rPr>
        <w:t>Ubrzivač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bez alkalija - hemijski dodatak za mlazni beton;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Pravilnik o tehničkim i drugim zahtevima za hemijske dodatke betonu, mlaznom betonu, malteru i injekcionoj masi za kablove za prethodno naprezanje - T: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B2.1/B.2.2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 4: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malteru koji dugotrajno usporavanje vezivanja maltera i povećava sadržaj uvučenog vazduha, koji ispunjava zahteve ovog pravilnika označava se: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Dugotrajni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usporivači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vezivanja - hemijski dodatak malteru;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Pravilnik o tehničkim i drugim zahtevima za hemijske dodatke betonu, mlaznom betonu, malteru i injekcionoj masi za kablove za prethodno naprezanje - T: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B3.1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PRIMER 5: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Hemijski dodatak injekcionoj masi za kablove za prethodno naprezanje koji osigurava da se početni volumen/zapremina tečnosti ne smanji nakon očvršćavanja, koji ispunjava zahteve ovog pravilnika označava se: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lastRenderedPageBreak/>
        <w:t xml:space="preserve">Hemijski dodatak za ekspanziju injekcione mase </w:t>
      </w:r>
    </w:p>
    <w:p w:rsidR="006363EB" w:rsidRPr="006363EB" w:rsidRDefault="006363EB" w:rsidP="006363E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363EB">
        <w:rPr>
          <w:rFonts w:ascii="Arial" w:eastAsia="Times New Roman" w:hAnsi="Arial" w:cs="Arial"/>
          <w:lang w:eastAsia="sr-Latn-RS"/>
        </w:rPr>
        <w:t xml:space="preserve">Pravilnik o tehničkim i drugim zahtevima za hemijske dodatke betonu, mlaznom betonu, malteru i injekcionoj masi za kablove za prethodno naprezanje - T: </w:t>
      </w:r>
      <w:proofErr w:type="spellStart"/>
      <w:r w:rsidRPr="006363EB">
        <w:rPr>
          <w:rFonts w:ascii="Arial" w:eastAsia="Times New Roman" w:hAnsi="Arial" w:cs="Arial"/>
          <w:lang w:eastAsia="sr-Latn-RS"/>
        </w:rPr>
        <w:t>B4.1</w:t>
      </w:r>
      <w:proofErr w:type="spellEnd"/>
      <w:r w:rsidRPr="006363EB">
        <w:rPr>
          <w:rFonts w:ascii="Arial" w:eastAsia="Times New Roman" w:hAnsi="Arial" w:cs="Arial"/>
          <w:lang w:eastAsia="sr-Latn-RS"/>
        </w:rPr>
        <w:t xml:space="preserve"> </w:t>
      </w:r>
    </w:p>
    <w:p w:rsidR="00997947" w:rsidRDefault="00997947"/>
    <w:sectPr w:rsidR="0099794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B"/>
    <w:rsid w:val="002360E0"/>
    <w:rsid w:val="006363EB"/>
    <w:rsid w:val="00997947"/>
    <w:rsid w:val="00C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363E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6363E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6363E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6363E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6363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6363E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363E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6363EB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6363EB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6363EB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6363EB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6363E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36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36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6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36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363E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6363E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6363E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6363E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6363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6363E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363E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6363EB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6363EB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6363EB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6363EB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6363E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36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36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6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36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2019-06-11T20:24:00Z</dcterms:created>
  <dcterms:modified xsi:type="dcterms:W3CDTF">2019-07-17T13:10:00Z</dcterms:modified>
</cp:coreProperties>
</file>