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F3" w:rsidRPr="00ED15F3" w:rsidRDefault="00ED15F3" w:rsidP="00ED15F3">
      <w:pPr>
        <w:pStyle w:val="Naslov"/>
        <w:jc w:val="center"/>
        <w:rPr>
          <w:rFonts w:eastAsia="Times New Roman"/>
          <w:lang w:eastAsia="sr-Latn-RS"/>
        </w:rPr>
      </w:pPr>
      <w:r w:rsidRPr="00ED15F3">
        <w:rPr>
          <w:rFonts w:eastAsia="Times New Roman"/>
          <w:lang w:eastAsia="sr-Latn-RS"/>
        </w:rPr>
        <w:t>ZAKON</w:t>
      </w:r>
    </w:p>
    <w:p w:rsidR="00ED15F3" w:rsidRPr="00ED15F3" w:rsidRDefault="00ED15F3" w:rsidP="00ED15F3">
      <w:pPr>
        <w:pStyle w:val="Naslov"/>
        <w:jc w:val="center"/>
        <w:rPr>
          <w:rFonts w:eastAsia="Times New Roman"/>
          <w:lang w:eastAsia="sr-Latn-RS"/>
        </w:rPr>
      </w:pPr>
      <w:r w:rsidRPr="00ED15F3">
        <w:rPr>
          <w:rFonts w:eastAsia="Times New Roman"/>
          <w:lang w:eastAsia="sr-Latn-RS"/>
        </w:rPr>
        <w:t>O POTVRĐIVANJU DOHA AMANDMANA NA KJOTO PROTOKOL UZ OKVIRNU KONVENCIJU UJEDINJENIH NACIJA O PROMENI KLIME</w:t>
      </w:r>
    </w:p>
    <w:p w:rsidR="00ED15F3" w:rsidRDefault="00ED15F3" w:rsidP="00ED15F3">
      <w:pPr>
        <w:pStyle w:val="Podnaslov"/>
        <w:jc w:val="center"/>
        <w:rPr>
          <w:rFonts w:eastAsia="Times New Roman"/>
          <w:lang w:eastAsia="sr-Latn-RS"/>
        </w:rPr>
      </w:pPr>
      <w:r w:rsidRPr="00ED15F3">
        <w:rPr>
          <w:rFonts w:eastAsia="Times New Roman"/>
          <w:lang w:eastAsia="sr-Latn-RS"/>
        </w:rPr>
        <w:t xml:space="preserve">("Sl. glasnik RS - Međunarodni ugovori", br. </w:t>
      </w:r>
      <w:bookmarkStart w:id="0" w:name="_GoBack"/>
      <w:bookmarkEnd w:id="0"/>
      <w:r w:rsidRPr="00ED15F3">
        <w:rPr>
          <w:rFonts w:eastAsia="Times New Roman"/>
          <w:lang w:eastAsia="sr-Latn-RS"/>
        </w:rPr>
        <w:t>2/2017)</w:t>
      </w:r>
    </w:p>
    <w:p w:rsidR="00ED15F3" w:rsidRDefault="00ED15F3" w:rsidP="00ED15F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</w:p>
    <w:p w:rsidR="006E2669" w:rsidRPr="006E2669" w:rsidRDefault="006E2669" w:rsidP="00ED15F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6E2669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Potvrđuje se Doha Amandman na </w:t>
      </w:r>
      <w:proofErr w:type="spellStart"/>
      <w:r w:rsidRPr="006E2669">
        <w:rPr>
          <w:rFonts w:ascii="Arial" w:eastAsia="Times New Roman" w:hAnsi="Arial" w:cs="Arial"/>
          <w:lang w:eastAsia="sr-Latn-RS"/>
        </w:rPr>
        <w:t>Kjoto</w:t>
      </w:r>
      <w:proofErr w:type="spellEnd"/>
      <w:r w:rsidRPr="006E2669">
        <w:rPr>
          <w:rFonts w:ascii="Arial" w:eastAsia="Times New Roman" w:hAnsi="Arial" w:cs="Arial"/>
          <w:lang w:eastAsia="sr-Latn-RS"/>
        </w:rPr>
        <w:t xml:space="preserve"> Protokol uz Okvirnu konvenciju Ujedinjenih nacija o promeni klime, usvojen 8. decembra 2012. godine u </w:t>
      </w:r>
      <w:proofErr w:type="spellStart"/>
      <w:r w:rsidRPr="006E2669">
        <w:rPr>
          <w:rFonts w:ascii="Arial" w:eastAsia="Times New Roman" w:hAnsi="Arial" w:cs="Arial"/>
          <w:lang w:eastAsia="sr-Latn-RS"/>
        </w:rPr>
        <w:t>Dohi</w:t>
      </w:r>
      <w:proofErr w:type="spellEnd"/>
      <w:r w:rsidRPr="006E2669">
        <w:rPr>
          <w:rFonts w:ascii="Arial" w:eastAsia="Times New Roman" w:hAnsi="Arial" w:cs="Arial"/>
          <w:lang w:eastAsia="sr-Latn-RS"/>
        </w:rPr>
        <w:t xml:space="preserve">, u originalu na engleskom, francuskom i ruskom jeziku. </w:t>
      </w:r>
    </w:p>
    <w:p w:rsidR="006E2669" w:rsidRPr="006E2669" w:rsidRDefault="006E2669" w:rsidP="006E266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6E2669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Tekst Doha Amandmana na </w:t>
      </w:r>
      <w:proofErr w:type="spellStart"/>
      <w:r w:rsidRPr="006E2669">
        <w:rPr>
          <w:rFonts w:ascii="Arial" w:eastAsia="Times New Roman" w:hAnsi="Arial" w:cs="Arial"/>
          <w:lang w:eastAsia="sr-Latn-RS"/>
        </w:rPr>
        <w:t>Kjoto</w:t>
      </w:r>
      <w:proofErr w:type="spellEnd"/>
      <w:r w:rsidRPr="006E2669">
        <w:rPr>
          <w:rFonts w:ascii="Arial" w:eastAsia="Times New Roman" w:hAnsi="Arial" w:cs="Arial"/>
          <w:lang w:eastAsia="sr-Latn-RS"/>
        </w:rPr>
        <w:t xml:space="preserve"> Protokol uz Okvirnu konvenciju Ujedinjenih nacija o promeni klime, u originalu na engleskom jeziku i u prevodu na srpski jezik glasi: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6E2669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DOHA AMANDMAN NA KJOTO PROTOKOL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b/>
          <w:bCs/>
          <w:lang w:eastAsia="sr-Latn-RS"/>
        </w:rPr>
        <w:t>Član 1: Amandman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b/>
          <w:bCs/>
          <w:lang w:eastAsia="sr-Latn-RS"/>
        </w:rPr>
        <w:t xml:space="preserve">A. Aneks B na </w:t>
      </w:r>
      <w:proofErr w:type="spellStart"/>
      <w:r w:rsidRPr="006E2669">
        <w:rPr>
          <w:rFonts w:ascii="Arial" w:eastAsia="Times New Roman" w:hAnsi="Arial" w:cs="Arial"/>
          <w:b/>
          <w:bCs/>
          <w:lang w:eastAsia="sr-Latn-RS"/>
        </w:rPr>
        <w:t>Kjoto</w:t>
      </w:r>
      <w:proofErr w:type="spellEnd"/>
      <w:r w:rsidRPr="006E2669">
        <w:rPr>
          <w:rFonts w:ascii="Arial" w:eastAsia="Times New Roman" w:hAnsi="Arial" w:cs="Arial"/>
          <w:b/>
          <w:bCs/>
          <w:lang w:eastAsia="sr-Latn-RS"/>
        </w:rPr>
        <w:t xml:space="preserve"> Protokol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Sledeća tabela menja tabelu Aneksa B Protokola: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6" w:space="0" w:color="000000"/>
          <w:right w:val="single" w:sz="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64"/>
        <w:gridCol w:w="1572"/>
        <w:gridCol w:w="1572"/>
        <w:gridCol w:w="2002"/>
        <w:gridCol w:w="1572"/>
        <w:gridCol w:w="1150"/>
      </w:tblGrid>
      <w:tr w:rsidR="006E2669" w:rsidRPr="006E2669" w:rsidTr="006E2669">
        <w:trPr>
          <w:tblCellSpacing w:w="0" w:type="dxa"/>
        </w:trPr>
        <w:tc>
          <w:tcPr>
            <w:tcW w:w="0" w:type="auto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1 </w:t>
            </w:r>
          </w:p>
        </w:tc>
        <w:tc>
          <w:tcPr>
            <w:tcW w:w="0" w:type="auto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2 </w:t>
            </w:r>
          </w:p>
        </w:tc>
        <w:tc>
          <w:tcPr>
            <w:tcW w:w="0" w:type="auto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3 </w:t>
            </w:r>
          </w:p>
        </w:tc>
        <w:tc>
          <w:tcPr>
            <w:tcW w:w="0" w:type="auto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4 </w:t>
            </w:r>
          </w:p>
        </w:tc>
        <w:tc>
          <w:tcPr>
            <w:tcW w:w="0" w:type="auto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5 </w:t>
            </w:r>
          </w:p>
        </w:tc>
        <w:tc>
          <w:tcPr>
            <w:tcW w:w="0" w:type="auto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6 </w:t>
            </w: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Strana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t>Kvantifikovana</w:t>
            </w:r>
            <w:proofErr w:type="spellEnd"/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 obaveza</w:t>
            </w: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br/>
              <w:t>ograničenja ili smanjenja</w:t>
            </w: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br/>
              <w:t>količine emisije</w:t>
            </w: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br/>
              <w:t>(2008-2012) (Procenat od</w:t>
            </w: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br/>
              <w:t xml:space="preserve">bazne godine ili perioda)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t>Kvantifikovana</w:t>
            </w:r>
            <w:proofErr w:type="spellEnd"/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 obaveza</w:t>
            </w: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br/>
              <w:t>ograničenja ili smanjenja</w:t>
            </w: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br/>
              <w:t>količine emisija</w:t>
            </w: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br/>
              <w:t>(2013-2020) (procenat od</w:t>
            </w: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br/>
              <w:t xml:space="preserve">bazne godine ili perioda)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t>Referentna godina</w:t>
            </w:r>
            <w:r w:rsidRPr="006E2669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vertAlign w:val="superscript"/>
                <w:lang w:eastAsia="sr-Latn-RS"/>
              </w:rPr>
              <w:t>1</w:t>
            </w: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t>Kvantifikovana</w:t>
            </w:r>
            <w:proofErr w:type="spellEnd"/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 obaveza</w:t>
            </w: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br/>
              <w:t>ograničenja ili smanjenja</w:t>
            </w: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br/>
              <w:t>količine emisija</w:t>
            </w: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br/>
              <w:t>(2013-2020) (izraženo kao</w:t>
            </w: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br/>
              <w:t>procenat od referentne</w:t>
            </w: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br/>
              <w:t>godine)</w:t>
            </w:r>
            <w:r w:rsidRPr="006E2669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vertAlign w:val="superscript"/>
                <w:lang w:eastAsia="sr-Latn-RS"/>
              </w:rPr>
              <w:t>1</w:t>
            </w: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t>Zalaganja za smanjenje</w:t>
            </w: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br/>
              <w:t>emisije gasova sa efektom</w:t>
            </w: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br/>
              <w:t>staklene bašte do 2020</w:t>
            </w: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br/>
              <w:t>(procenat od referentn</w:t>
            </w: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lastRenderedPageBreak/>
              <w:t>e</w:t>
            </w: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br/>
              <w:t>godine)</w:t>
            </w:r>
            <w:r w:rsidRPr="006E2669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vertAlign w:val="superscript"/>
                <w:lang w:eastAsia="sr-Latn-RS"/>
              </w:rPr>
              <w:t>2</w:t>
            </w: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 </w:t>
            </w: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Australija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-5 do -15% ili </w:t>
            </w: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108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99.5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2000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98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-25%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3</w:t>
            </w: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Austrija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92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80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Belorusija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5</w:t>
            </w:r>
            <w:r w:rsidRPr="006E2669">
              <w:rPr>
                <w:rFonts w:ascii="Arial" w:eastAsia="Times New Roman" w:hAnsi="Arial" w:cs="Arial"/>
                <w:lang w:eastAsia="sr-Latn-RS"/>
              </w:rPr>
              <w:t xml:space="preserve">*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88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1990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-8% </w:t>
            </w: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Belgija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92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80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Bugarska*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92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80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Hrvatska*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95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80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-20%/-30%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7</w:t>
            </w: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Kipar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80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Češka Republika*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92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80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Danska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92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80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Estonija*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92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80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Evropska unija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92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80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1990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-20%/-30%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7</w:t>
            </w: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Finska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92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80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Francuska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92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80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Nemačka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92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80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Grčka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92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80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Mađarska*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94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80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Island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110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80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Irska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92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80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Italija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92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80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E2669">
              <w:rPr>
                <w:rFonts w:ascii="Arial" w:eastAsia="Times New Roman" w:hAnsi="Arial" w:cs="Arial"/>
                <w:lang w:eastAsia="sr-Latn-RS"/>
              </w:rPr>
              <w:t>Kazahstan</w:t>
            </w:r>
            <w:proofErr w:type="spellEnd"/>
            <w:r w:rsidRPr="006E2669">
              <w:rPr>
                <w:rFonts w:ascii="Arial" w:eastAsia="Times New Roman" w:hAnsi="Arial" w:cs="Arial"/>
                <w:lang w:eastAsia="sr-Latn-RS"/>
              </w:rPr>
              <w:t xml:space="preserve">*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95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1990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95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-7% </w:t>
            </w: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Letonija*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92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80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Lihtenštajn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92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84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1990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84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-20%/-30%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9</w:t>
            </w: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Litvanija*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92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80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Luksemburg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92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80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Malta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80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Monako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92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78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1990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78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-30% </w:t>
            </w: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Holandija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92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80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-30% do </w:t>
            </w: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Norveška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101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84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1990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84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-40%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10</w:t>
            </w: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Poljska*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94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80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Portugalija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92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80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Rumunija*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92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80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Slovačka*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92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80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Slovenija*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92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80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Španija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92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80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Švedska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92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80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-20% do </w:t>
            </w: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Švajcarska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92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84.2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1990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-30%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11</w:t>
            </w: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Ukrajina*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100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76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1990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-20% </w:t>
            </w: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Ujedinjeno Kraljevstvo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Velike Britanije i Severne Irske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 w:val="restart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80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92 </w:t>
            </w:r>
          </w:p>
        </w:tc>
        <w:tc>
          <w:tcPr>
            <w:tcW w:w="0" w:type="auto"/>
            <w:vMerge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NP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Strana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t>Kvantifikovana</w:t>
            </w:r>
            <w:proofErr w:type="spellEnd"/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 obaveza </w:t>
            </w: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br/>
              <w:t>ograničenja ili smanjenja</w:t>
            </w: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br/>
              <w:t>količine emisija</w:t>
            </w: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br/>
              <w:t>(2008-2012) (procenat od</w:t>
            </w:r>
            <w:r w:rsidRPr="006E2669">
              <w:rPr>
                <w:rFonts w:ascii="Arial" w:eastAsia="Times New Roman" w:hAnsi="Arial" w:cs="Arial"/>
                <w:i/>
                <w:iCs/>
                <w:lang w:eastAsia="sr-Latn-RS"/>
              </w:rPr>
              <w:br/>
              <w:t xml:space="preserve">bazne godine ili perioda) 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9D9D9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Kanada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94 </w:t>
            </w:r>
          </w:p>
        </w:tc>
        <w:tc>
          <w:tcPr>
            <w:tcW w:w="0" w:type="auto"/>
            <w:shd w:val="clear" w:color="auto" w:fill="D9D9D9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shd w:val="clear" w:color="auto" w:fill="D9D9D9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shd w:val="clear" w:color="auto" w:fill="D9D9D9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shd w:val="clear" w:color="auto" w:fill="D9D9D9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Japan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94 </w:t>
            </w:r>
          </w:p>
        </w:tc>
        <w:tc>
          <w:tcPr>
            <w:tcW w:w="0" w:type="auto"/>
            <w:shd w:val="clear" w:color="auto" w:fill="D9D9D9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shd w:val="clear" w:color="auto" w:fill="D9D9D9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shd w:val="clear" w:color="auto" w:fill="D9D9D9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shd w:val="clear" w:color="auto" w:fill="D9D9D9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Novi Zeland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15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100 </w:t>
            </w:r>
          </w:p>
        </w:tc>
        <w:tc>
          <w:tcPr>
            <w:tcW w:w="0" w:type="auto"/>
            <w:shd w:val="clear" w:color="auto" w:fill="D9D9D9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shd w:val="clear" w:color="auto" w:fill="D9D9D9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shd w:val="clear" w:color="auto" w:fill="D9D9D9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shd w:val="clear" w:color="auto" w:fill="D9D9D9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Ruska </w:t>
            </w:r>
          </w:p>
        </w:tc>
        <w:tc>
          <w:tcPr>
            <w:tcW w:w="0" w:type="auto"/>
            <w:vAlign w:val="bottom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 xml:space="preserve">100 </w:t>
            </w:r>
          </w:p>
        </w:tc>
        <w:tc>
          <w:tcPr>
            <w:tcW w:w="0" w:type="auto"/>
            <w:shd w:val="clear" w:color="auto" w:fill="D9D9D9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shd w:val="clear" w:color="auto" w:fill="D9D9D9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shd w:val="clear" w:color="auto" w:fill="D9D9D9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shd w:val="clear" w:color="auto" w:fill="D9D9D9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E2669" w:rsidRPr="006E2669" w:rsidTr="006E2669">
        <w:trPr>
          <w:tblCellSpacing w:w="0" w:type="dxa"/>
        </w:trPr>
        <w:tc>
          <w:tcPr>
            <w:tcW w:w="0" w:type="auto"/>
            <w:hideMark/>
          </w:tcPr>
          <w:p w:rsidR="006E2669" w:rsidRPr="006E2669" w:rsidRDefault="006E2669" w:rsidP="006E26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E2669">
              <w:rPr>
                <w:rFonts w:ascii="Arial" w:eastAsia="Times New Roman" w:hAnsi="Arial" w:cs="Arial"/>
                <w:lang w:eastAsia="sr-Latn-RS"/>
              </w:rPr>
              <w:t>Federacija</w:t>
            </w:r>
            <w:r w:rsidRPr="006E26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16</w:t>
            </w:r>
            <w:r w:rsidRPr="006E2669">
              <w:rPr>
                <w:rFonts w:ascii="Arial" w:eastAsia="Times New Roman" w:hAnsi="Arial" w:cs="Arial"/>
                <w:lang w:eastAsia="sr-Latn-RS"/>
              </w:rPr>
              <w:t xml:space="preserve">* </w:t>
            </w:r>
          </w:p>
        </w:tc>
        <w:tc>
          <w:tcPr>
            <w:tcW w:w="0" w:type="auto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shd w:val="clear" w:color="auto" w:fill="D9D9D9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shd w:val="clear" w:color="auto" w:fill="D9D9D9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shd w:val="clear" w:color="auto" w:fill="D9D9D9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shd w:val="clear" w:color="auto" w:fill="D9D9D9"/>
            <w:hideMark/>
          </w:tcPr>
          <w:p w:rsidR="006E2669" w:rsidRPr="006E2669" w:rsidRDefault="006E2669" w:rsidP="006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Skraćenice: NA=nije primenljivo (NP) </w:t>
      </w:r>
      <w:r w:rsidRPr="006E2669">
        <w:rPr>
          <w:rFonts w:ascii="Arial" w:eastAsia="Times New Roman" w:hAnsi="Arial" w:cs="Arial"/>
          <w:lang w:eastAsia="sr-Latn-RS"/>
        </w:rPr>
        <w:br/>
        <w:t>* Zemlje koje su u procesu prelaska na tržišnu ekonomiju.</w:t>
      </w:r>
      <w:r w:rsidRPr="006E2669">
        <w:rPr>
          <w:rFonts w:ascii="Arial" w:eastAsia="Times New Roman" w:hAnsi="Arial" w:cs="Arial"/>
          <w:lang w:eastAsia="sr-Latn-RS"/>
        </w:rPr>
        <w:br/>
        <w:t>Sve dole pomenute fusnote, sa izuzetkom fusnota 1, 2 i 5, date su kroz obaveštenja odgovarajućih Strana.</w:t>
      </w:r>
      <w:r w:rsidRPr="006E2669">
        <w:rPr>
          <w:rFonts w:ascii="Arial" w:eastAsia="Times New Roman" w:hAnsi="Arial" w:cs="Arial"/>
          <w:lang w:eastAsia="sr-Latn-RS"/>
        </w:rPr>
        <w:br/>
      </w:r>
      <w:r w:rsidRPr="006E2669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>1</w:t>
      </w:r>
      <w:r w:rsidRPr="006E2669">
        <w:rPr>
          <w:rFonts w:ascii="Arial" w:eastAsia="Times New Roman" w:hAnsi="Arial" w:cs="Arial"/>
          <w:i/>
          <w:iCs/>
          <w:lang w:eastAsia="sr-Latn-RS"/>
        </w:rPr>
        <w:t xml:space="preserve"> Strana može opciono da koristi referentnu godinu za svoje potrebe, kako bi izrazila svoje </w:t>
      </w:r>
      <w:proofErr w:type="spellStart"/>
      <w:r w:rsidRPr="006E2669">
        <w:rPr>
          <w:rFonts w:ascii="Arial" w:eastAsia="Times New Roman" w:hAnsi="Arial" w:cs="Arial"/>
          <w:i/>
          <w:iCs/>
          <w:lang w:eastAsia="sr-Latn-RS"/>
        </w:rPr>
        <w:t>kvantifikovano</w:t>
      </w:r>
      <w:proofErr w:type="spellEnd"/>
      <w:r w:rsidRPr="006E2669">
        <w:rPr>
          <w:rFonts w:ascii="Arial" w:eastAsia="Times New Roman" w:hAnsi="Arial" w:cs="Arial"/>
          <w:i/>
          <w:iCs/>
          <w:lang w:eastAsia="sr-Latn-RS"/>
        </w:rPr>
        <w:t xml:space="preserve"> ograničenje ili smanjenje količine emisije (u daljem tekstu: QELRC) kao procenat emisije te godine, koje nisu obavezujuće na međunarodnom nivou u okviru </w:t>
      </w:r>
      <w:proofErr w:type="spellStart"/>
      <w:r w:rsidRPr="006E2669">
        <w:rPr>
          <w:rFonts w:ascii="Arial" w:eastAsia="Times New Roman" w:hAnsi="Arial" w:cs="Arial"/>
          <w:i/>
          <w:iCs/>
          <w:lang w:eastAsia="sr-Latn-RS"/>
        </w:rPr>
        <w:t>Kjoto</w:t>
      </w:r>
      <w:proofErr w:type="spellEnd"/>
      <w:r w:rsidRPr="006E2669">
        <w:rPr>
          <w:rFonts w:ascii="Arial" w:eastAsia="Times New Roman" w:hAnsi="Arial" w:cs="Arial"/>
          <w:i/>
          <w:iCs/>
          <w:lang w:eastAsia="sr-Latn-RS"/>
        </w:rPr>
        <w:t xml:space="preserve"> </w:t>
      </w:r>
      <w:r w:rsidRPr="006E2669">
        <w:rPr>
          <w:rFonts w:ascii="Arial" w:eastAsia="Times New Roman" w:hAnsi="Arial" w:cs="Arial"/>
          <w:i/>
          <w:iCs/>
          <w:lang w:eastAsia="sr-Latn-RS"/>
        </w:rPr>
        <w:lastRenderedPageBreak/>
        <w:t>Protokola, pored svojih navedenih QELRC-a, u odnosu na baznu godinu u drugoj i trećoj koloni ove tabele, koje su pravno obavezujuće na međunarodnom nivou.</w:t>
      </w:r>
      <w:r w:rsidRPr="006E2669">
        <w:rPr>
          <w:rFonts w:ascii="Arial" w:eastAsia="Times New Roman" w:hAnsi="Arial" w:cs="Arial"/>
          <w:i/>
          <w:iCs/>
          <w:lang w:eastAsia="sr-Latn-RS"/>
        </w:rPr>
        <w:br/>
      </w:r>
      <w:r w:rsidRPr="006E2669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>2</w:t>
      </w:r>
      <w:r w:rsidRPr="006E2669">
        <w:rPr>
          <w:rFonts w:ascii="Arial" w:eastAsia="Times New Roman" w:hAnsi="Arial" w:cs="Arial"/>
          <w:i/>
          <w:iCs/>
          <w:lang w:eastAsia="sr-Latn-RS"/>
        </w:rPr>
        <w:t xml:space="preserve"> Više informacija o ovim zalaganjima, mogu se pronaći u dokumentima </w:t>
      </w:r>
      <w:proofErr w:type="spellStart"/>
      <w:r w:rsidRPr="006E2669">
        <w:rPr>
          <w:rFonts w:ascii="Arial" w:eastAsia="Times New Roman" w:hAnsi="Arial" w:cs="Arial"/>
          <w:i/>
          <w:iCs/>
          <w:lang w:eastAsia="sr-Latn-RS"/>
        </w:rPr>
        <w:t>FCCC/SB/2011/INF.1/Rev.1</w:t>
      </w:r>
      <w:proofErr w:type="spellEnd"/>
      <w:r w:rsidRPr="006E2669">
        <w:rPr>
          <w:rFonts w:ascii="Arial" w:eastAsia="Times New Roman" w:hAnsi="Arial" w:cs="Arial"/>
          <w:i/>
          <w:iCs/>
          <w:lang w:eastAsia="sr-Latn-RS"/>
        </w:rPr>
        <w:t xml:space="preserve"> i </w:t>
      </w:r>
      <w:proofErr w:type="spellStart"/>
      <w:r w:rsidRPr="006E2669">
        <w:rPr>
          <w:rFonts w:ascii="Arial" w:eastAsia="Times New Roman" w:hAnsi="Arial" w:cs="Arial"/>
          <w:i/>
          <w:iCs/>
          <w:lang w:eastAsia="sr-Latn-RS"/>
        </w:rPr>
        <w:t>FCCC/KP/AWG/2012/MISC.1</w:t>
      </w:r>
      <w:proofErr w:type="spellEnd"/>
      <w:r w:rsidRPr="006E2669">
        <w:rPr>
          <w:rFonts w:ascii="Arial" w:eastAsia="Times New Roman" w:hAnsi="Arial" w:cs="Arial"/>
          <w:i/>
          <w:iCs/>
          <w:lang w:eastAsia="sr-Latn-RS"/>
        </w:rPr>
        <w:t xml:space="preserve">, </w:t>
      </w:r>
      <w:proofErr w:type="spellStart"/>
      <w:r w:rsidRPr="006E2669">
        <w:rPr>
          <w:rFonts w:ascii="Arial" w:eastAsia="Times New Roman" w:hAnsi="Arial" w:cs="Arial"/>
          <w:i/>
          <w:iCs/>
          <w:lang w:eastAsia="sr-Latn-RS"/>
        </w:rPr>
        <w:t>Add.1</w:t>
      </w:r>
      <w:proofErr w:type="spellEnd"/>
      <w:r w:rsidRPr="006E2669">
        <w:rPr>
          <w:rFonts w:ascii="Arial" w:eastAsia="Times New Roman" w:hAnsi="Arial" w:cs="Arial"/>
          <w:i/>
          <w:iCs/>
          <w:lang w:eastAsia="sr-Latn-RS"/>
        </w:rPr>
        <w:t xml:space="preserve"> i </w:t>
      </w:r>
      <w:proofErr w:type="spellStart"/>
      <w:r w:rsidRPr="006E2669">
        <w:rPr>
          <w:rFonts w:ascii="Arial" w:eastAsia="Times New Roman" w:hAnsi="Arial" w:cs="Arial"/>
          <w:i/>
          <w:iCs/>
          <w:lang w:eastAsia="sr-Latn-RS"/>
        </w:rPr>
        <w:t>Add.2</w:t>
      </w:r>
      <w:proofErr w:type="spellEnd"/>
      <w:r w:rsidRPr="006E2669">
        <w:rPr>
          <w:rFonts w:ascii="Arial" w:eastAsia="Times New Roman" w:hAnsi="Arial" w:cs="Arial"/>
          <w:i/>
          <w:iCs/>
          <w:lang w:eastAsia="sr-Latn-RS"/>
        </w:rPr>
        <w:br/>
      </w:r>
      <w:r w:rsidRPr="006E2669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>3</w:t>
      </w:r>
      <w:r w:rsidRPr="006E2669">
        <w:rPr>
          <w:rFonts w:ascii="Arial" w:eastAsia="Times New Roman" w:hAnsi="Arial" w:cs="Arial"/>
          <w:i/>
          <w:iCs/>
          <w:lang w:eastAsia="sr-Latn-RS"/>
        </w:rPr>
        <w:t xml:space="preserve"> QELRC Australije je, u okviru drugog obavezujućeg perioda </w:t>
      </w:r>
      <w:proofErr w:type="spellStart"/>
      <w:r w:rsidRPr="006E2669">
        <w:rPr>
          <w:rFonts w:ascii="Arial" w:eastAsia="Times New Roman" w:hAnsi="Arial" w:cs="Arial"/>
          <w:i/>
          <w:iCs/>
          <w:lang w:eastAsia="sr-Latn-RS"/>
        </w:rPr>
        <w:t>Kjoto</w:t>
      </w:r>
      <w:proofErr w:type="spellEnd"/>
      <w:r w:rsidRPr="006E2669">
        <w:rPr>
          <w:rFonts w:ascii="Arial" w:eastAsia="Times New Roman" w:hAnsi="Arial" w:cs="Arial"/>
          <w:i/>
          <w:iCs/>
          <w:lang w:eastAsia="sr-Latn-RS"/>
        </w:rPr>
        <w:t xml:space="preserve"> Protokola, u skladu sa bezuslovnim ciljem Australije da do 2020. godine dostigne 5% niži nivo količine emisije nego 2000. godine. Australija zadržava mogućnost da se kasnije pomeri sa 5 do 15 ili 25% ispod nivoa količine emisije iz 2000. godine, ako se ispune određeni uslovi. Ovo obaveštenje zadržava status ovih zalaganja, kao datih u okviru Konferencije o klimatskim promenama iz </w:t>
      </w:r>
      <w:proofErr w:type="spellStart"/>
      <w:r w:rsidRPr="006E2669">
        <w:rPr>
          <w:rFonts w:ascii="Arial" w:eastAsia="Times New Roman" w:hAnsi="Arial" w:cs="Arial"/>
          <w:i/>
          <w:iCs/>
          <w:lang w:eastAsia="sr-Latn-RS"/>
        </w:rPr>
        <w:t>Kankuna</w:t>
      </w:r>
      <w:proofErr w:type="spellEnd"/>
      <w:r w:rsidRPr="006E2669">
        <w:rPr>
          <w:rFonts w:ascii="Arial" w:eastAsia="Times New Roman" w:hAnsi="Arial" w:cs="Arial"/>
          <w:i/>
          <w:iCs/>
          <w:lang w:eastAsia="sr-Latn-RS"/>
        </w:rPr>
        <w:t>, a ne predstavlja novi pravno obavezujući zahtev u okviru ovog protokola ili njegovih povezanih pravila i modaliteta.</w:t>
      </w:r>
      <w:r w:rsidRPr="006E2669">
        <w:rPr>
          <w:rFonts w:ascii="Arial" w:eastAsia="Times New Roman" w:hAnsi="Arial" w:cs="Arial"/>
          <w:i/>
          <w:iCs/>
          <w:lang w:eastAsia="sr-Latn-RS"/>
        </w:rPr>
        <w:br/>
      </w:r>
      <w:r w:rsidRPr="006E2669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 xml:space="preserve">4 </w:t>
      </w:r>
      <w:r w:rsidRPr="006E2669">
        <w:rPr>
          <w:rFonts w:ascii="Arial" w:eastAsia="Times New Roman" w:hAnsi="Arial" w:cs="Arial"/>
          <w:i/>
          <w:iCs/>
          <w:lang w:eastAsia="sr-Latn-RS"/>
        </w:rPr>
        <w:t xml:space="preserve">QELRC Evropske unije i njenih Država članica se, u okviru drugog obavezujućeg perioda </w:t>
      </w:r>
      <w:proofErr w:type="spellStart"/>
      <w:r w:rsidRPr="006E2669">
        <w:rPr>
          <w:rFonts w:ascii="Arial" w:eastAsia="Times New Roman" w:hAnsi="Arial" w:cs="Arial"/>
          <w:i/>
          <w:iCs/>
          <w:lang w:eastAsia="sr-Latn-RS"/>
        </w:rPr>
        <w:t>Kjoto</w:t>
      </w:r>
      <w:proofErr w:type="spellEnd"/>
      <w:r w:rsidRPr="006E2669">
        <w:rPr>
          <w:rFonts w:ascii="Arial" w:eastAsia="Times New Roman" w:hAnsi="Arial" w:cs="Arial"/>
          <w:i/>
          <w:iCs/>
          <w:lang w:eastAsia="sr-Latn-RS"/>
        </w:rPr>
        <w:t xml:space="preserve"> Protokola, zasniva na činjenici da Evropska unija i njene Države članice zajedno ispunjavaju svoje obaveze, u skladu sa članom 4, </w:t>
      </w:r>
      <w:proofErr w:type="spellStart"/>
      <w:r w:rsidRPr="006E2669">
        <w:rPr>
          <w:rFonts w:ascii="Arial" w:eastAsia="Times New Roman" w:hAnsi="Arial" w:cs="Arial"/>
          <w:i/>
          <w:iCs/>
          <w:lang w:eastAsia="sr-Latn-RS"/>
        </w:rPr>
        <w:t>Kjoto</w:t>
      </w:r>
      <w:proofErr w:type="spellEnd"/>
      <w:r w:rsidRPr="006E2669">
        <w:rPr>
          <w:rFonts w:ascii="Arial" w:eastAsia="Times New Roman" w:hAnsi="Arial" w:cs="Arial"/>
          <w:i/>
          <w:iCs/>
          <w:lang w:eastAsia="sr-Latn-RS"/>
        </w:rPr>
        <w:t xml:space="preserve"> Protokola. QELRC-i ne prejudiciraju sledeće obaveštenje Evropske unije ili njenih Država članica, o sporazumu da zajedno ispunjavaju obaveze u skladu sa odredbama </w:t>
      </w:r>
      <w:proofErr w:type="spellStart"/>
      <w:r w:rsidRPr="006E2669">
        <w:rPr>
          <w:rFonts w:ascii="Arial" w:eastAsia="Times New Roman" w:hAnsi="Arial" w:cs="Arial"/>
          <w:i/>
          <w:iCs/>
          <w:lang w:eastAsia="sr-Latn-RS"/>
        </w:rPr>
        <w:t>Kjoto</w:t>
      </w:r>
      <w:proofErr w:type="spellEnd"/>
      <w:r w:rsidRPr="006E2669">
        <w:rPr>
          <w:rFonts w:ascii="Arial" w:eastAsia="Times New Roman" w:hAnsi="Arial" w:cs="Arial"/>
          <w:i/>
          <w:iCs/>
          <w:lang w:eastAsia="sr-Latn-RS"/>
        </w:rPr>
        <w:t xml:space="preserve"> Protokola.</w:t>
      </w:r>
      <w:r w:rsidRPr="006E2669">
        <w:rPr>
          <w:rFonts w:ascii="Arial" w:eastAsia="Times New Roman" w:hAnsi="Arial" w:cs="Arial"/>
          <w:i/>
          <w:iCs/>
          <w:lang w:eastAsia="sr-Latn-RS"/>
        </w:rPr>
        <w:br/>
      </w:r>
      <w:r w:rsidRPr="006E2669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 xml:space="preserve">5 </w:t>
      </w:r>
      <w:r w:rsidRPr="006E2669">
        <w:rPr>
          <w:rFonts w:ascii="Arial" w:eastAsia="Times New Roman" w:hAnsi="Arial" w:cs="Arial"/>
          <w:i/>
          <w:iCs/>
          <w:lang w:eastAsia="sr-Latn-RS"/>
        </w:rPr>
        <w:t xml:space="preserve">Amandman usvojen u skladu sa odlukom </w:t>
      </w:r>
      <w:proofErr w:type="spellStart"/>
      <w:r w:rsidRPr="006E2669">
        <w:rPr>
          <w:rFonts w:ascii="Arial" w:eastAsia="Times New Roman" w:hAnsi="Arial" w:cs="Arial"/>
          <w:i/>
          <w:iCs/>
          <w:lang w:eastAsia="sr-Latn-RS"/>
        </w:rPr>
        <w:t>10/SMR.2</w:t>
      </w:r>
      <w:proofErr w:type="spellEnd"/>
      <w:r w:rsidRPr="006E2669">
        <w:rPr>
          <w:rFonts w:ascii="Arial" w:eastAsia="Times New Roman" w:hAnsi="Arial" w:cs="Arial"/>
          <w:i/>
          <w:iCs/>
          <w:lang w:eastAsia="sr-Latn-RS"/>
        </w:rPr>
        <w:t>, dodat je na Aneks B. Ovaj amandman još uvek nije stupio na snagu.</w:t>
      </w:r>
      <w:r w:rsidRPr="006E2669">
        <w:rPr>
          <w:rFonts w:ascii="Arial" w:eastAsia="Times New Roman" w:hAnsi="Arial" w:cs="Arial"/>
          <w:i/>
          <w:iCs/>
          <w:lang w:eastAsia="sr-Latn-RS"/>
        </w:rPr>
        <w:br/>
      </w:r>
      <w:r w:rsidRPr="006E2669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 xml:space="preserve">6 </w:t>
      </w:r>
      <w:r w:rsidRPr="006E2669">
        <w:rPr>
          <w:rFonts w:ascii="Arial" w:eastAsia="Times New Roman" w:hAnsi="Arial" w:cs="Arial"/>
          <w:i/>
          <w:iCs/>
          <w:lang w:eastAsia="sr-Latn-RS"/>
        </w:rPr>
        <w:t xml:space="preserve">QELRC Hrvatske se, u okviru drugog obavezujućeg perioda </w:t>
      </w:r>
      <w:proofErr w:type="spellStart"/>
      <w:r w:rsidRPr="006E2669">
        <w:rPr>
          <w:rFonts w:ascii="Arial" w:eastAsia="Times New Roman" w:hAnsi="Arial" w:cs="Arial"/>
          <w:i/>
          <w:iCs/>
          <w:lang w:eastAsia="sr-Latn-RS"/>
        </w:rPr>
        <w:t>Kjoto</w:t>
      </w:r>
      <w:proofErr w:type="spellEnd"/>
      <w:r w:rsidRPr="006E2669">
        <w:rPr>
          <w:rFonts w:ascii="Arial" w:eastAsia="Times New Roman" w:hAnsi="Arial" w:cs="Arial"/>
          <w:i/>
          <w:iCs/>
          <w:lang w:eastAsia="sr-Latn-RS"/>
        </w:rPr>
        <w:t xml:space="preserve"> Protokola, zasniva na činjenici da se zajedno ispunjava sa Evropskom unijom i njenim Državama članicama, u skladu sa članom 4. </w:t>
      </w:r>
      <w:proofErr w:type="spellStart"/>
      <w:r w:rsidRPr="006E2669">
        <w:rPr>
          <w:rFonts w:ascii="Arial" w:eastAsia="Times New Roman" w:hAnsi="Arial" w:cs="Arial"/>
          <w:i/>
          <w:iCs/>
          <w:lang w:eastAsia="sr-Latn-RS"/>
        </w:rPr>
        <w:t>Kjoto</w:t>
      </w:r>
      <w:proofErr w:type="spellEnd"/>
      <w:r w:rsidRPr="006E2669">
        <w:rPr>
          <w:rFonts w:ascii="Arial" w:eastAsia="Times New Roman" w:hAnsi="Arial" w:cs="Arial"/>
          <w:i/>
          <w:iCs/>
          <w:lang w:eastAsia="sr-Latn-RS"/>
        </w:rPr>
        <w:t xml:space="preserve"> Protokola. Kao rezultat toga, pristupanje Hrvatske Evropskoj uniji ne utiče na njeno učešće u zajedničkom ispunjavanju sporazuma, u skladu sa članom 4. ili njenim QELRC-ima. </w:t>
      </w:r>
      <w:r w:rsidRPr="006E2669">
        <w:rPr>
          <w:rFonts w:ascii="Arial" w:eastAsia="Times New Roman" w:hAnsi="Arial" w:cs="Arial"/>
          <w:i/>
          <w:iCs/>
          <w:lang w:eastAsia="sr-Latn-RS"/>
        </w:rPr>
        <w:br/>
      </w:r>
      <w:r w:rsidRPr="006E2669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>7</w:t>
      </w:r>
      <w:r w:rsidRPr="006E2669">
        <w:rPr>
          <w:rFonts w:ascii="Arial" w:eastAsia="Times New Roman" w:hAnsi="Arial" w:cs="Arial"/>
          <w:i/>
          <w:iCs/>
          <w:lang w:eastAsia="sr-Latn-RS"/>
        </w:rPr>
        <w:t xml:space="preserve"> Evropska unija ponavlja svoju uslovnu ponudu, kao deo globalnog i iscrpnog sporazuma, za period od 2012. godine, da smanji nivo količine emisije za 30% do 2020. godine, u poređenju sa nivoom iz 1990. godine, pod uslovom da se druge razvijene zemlje obavežu da uporedivo smanje količinu emisije, a zemlje u razvoju odgovarajuće doprinesu smanjenju, prema njihovim odgovornostima i odgovarajućim mogućnostima.</w:t>
      </w:r>
      <w:r w:rsidRPr="006E2669">
        <w:rPr>
          <w:rFonts w:ascii="Arial" w:eastAsia="Times New Roman" w:hAnsi="Arial" w:cs="Arial"/>
          <w:i/>
          <w:iCs/>
          <w:lang w:eastAsia="sr-Latn-RS"/>
        </w:rPr>
        <w:br/>
      </w:r>
      <w:r w:rsidRPr="006E2669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>8</w:t>
      </w:r>
      <w:r w:rsidRPr="006E2669">
        <w:rPr>
          <w:rFonts w:ascii="Arial" w:eastAsia="Times New Roman" w:hAnsi="Arial" w:cs="Arial"/>
          <w:i/>
          <w:iCs/>
          <w:lang w:eastAsia="sr-Latn-RS"/>
        </w:rPr>
        <w:t xml:space="preserve"> QELRC Islanda se, u okviru drugog obavezujućeg perioda </w:t>
      </w:r>
      <w:proofErr w:type="spellStart"/>
      <w:r w:rsidRPr="006E2669">
        <w:rPr>
          <w:rFonts w:ascii="Arial" w:eastAsia="Times New Roman" w:hAnsi="Arial" w:cs="Arial"/>
          <w:i/>
          <w:iCs/>
          <w:lang w:eastAsia="sr-Latn-RS"/>
        </w:rPr>
        <w:t>Kjoto</w:t>
      </w:r>
      <w:proofErr w:type="spellEnd"/>
      <w:r w:rsidRPr="006E2669">
        <w:rPr>
          <w:rFonts w:ascii="Arial" w:eastAsia="Times New Roman" w:hAnsi="Arial" w:cs="Arial"/>
          <w:i/>
          <w:iCs/>
          <w:lang w:eastAsia="sr-Latn-RS"/>
        </w:rPr>
        <w:t xml:space="preserve"> Protokola, zasniva na činjenici da se zajedno ispunjava sa Evropskom unijom i njenim Državama članicama, u skladu sa članom 4. </w:t>
      </w:r>
      <w:proofErr w:type="spellStart"/>
      <w:r w:rsidRPr="006E2669">
        <w:rPr>
          <w:rFonts w:ascii="Arial" w:eastAsia="Times New Roman" w:hAnsi="Arial" w:cs="Arial"/>
          <w:i/>
          <w:iCs/>
          <w:lang w:eastAsia="sr-Latn-RS"/>
        </w:rPr>
        <w:t>Kjoto</w:t>
      </w:r>
      <w:proofErr w:type="spellEnd"/>
      <w:r w:rsidRPr="006E2669">
        <w:rPr>
          <w:rFonts w:ascii="Arial" w:eastAsia="Times New Roman" w:hAnsi="Arial" w:cs="Arial"/>
          <w:i/>
          <w:iCs/>
          <w:lang w:eastAsia="sr-Latn-RS"/>
        </w:rPr>
        <w:t xml:space="preserve"> Protokola. </w:t>
      </w:r>
      <w:r w:rsidRPr="006E2669">
        <w:rPr>
          <w:rFonts w:ascii="Arial" w:eastAsia="Times New Roman" w:hAnsi="Arial" w:cs="Arial"/>
          <w:i/>
          <w:iCs/>
          <w:lang w:eastAsia="sr-Latn-RS"/>
        </w:rPr>
        <w:br/>
      </w:r>
      <w:r w:rsidRPr="006E2669">
        <w:rPr>
          <w:rFonts w:ascii="Arial" w:eastAsia="Times New Roman" w:hAnsi="Arial" w:cs="Arial"/>
          <w:b/>
          <w:bCs/>
          <w:i/>
          <w:iCs/>
          <w:sz w:val="15"/>
          <w:szCs w:val="15"/>
          <w:vertAlign w:val="superscript"/>
          <w:lang w:eastAsia="sr-Latn-RS"/>
        </w:rPr>
        <w:t>9</w:t>
      </w:r>
      <w:r w:rsidRPr="006E2669">
        <w:rPr>
          <w:rFonts w:ascii="Arial" w:eastAsia="Times New Roman" w:hAnsi="Arial" w:cs="Arial"/>
          <w:i/>
          <w:iCs/>
          <w:lang w:eastAsia="sr-Latn-RS"/>
        </w:rPr>
        <w:t xml:space="preserve"> Predstavljeni QELRC u koloni 3, odnosi se na cilj smanjenja nivoa količine emisije za 20% do 2020. godine. u poređenju sa nivoom iz 1990. godine. Lihtenštajn razmatra činjenicu o većem cilju smanjenja količine emisije do čak 30% do 2020. godine, u poređenju sa nivoom iz 1990. godine, pod uslovom da se druge razvijene zemlje obavežu da uporedivo smanje emisije, a da ekonomski naprednije zemlje u razvoju adekvatno doprinesu smanjenju, prema njihovim odgovornostima i odgovarajućim mogućnostima.</w:t>
      </w:r>
      <w:r w:rsidRPr="006E2669">
        <w:rPr>
          <w:rFonts w:ascii="Arial" w:eastAsia="Times New Roman" w:hAnsi="Arial" w:cs="Arial"/>
          <w:i/>
          <w:iCs/>
          <w:lang w:eastAsia="sr-Latn-RS"/>
        </w:rPr>
        <w:br/>
      </w:r>
      <w:r w:rsidRPr="006E2669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>10</w:t>
      </w:r>
      <w:r w:rsidRPr="006E2669">
        <w:rPr>
          <w:rFonts w:ascii="Arial" w:eastAsia="Times New Roman" w:hAnsi="Arial" w:cs="Arial"/>
          <w:i/>
          <w:iCs/>
          <w:lang w:eastAsia="sr-Latn-RS"/>
        </w:rPr>
        <w:t xml:space="preserve"> Norveški QELRC od 84%, u skladu je sa njenim ciljem smanjenja nivoa količine emisije za 30% do 2020. godine, u poređenju sa nivoom iz 1990. godine. Ako to može doprineti globalnom i iscrpnom sporazumu, po kome se Strane sa najvišim nivoom emisije slažu u pogledu cilja za smanjenje emisija od 2ºC. Norveška će početi da primenjuje smanjenje nivoa emisije od 40% do 2020. godine, zasnovanom na nivou emisije iz 1990. godine. Ova preporuka zadržava status zalaganja na osnovu Konferencije o klimatskim promenama iz </w:t>
      </w:r>
      <w:proofErr w:type="spellStart"/>
      <w:r w:rsidRPr="006E2669">
        <w:rPr>
          <w:rFonts w:ascii="Arial" w:eastAsia="Times New Roman" w:hAnsi="Arial" w:cs="Arial"/>
          <w:i/>
          <w:iCs/>
          <w:lang w:eastAsia="sr-Latn-RS"/>
        </w:rPr>
        <w:t>Kankuna</w:t>
      </w:r>
      <w:proofErr w:type="spellEnd"/>
      <w:r w:rsidRPr="006E2669">
        <w:rPr>
          <w:rFonts w:ascii="Arial" w:eastAsia="Times New Roman" w:hAnsi="Arial" w:cs="Arial"/>
          <w:i/>
          <w:iCs/>
          <w:lang w:eastAsia="sr-Latn-RS"/>
        </w:rPr>
        <w:t xml:space="preserve"> i ne predstavlja novi pravno obavezujući zahtev ovog protokola.</w:t>
      </w:r>
      <w:r w:rsidRPr="006E2669">
        <w:rPr>
          <w:rFonts w:ascii="Arial" w:eastAsia="Times New Roman" w:hAnsi="Arial" w:cs="Arial"/>
          <w:i/>
          <w:iCs/>
          <w:lang w:eastAsia="sr-Latn-RS"/>
        </w:rPr>
        <w:br/>
      </w:r>
      <w:r w:rsidRPr="006E2669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>11</w:t>
      </w:r>
      <w:r w:rsidRPr="006E2669">
        <w:rPr>
          <w:rFonts w:ascii="Arial" w:eastAsia="Times New Roman" w:hAnsi="Arial" w:cs="Arial"/>
          <w:i/>
          <w:iCs/>
          <w:lang w:eastAsia="sr-Latn-RS"/>
        </w:rPr>
        <w:t xml:space="preserve"> Predstavljeni QELCR u koloni 3, odnosi se na cilj smanjenja nivoa količine emisije od 20% do 2020. godine, u poređenju sa nivoom iz 1990. godine. Švajcarska razmatra činjenicu o većem cilju smanjenja nivoa količine emisije do čak 30% do 2020. godine, u poređenju sa nivoom iz 1990. godine, koja je predmet obaveze uporedivog smanjenja obaveze količine emisije iz drugih razvijenih zemalja i odgovarajućeg doprinosa od zemalja u razvoju, na osnovu njihovih odgovornosti i mogućnosti, u skladu sa ciljem od 2ºC. Ova preporuka zadržava status obećanja na osnovu Konferencije o klimatskim promenama iz </w:t>
      </w:r>
      <w:proofErr w:type="spellStart"/>
      <w:r w:rsidRPr="006E2669">
        <w:rPr>
          <w:rFonts w:ascii="Arial" w:eastAsia="Times New Roman" w:hAnsi="Arial" w:cs="Arial"/>
          <w:i/>
          <w:iCs/>
          <w:lang w:eastAsia="sr-Latn-RS"/>
        </w:rPr>
        <w:t>Kankuna</w:t>
      </w:r>
      <w:proofErr w:type="spellEnd"/>
      <w:r w:rsidRPr="006E2669">
        <w:rPr>
          <w:rFonts w:ascii="Arial" w:eastAsia="Times New Roman" w:hAnsi="Arial" w:cs="Arial"/>
          <w:i/>
          <w:iCs/>
          <w:lang w:eastAsia="sr-Latn-RS"/>
        </w:rPr>
        <w:t xml:space="preserve"> i predstavlja novi pravno obavezujući zahtev ovog protokola. </w:t>
      </w:r>
      <w:r w:rsidRPr="006E2669">
        <w:rPr>
          <w:rFonts w:ascii="Arial" w:eastAsia="Times New Roman" w:hAnsi="Arial" w:cs="Arial"/>
          <w:i/>
          <w:iCs/>
          <w:lang w:eastAsia="sr-Latn-RS"/>
        </w:rPr>
        <w:br/>
      </w:r>
      <w:r w:rsidRPr="006E2669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 xml:space="preserve">12 </w:t>
      </w:r>
      <w:r w:rsidRPr="006E2669">
        <w:rPr>
          <w:rFonts w:ascii="Arial" w:eastAsia="Times New Roman" w:hAnsi="Arial" w:cs="Arial"/>
          <w:i/>
          <w:iCs/>
          <w:lang w:eastAsia="sr-Latn-RS"/>
        </w:rPr>
        <w:t>Ne prihvata se bilo koje otkazivanje ili ograničenje upotrebe ove legitimno stečene suverene imovine, koja treba da bude u potpunosti prenosiva.</w:t>
      </w:r>
      <w:r w:rsidRPr="006E2669">
        <w:rPr>
          <w:rFonts w:ascii="Arial" w:eastAsia="Times New Roman" w:hAnsi="Arial" w:cs="Arial"/>
          <w:i/>
          <w:iCs/>
          <w:lang w:eastAsia="sr-Latn-RS"/>
        </w:rPr>
        <w:br/>
      </w:r>
      <w:r w:rsidRPr="006E2669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 xml:space="preserve">13 </w:t>
      </w:r>
      <w:proofErr w:type="spellStart"/>
      <w:r w:rsidRPr="006E2669">
        <w:rPr>
          <w:rFonts w:ascii="Arial" w:eastAsia="Times New Roman" w:hAnsi="Arial" w:cs="Arial"/>
          <w:i/>
          <w:iCs/>
          <w:lang w:eastAsia="sr-Latn-RS"/>
        </w:rPr>
        <w:t>Depozitar</w:t>
      </w:r>
      <w:proofErr w:type="spellEnd"/>
      <w:r w:rsidRPr="006E2669">
        <w:rPr>
          <w:rFonts w:ascii="Arial" w:eastAsia="Times New Roman" w:hAnsi="Arial" w:cs="Arial"/>
          <w:i/>
          <w:iCs/>
          <w:lang w:eastAsia="sr-Latn-RS"/>
        </w:rPr>
        <w:t xml:space="preserve"> je primio pismeno obaveštenje o povlačenju Kanade iz </w:t>
      </w:r>
      <w:proofErr w:type="spellStart"/>
      <w:r w:rsidRPr="006E2669">
        <w:rPr>
          <w:rFonts w:ascii="Arial" w:eastAsia="Times New Roman" w:hAnsi="Arial" w:cs="Arial"/>
          <w:i/>
          <w:iCs/>
          <w:lang w:eastAsia="sr-Latn-RS"/>
        </w:rPr>
        <w:t>Kjoto</w:t>
      </w:r>
      <w:proofErr w:type="spellEnd"/>
      <w:r w:rsidRPr="006E2669">
        <w:rPr>
          <w:rFonts w:ascii="Arial" w:eastAsia="Times New Roman" w:hAnsi="Arial" w:cs="Arial"/>
          <w:i/>
          <w:iCs/>
          <w:lang w:eastAsia="sr-Latn-RS"/>
        </w:rPr>
        <w:t xml:space="preserve"> protokola, 15. </w:t>
      </w:r>
      <w:r w:rsidRPr="006E2669">
        <w:rPr>
          <w:rFonts w:ascii="Arial" w:eastAsia="Times New Roman" w:hAnsi="Arial" w:cs="Arial"/>
          <w:i/>
          <w:iCs/>
          <w:lang w:eastAsia="sr-Latn-RS"/>
        </w:rPr>
        <w:lastRenderedPageBreak/>
        <w:t>decembra 2011. godine. Ovo stupa na snagu 15. decembra 2012. godine.</w:t>
      </w:r>
      <w:r w:rsidRPr="006E2669">
        <w:rPr>
          <w:rFonts w:ascii="Arial" w:eastAsia="Times New Roman" w:hAnsi="Arial" w:cs="Arial"/>
          <w:i/>
          <w:iCs/>
          <w:lang w:eastAsia="sr-Latn-RS"/>
        </w:rPr>
        <w:br/>
      </w:r>
      <w:r w:rsidRPr="006E2669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 xml:space="preserve">14 </w:t>
      </w:r>
      <w:r w:rsidRPr="006E2669">
        <w:rPr>
          <w:rFonts w:ascii="Arial" w:eastAsia="Times New Roman" w:hAnsi="Arial" w:cs="Arial"/>
          <w:i/>
          <w:iCs/>
          <w:lang w:eastAsia="sr-Latn-RS"/>
        </w:rPr>
        <w:t xml:space="preserve">U obaveštenju od 10. decembra 2010. godine, Japan je naglasio da ne namerava da prihvati obaveze iz drugog obavezujućeg perioda </w:t>
      </w:r>
      <w:proofErr w:type="spellStart"/>
      <w:r w:rsidRPr="006E2669">
        <w:rPr>
          <w:rFonts w:ascii="Arial" w:eastAsia="Times New Roman" w:hAnsi="Arial" w:cs="Arial"/>
          <w:i/>
          <w:iCs/>
          <w:lang w:eastAsia="sr-Latn-RS"/>
        </w:rPr>
        <w:t>Kjoto</w:t>
      </w:r>
      <w:proofErr w:type="spellEnd"/>
      <w:r w:rsidRPr="006E2669">
        <w:rPr>
          <w:rFonts w:ascii="Arial" w:eastAsia="Times New Roman" w:hAnsi="Arial" w:cs="Arial"/>
          <w:i/>
          <w:iCs/>
          <w:lang w:eastAsia="sr-Latn-RS"/>
        </w:rPr>
        <w:t xml:space="preserve"> Protokola posle 2012. godine.</w:t>
      </w:r>
      <w:r w:rsidRPr="006E2669">
        <w:rPr>
          <w:rFonts w:ascii="Arial" w:eastAsia="Times New Roman" w:hAnsi="Arial" w:cs="Arial"/>
          <w:i/>
          <w:iCs/>
          <w:lang w:eastAsia="sr-Latn-RS"/>
        </w:rPr>
        <w:br/>
      </w:r>
      <w:r w:rsidRPr="006E2669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 xml:space="preserve">15 </w:t>
      </w:r>
      <w:r w:rsidRPr="006E2669">
        <w:rPr>
          <w:rFonts w:ascii="Arial" w:eastAsia="Times New Roman" w:hAnsi="Arial" w:cs="Arial"/>
          <w:i/>
          <w:iCs/>
          <w:lang w:eastAsia="sr-Latn-RS"/>
        </w:rPr>
        <w:t xml:space="preserve">Novi Zeland ostaje Strana </w:t>
      </w:r>
      <w:proofErr w:type="spellStart"/>
      <w:r w:rsidRPr="006E2669">
        <w:rPr>
          <w:rFonts w:ascii="Arial" w:eastAsia="Times New Roman" w:hAnsi="Arial" w:cs="Arial"/>
          <w:i/>
          <w:iCs/>
          <w:lang w:eastAsia="sr-Latn-RS"/>
        </w:rPr>
        <w:t>Kjoto</w:t>
      </w:r>
      <w:proofErr w:type="spellEnd"/>
      <w:r w:rsidRPr="006E2669">
        <w:rPr>
          <w:rFonts w:ascii="Arial" w:eastAsia="Times New Roman" w:hAnsi="Arial" w:cs="Arial"/>
          <w:i/>
          <w:iCs/>
          <w:lang w:eastAsia="sr-Latn-RS"/>
        </w:rPr>
        <w:t xml:space="preserve"> Protokola. To bi značilo uspostavljanje </w:t>
      </w:r>
      <w:proofErr w:type="spellStart"/>
      <w:r w:rsidRPr="006E2669">
        <w:rPr>
          <w:rFonts w:ascii="Arial" w:eastAsia="Times New Roman" w:hAnsi="Arial" w:cs="Arial"/>
          <w:i/>
          <w:iCs/>
          <w:lang w:eastAsia="sr-Latn-RS"/>
        </w:rPr>
        <w:t>kvantifikovanog</w:t>
      </w:r>
      <w:proofErr w:type="spellEnd"/>
      <w:r w:rsidRPr="006E2669">
        <w:rPr>
          <w:rFonts w:ascii="Arial" w:eastAsia="Times New Roman" w:hAnsi="Arial" w:cs="Arial"/>
          <w:i/>
          <w:iCs/>
          <w:lang w:eastAsia="sr-Latn-RS"/>
        </w:rPr>
        <w:t xml:space="preserve"> cilja smanjenja emisija u čitavom privrednom sektoru pod Okvirnom Konvencijom Ujedinjenih nacija o klimatskim promenama, u periodu od 2013. do 2020. godine.</w:t>
      </w:r>
      <w:r w:rsidRPr="006E2669">
        <w:rPr>
          <w:rFonts w:ascii="Arial" w:eastAsia="Times New Roman" w:hAnsi="Arial" w:cs="Arial"/>
          <w:i/>
          <w:iCs/>
          <w:lang w:eastAsia="sr-Latn-RS"/>
        </w:rPr>
        <w:br/>
      </w:r>
      <w:r w:rsidRPr="006E2669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 xml:space="preserve">16 </w:t>
      </w:r>
      <w:r w:rsidRPr="006E2669">
        <w:rPr>
          <w:rFonts w:ascii="Arial" w:eastAsia="Times New Roman" w:hAnsi="Arial" w:cs="Arial"/>
          <w:i/>
          <w:iCs/>
          <w:lang w:eastAsia="sr-Latn-RS"/>
        </w:rPr>
        <w:t xml:space="preserve">U obaveštenju od 8. decembra 2010. godine, a koji je Sekretarijat primio 9. decembra 2010. godine, Ruska Federacija je naglasila da ne namerava da preuzima </w:t>
      </w:r>
      <w:proofErr w:type="spellStart"/>
      <w:r w:rsidRPr="006E2669">
        <w:rPr>
          <w:rFonts w:ascii="Arial" w:eastAsia="Times New Roman" w:hAnsi="Arial" w:cs="Arial"/>
          <w:i/>
          <w:iCs/>
          <w:lang w:eastAsia="sr-Latn-RS"/>
        </w:rPr>
        <w:t>kvantifikovana</w:t>
      </w:r>
      <w:proofErr w:type="spellEnd"/>
      <w:r w:rsidRPr="006E2669">
        <w:rPr>
          <w:rFonts w:ascii="Arial" w:eastAsia="Times New Roman" w:hAnsi="Arial" w:cs="Arial"/>
          <w:i/>
          <w:iCs/>
          <w:lang w:eastAsia="sr-Latn-RS"/>
        </w:rPr>
        <w:t xml:space="preserve"> ograničenja ili smanjenja količine emisije tokom drugog obavezujućeg perioda </w:t>
      </w:r>
      <w:proofErr w:type="spellStart"/>
      <w:r w:rsidRPr="006E2669">
        <w:rPr>
          <w:rFonts w:ascii="Arial" w:eastAsia="Times New Roman" w:hAnsi="Arial" w:cs="Arial"/>
          <w:i/>
          <w:iCs/>
          <w:lang w:eastAsia="sr-Latn-RS"/>
        </w:rPr>
        <w:t>Kjoto</w:t>
      </w:r>
      <w:proofErr w:type="spellEnd"/>
      <w:r w:rsidRPr="006E2669">
        <w:rPr>
          <w:rFonts w:ascii="Arial" w:eastAsia="Times New Roman" w:hAnsi="Arial" w:cs="Arial"/>
          <w:i/>
          <w:iCs/>
          <w:lang w:eastAsia="sr-Latn-RS"/>
        </w:rPr>
        <w:t xml:space="preserve"> Protokola.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b/>
          <w:bCs/>
          <w:lang w:eastAsia="sr-Latn-RS"/>
        </w:rPr>
        <w:t xml:space="preserve">B. Aneks A na </w:t>
      </w:r>
      <w:proofErr w:type="spellStart"/>
      <w:r w:rsidRPr="006E2669">
        <w:rPr>
          <w:rFonts w:ascii="Arial" w:eastAsia="Times New Roman" w:hAnsi="Arial" w:cs="Arial"/>
          <w:b/>
          <w:bCs/>
          <w:lang w:eastAsia="sr-Latn-RS"/>
        </w:rPr>
        <w:t>Kjoto</w:t>
      </w:r>
      <w:proofErr w:type="spellEnd"/>
      <w:r w:rsidRPr="006E2669">
        <w:rPr>
          <w:rFonts w:ascii="Arial" w:eastAsia="Times New Roman" w:hAnsi="Arial" w:cs="Arial"/>
          <w:b/>
          <w:bCs/>
          <w:lang w:eastAsia="sr-Latn-RS"/>
        </w:rPr>
        <w:t xml:space="preserve"> Protokol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Sledeća tabela zamenjuje listu pod nazivom "Gasovi sa efektom staklene bašte" u Aneksu A ovog protokola: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b/>
          <w:bCs/>
          <w:lang w:eastAsia="sr-Latn-RS"/>
        </w:rPr>
        <w:t>Gasovi sa efektom staklene bašte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>Karbon dioksid (CO</w:t>
      </w:r>
      <w:r w:rsidRPr="006E2669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2</w:t>
      </w:r>
      <w:r w:rsidRPr="006E2669">
        <w:rPr>
          <w:rFonts w:ascii="Arial" w:eastAsia="Times New Roman" w:hAnsi="Arial" w:cs="Arial"/>
          <w:lang w:eastAsia="sr-Latn-RS"/>
        </w:rPr>
        <w:t xml:space="preserve">)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>Metan (CH</w:t>
      </w:r>
      <w:r w:rsidRPr="006E2669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4</w:t>
      </w:r>
      <w:r w:rsidRPr="006E2669">
        <w:rPr>
          <w:rFonts w:ascii="Arial" w:eastAsia="Times New Roman" w:hAnsi="Arial" w:cs="Arial"/>
          <w:lang w:eastAsia="sr-Latn-RS"/>
        </w:rPr>
        <w:t xml:space="preserve">)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>Azot oksid (N</w:t>
      </w:r>
      <w:r w:rsidRPr="006E2669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2</w:t>
      </w:r>
      <w:r w:rsidRPr="006E2669">
        <w:rPr>
          <w:rFonts w:ascii="Arial" w:eastAsia="Times New Roman" w:hAnsi="Arial" w:cs="Arial"/>
          <w:lang w:eastAsia="sr-Latn-RS"/>
        </w:rPr>
        <w:t xml:space="preserve">O)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proofErr w:type="spellStart"/>
      <w:r w:rsidRPr="006E2669">
        <w:rPr>
          <w:rFonts w:ascii="Arial" w:eastAsia="Times New Roman" w:hAnsi="Arial" w:cs="Arial"/>
          <w:lang w:eastAsia="sr-Latn-RS"/>
        </w:rPr>
        <w:t>Hidrofluorougljenici</w:t>
      </w:r>
      <w:proofErr w:type="spellEnd"/>
      <w:r w:rsidRPr="006E2669">
        <w:rPr>
          <w:rFonts w:ascii="Arial" w:eastAsia="Times New Roman" w:hAnsi="Arial" w:cs="Arial"/>
          <w:lang w:eastAsia="sr-Latn-RS"/>
        </w:rPr>
        <w:t xml:space="preserve"> (</w:t>
      </w:r>
      <w:proofErr w:type="spellStart"/>
      <w:r w:rsidRPr="006E2669">
        <w:rPr>
          <w:rFonts w:ascii="Arial" w:eastAsia="Times New Roman" w:hAnsi="Arial" w:cs="Arial"/>
          <w:lang w:eastAsia="sr-Latn-RS"/>
        </w:rPr>
        <w:t>HFCs</w:t>
      </w:r>
      <w:proofErr w:type="spellEnd"/>
      <w:r w:rsidRPr="006E2669">
        <w:rPr>
          <w:rFonts w:ascii="Arial" w:eastAsia="Times New Roman" w:hAnsi="Arial" w:cs="Arial"/>
          <w:lang w:eastAsia="sr-Latn-RS"/>
        </w:rPr>
        <w:t xml:space="preserve">)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proofErr w:type="spellStart"/>
      <w:r w:rsidRPr="006E2669">
        <w:rPr>
          <w:rFonts w:ascii="Arial" w:eastAsia="Times New Roman" w:hAnsi="Arial" w:cs="Arial"/>
          <w:lang w:eastAsia="sr-Latn-RS"/>
        </w:rPr>
        <w:t>Perfluorougljenici</w:t>
      </w:r>
      <w:proofErr w:type="spellEnd"/>
      <w:r w:rsidRPr="006E2669">
        <w:rPr>
          <w:rFonts w:ascii="Arial" w:eastAsia="Times New Roman" w:hAnsi="Arial" w:cs="Arial"/>
          <w:lang w:eastAsia="sr-Latn-RS"/>
        </w:rPr>
        <w:t xml:space="preserve"> (</w:t>
      </w:r>
      <w:proofErr w:type="spellStart"/>
      <w:r w:rsidRPr="006E2669">
        <w:rPr>
          <w:rFonts w:ascii="Arial" w:eastAsia="Times New Roman" w:hAnsi="Arial" w:cs="Arial"/>
          <w:lang w:eastAsia="sr-Latn-RS"/>
        </w:rPr>
        <w:t>PFCs</w:t>
      </w:r>
      <w:proofErr w:type="spellEnd"/>
      <w:r w:rsidRPr="006E2669">
        <w:rPr>
          <w:rFonts w:ascii="Arial" w:eastAsia="Times New Roman" w:hAnsi="Arial" w:cs="Arial"/>
          <w:lang w:eastAsia="sr-Latn-RS"/>
        </w:rPr>
        <w:t xml:space="preserve">)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Sumpor </w:t>
      </w:r>
      <w:proofErr w:type="spellStart"/>
      <w:r w:rsidRPr="006E2669">
        <w:rPr>
          <w:rFonts w:ascii="Arial" w:eastAsia="Times New Roman" w:hAnsi="Arial" w:cs="Arial"/>
          <w:lang w:eastAsia="sr-Latn-RS"/>
        </w:rPr>
        <w:t>heksafluorid</w:t>
      </w:r>
      <w:proofErr w:type="spellEnd"/>
      <w:r w:rsidRPr="006E2669">
        <w:rPr>
          <w:rFonts w:ascii="Arial" w:eastAsia="Times New Roman" w:hAnsi="Arial" w:cs="Arial"/>
          <w:lang w:eastAsia="sr-Latn-RS"/>
        </w:rPr>
        <w:t xml:space="preserve"> (SF</w:t>
      </w:r>
      <w:r w:rsidRPr="006E2669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6</w:t>
      </w:r>
      <w:r w:rsidRPr="006E2669">
        <w:rPr>
          <w:rFonts w:ascii="Arial" w:eastAsia="Times New Roman" w:hAnsi="Arial" w:cs="Arial"/>
          <w:lang w:eastAsia="sr-Latn-RS"/>
        </w:rPr>
        <w:t xml:space="preserve">)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Azot </w:t>
      </w:r>
      <w:proofErr w:type="spellStart"/>
      <w:r w:rsidRPr="006E2669">
        <w:rPr>
          <w:rFonts w:ascii="Arial" w:eastAsia="Times New Roman" w:hAnsi="Arial" w:cs="Arial"/>
          <w:lang w:eastAsia="sr-Latn-RS"/>
        </w:rPr>
        <w:t>trifluorid</w:t>
      </w:r>
      <w:proofErr w:type="spellEnd"/>
      <w:r w:rsidRPr="006E2669">
        <w:rPr>
          <w:rFonts w:ascii="Arial" w:eastAsia="Times New Roman" w:hAnsi="Arial" w:cs="Arial"/>
          <w:lang w:eastAsia="sr-Latn-RS"/>
        </w:rPr>
        <w:t xml:space="preserve"> (NF</w:t>
      </w:r>
      <w:r w:rsidRPr="006E2669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3</w:t>
      </w:r>
      <w:r w:rsidRPr="006E2669">
        <w:rPr>
          <w:rFonts w:ascii="Arial" w:eastAsia="Times New Roman" w:hAnsi="Arial" w:cs="Arial"/>
          <w:lang w:eastAsia="sr-Latn-RS"/>
        </w:rPr>
        <w:t>)</w:t>
      </w:r>
      <w:r w:rsidRPr="006E2669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>1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>_________</w:t>
      </w:r>
      <w:r w:rsidRPr="006E2669">
        <w:rPr>
          <w:rFonts w:ascii="Arial" w:eastAsia="Times New Roman" w:hAnsi="Arial" w:cs="Arial"/>
          <w:lang w:eastAsia="sr-Latn-RS"/>
        </w:rPr>
        <w:br/>
      </w:r>
      <w:r w:rsidRPr="006E2669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>1</w:t>
      </w:r>
      <w:r w:rsidRPr="006E2669">
        <w:rPr>
          <w:rFonts w:ascii="Arial" w:eastAsia="Times New Roman" w:hAnsi="Arial" w:cs="Arial"/>
          <w:i/>
          <w:iCs/>
          <w:lang w:eastAsia="sr-Latn-RS"/>
        </w:rPr>
        <w:t xml:space="preserve"> Primenjuje se samo od početka drugog perioda obaveza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b/>
          <w:bCs/>
          <w:lang w:eastAsia="sr-Latn-RS"/>
        </w:rPr>
        <w:t>C. Član 3, stav 1 bis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Posle stava 1, člana 3. ovog protokola dodaje se sledeći stav: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"1 dodatak. Strane uključene u Aneks 1 će, pojedinačno ili zajednički, obezbediti da njihove ukupne </w:t>
      </w:r>
      <w:proofErr w:type="spellStart"/>
      <w:r w:rsidRPr="006E2669">
        <w:rPr>
          <w:rFonts w:ascii="Arial" w:eastAsia="Times New Roman" w:hAnsi="Arial" w:cs="Arial"/>
          <w:lang w:eastAsia="sr-Latn-RS"/>
        </w:rPr>
        <w:t>antropogene</w:t>
      </w:r>
      <w:proofErr w:type="spellEnd"/>
      <w:r w:rsidRPr="006E2669">
        <w:rPr>
          <w:rFonts w:ascii="Arial" w:eastAsia="Times New Roman" w:hAnsi="Arial" w:cs="Arial"/>
          <w:lang w:eastAsia="sr-Latn-RS"/>
        </w:rPr>
        <w:t xml:space="preserve"> emisije gasova sa efektom staklene bašte navedene u Aneksu A i izražene preko ekvivalenta ugljen dioksida, ne prelaze njihove dodeljene jedinice, izračunate preko </w:t>
      </w:r>
      <w:proofErr w:type="spellStart"/>
      <w:r w:rsidRPr="006E2669">
        <w:rPr>
          <w:rFonts w:ascii="Arial" w:eastAsia="Times New Roman" w:hAnsi="Arial" w:cs="Arial"/>
          <w:lang w:eastAsia="sr-Latn-RS"/>
        </w:rPr>
        <w:t>kvantifikovanih</w:t>
      </w:r>
      <w:proofErr w:type="spellEnd"/>
      <w:r w:rsidRPr="006E2669">
        <w:rPr>
          <w:rFonts w:ascii="Arial" w:eastAsia="Times New Roman" w:hAnsi="Arial" w:cs="Arial"/>
          <w:lang w:eastAsia="sr-Latn-RS"/>
        </w:rPr>
        <w:t xml:space="preserve"> obaveza ograničenja ili smanjenja emisija predstavljenih u trećoj koloni tabele iz Aneksa B i u skladu sa odredbama ovog člana, a u cilju ukupnog smanjenja emisija tih gasova za najmanje 18% u odnosu na emisije 1990. godine, u </w:t>
      </w:r>
      <w:proofErr w:type="spellStart"/>
      <w:r w:rsidRPr="006E2669">
        <w:rPr>
          <w:rFonts w:ascii="Arial" w:eastAsia="Times New Roman" w:hAnsi="Arial" w:cs="Arial"/>
          <w:lang w:eastAsia="sr-Latn-RS"/>
        </w:rPr>
        <w:t>obavezujućem</w:t>
      </w:r>
      <w:proofErr w:type="spellEnd"/>
      <w:r w:rsidRPr="006E2669">
        <w:rPr>
          <w:rFonts w:ascii="Arial" w:eastAsia="Times New Roman" w:hAnsi="Arial" w:cs="Arial"/>
          <w:lang w:eastAsia="sr-Latn-RS"/>
        </w:rPr>
        <w:t xml:space="preserve"> periodu od 2013. do 2020. godine.".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b/>
          <w:bCs/>
          <w:lang w:eastAsia="sr-Latn-RS"/>
        </w:rPr>
        <w:t>D. Član 3, stav 1 ter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Posle stava 1 bis člana 3. ovog protokola dodaje se sledeći stav: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"1 ter. Strana uključena u Aneks B može predložiti promenu kako bi smanjila procenat </w:t>
      </w:r>
      <w:proofErr w:type="spellStart"/>
      <w:r w:rsidRPr="006E2669">
        <w:rPr>
          <w:rFonts w:ascii="Arial" w:eastAsia="Times New Roman" w:hAnsi="Arial" w:cs="Arial"/>
          <w:lang w:eastAsia="sr-Latn-RS"/>
        </w:rPr>
        <w:t>kvantifikovane</w:t>
      </w:r>
      <w:proofErr w:type="spellEnd"/>
      <w:r w:rsidRPr="006E2669">
        <w:rPr>
          <w:rFonts w:ascii="Arial" w:eastAsia="Times New Roman" w:hAnsi="Arial" w:cs="Arial"/>
          <w:lang w:eastAsia="sr-Latn-RS"/>
        </w:rPr>
        <w:t xml:space="preserve"> obaveze ograničenja ili smanjenja emisija prikazanog u trećoj koloni Aneksa </w:t>
      </w:r>
      <w:r w:rsidRPr="006E2669">
        <w:rPr>
          <w:rFonts w:ascii="Arial" w:eastAsia="Times New Roman" w:hAnsi="Arial" w:cs="Arial"/>
          <w:lang w:eastAsia="sr-Latn-RS"/>
        </w:rPr>
        <w:lastRenderedPageBreak/>
        <w:t xml:space="preserve">B. Ovakav predlog Sekretarijat dostavlja Stranama, najkasnije tri meseca pre sastanka Konferencije Strana, koji služi i kao sastanak Strana ovog protokola, na kojem se predlaže za usvajanje.".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b/>
          <w:bCs/>
          <w:lang w:eastAsia="sr-Latn-RS"/>
        </w:rPr>
        <w:t xml:space="preserve">E. Član 3, stav 1 </w:t>
      </w:r>
      <w:proofErr w:type="spellStart"/>
      <w:r w:rsidRPr="006E2669">
        <w:rPr>
          <w:rFonts w:ascii="Arial" w:eastAsia="Times New Roman" w:hAnsi="Arial" w:cs="Arial"/>
          <w:b/>
          <w:bCs/>
          <w:lang w:eastAsia="sr-Latn-RS"/>
        </w:rPr>
        <w:t>quater</w:t>
      </w:r>
      <w:proofErr w:type="spellEnd"/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Posle stava 1 ter, člana 3. ovog protokola dodaje se sledeći stav: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"1 </w:t>
      </w:r>
      <w:proofErr w:type="spellStart"/>
      <w:r w:rsidRPr="006E2669">
        <w:rPr>
          <w:rFonts w:ascii="Arial" w:eastAsia="Times New Roman" w:hAnsi="Arial" w:cs="Arial"/>
          <w:lang w:eastAsia="sr-Latn-RS"/>
        </w:rPr>
        <w:t>quater</w:t>
      </w:r>
      <w:proofErr w:type="spellEnd"/>
      <w:r w:rsidRPr="006E2669">
        <w:rPr>
          <w:rFonts w:ascii="Arial" w:eastAsia="Times New Roman" w:hAnsi="Arial" w:cs="Arial"/>
          <w:lang w:eastAsia="sr-Latn-RS"/>
        </w:rPr>
        <w:t xml:space="preserve">. Konferencija Strana, koja služi i kao sastanak Strana ovog protokola, smatra usvojenom predloženu promenu Strane uključene u Aneks I da poveća cilj </w:t>
      </w:r>
      <w:proofErr w:type="spellStart"/>
      <w:r w:rsidRPr="006E2669">
        <w:rPr>
          <w:rFonts w:ascii="Arial" w:eastAsia="Times New Roman" w:hAnsi="Arial" w:cs="Arial"/>
          <w:lang w:eastAsia="sr-Latn-RS"/>
        </w:rPr>
        <w:t>kvantifikovane</w:t>
      </w:r>
      <w:proofErr w:type="spellEnd"/>
      <w:r w:rsidRPr="006E2669">
        <w:rPr>
          <w:rFonts w:ascii="Arial" w:eastAsia="Times New Roman" w:hAnsi="Arial" w:cs="Arial"/>
          <w:lang w:eastAsia="sr-Latn-RS"/>
        </w:rPr>
        <w:t xml:space="preserve"> obaveze ograničenja ili smanjenja emisija, u skladu sa članom 3, stav 1 ter, osim kada se više od tri četvrtine Strana, koje su prisutne i glasaju, protivi ovom usvajanju. Usvojene promene Sekretarijat dostavlja </w:t>
      </w:r>
      <w:proofErr w:type="spellStart"/>
      <w:r w:rsidRPr="006E2669">
        <w:rPr>
          <w:rFonts w:ascii="Arial" w:eastAsia="Times New Roman" w:hAnsi="Arial" w:cs="Arial"/>
          <w:lang w:eastAsia="sr-Latn-RS"/>
        </w:rPr>
        <w:t>Depozitaru</w:t>
      </w:r>
      <w:proofErr w:type="spellEnd"/>
      <w:r w:rsidRPr="006E2669">
        <w:rPr>
          <w:rFonts w:ascii="Arial" w:eastAsia="Times New Roman" w:hAnsi="Arial" w:cs="Arial"/>
          <w:lang w:eastAsia="sr-Latn-RS"/>
        </w:rPr>
        <w:t xml:space="preserve">, koji to prosleđuje svim Stranama, a promene stupaju na snagu 1. januara naredne godine u odnosu na godinu kada je obaveštenje dobijeno od </w:t>
      </w:r>
      <w:proofErr w:type="spellStart"/>
      <w:r w:rsidRPr="006E2669">
        <w:rPr>
          <w:rFonts w:ascii="Arial" w:eastAsia="Times New Roman" w:hAnsi="Arial" w:cs="Arial"/>
          <w:lang w:eastAsia="sr-Latn-RS"/>
        </w:rPr>
        <w:t>Depozitara</w:t>
      </w:r>
      <w:proofErr w:type="spellEnd"/>
      <w:r w:rsidRPr="006E2669">
        <w:rPr>
          <w:rFonts w:ascii="Arial" w:eastAsia="Times New Roman" w:hAnsi="Arial" w:cs="Arial"/>
          <w:lang w:eastAsia="sr-Latn-RS"/>
        </w:rPr>
        <w:t xml:space="preserve">. Takve promene su pravno obavezujuće Stranama.".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b/>
          <w:bCs/>
          <w:lang w:eastAsia="sr-Latn-RS"/>
        </w:rPr>
        <w:t>F. Član 3, stav 7 bis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Posle stava 7, člana 3. ovog protokola dodaje se sledeći stav: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"7 bis. U drugom </w:t>
      </w:r>
      <w:proofErr w:type="spellStart"/>
      <w:r w:rsidRPr="006E2669">
        <w:rPr>
          <w:rFonts w:ascii="Arial" w:eastAsia="Times New Roman" w:hAnsi="Arial" w:cs="Arial"/>
          <w:lang w:eastAsia="sr-Latn-RS"/>
        </w:rPr>
        <w:t>obavezujućem</w:t>
      </w:r>
      <w:proofErr w:type="spellEnd"/>
      <w:r w:rsidRPr="006E2669">
        <w:rPr>
          <w:rFonts w:ascii="Arial" w:eastAsia="Times New Roman" w:hAnsi="Arial" w:cs="Arial"/>
          <w:lang w:eastAsia="sr-Latn-RS"/>
        </w:rPr>
        <w:t xml:space="preserve"> periodu </w:t>
      </w:r>
      <w:proofErr w:type="spellStart"/>
      <w:r w:rsidRPr="006E2669">
        <w:rPr>
          <w:rFonts w:ascii="Arial" w:eastAsia="Times New Roman" w:hAnsi="Arial" w:cs="Arial"/>
          <w:lang w:eastAsia="sr-Latn-RS"/>
        </w:rPr>
        <w:t>kvantifikovanih</w:t>
      </w:r>
      <w:proofErr w:type="spellEnd"/>
      <w:r w:rsidRPr="006E2669">
        <w:rPr>
          <w:rFonts w:ascii="Arial" w:eastAsia="Times New Roman" w:hAnsi="Arial" w:cs="Arial"/>
          <w:lang w:eastAsia="sr-Latn-RS"/>
        </w:rPr>
        <w:t xml:space="preserve"> obaveza ograničenja ili smanjenja emisija, od 2013. do 2020. godine, dodeljena količina jedinica za svaku Stranu uključenu u Aneks I, jednaka je procentu, određenom za tu stranu u trećoj koloni tabele sadržane u Aneksu B, njenih ukupnih </w:t>
      </w:r>
      <w:proofErr w:type="spellStart"/>
      <w:r w:rsidRPr="006E2669">
        <w:rPr>
          <w:rFonts w:ascii="Arial" w:eastAsia="Times New Roman" w:hAnsi="Arial" w:cs="Arial"/>
          <w:lang w:eastAsia="sr-Latn-RS"/>
        </w:rPr>
        <w:t>antropogenih</w:t>
      </w:r>
      <w:proofErr w:type="spellEnd"/>
      <w:r w:rsidRPr="006E2669">
        <w:rPr>
          <w:rFonts w:ascii="Arial" w:eastAsia="Times New Roman" w:hAnsi="Arial" w:cs="Arial"/>
          <w:lang w:eastAsia="sr-Latn-RS"/>
        </w:rPr>
        <w:t xml:space="preserve"> emisija gasova sa efektom staklene bašte, izraženih kao ekvivalent ugljen dioksida, navedenih u Aneksu A iz 1990. godine, ili emisija bazne godine ili perioda određenih u skladu sa prethodnim stavom 5, pomnoženom sa 8. Strane uključene u Aneks I, za koje je promena korišćenja zemljišta i šumarstvo neto izvor emisija gasova sa efektom staklene bašte 1990. godine, uključiće u emisije za baznu 1990. godinu ili period ukupne </w:t>
      </w:r>
      <w:proofErr w:type="spellStart"/>
      <w:r w:rsidRPr="006E2669">
        <w:rPr>
          <w:rFonts w:ascii="Arial" w:eastAsia="Times New Roman" w:hAnsi="Arial" w:cs="Arial"/>
          <w:lang w:eastAsia="sr-Latn-RS"/>
        </w:rPr>
        <w:t>antropogene</w:t>
      </w:r>
      <w:proofErr w:type="spellEnd"/>
      <w:r w:rsidRPr="006E2669">
        <w:rPr>
          <w:rFonts w:ascii="Arial" w:eastAsia="Times New Roman" w:hAnsi="Arial" w:cs="Arial"/>
          <w:lang w:eastAsia="sr-Latn-RS"/>
        </w:rPr>
        <w:t xml:space="preserve"> emisije gasova, izražene kao ekvivalent ugljen dioksida, iz izvora minus odstranjene količine putem ponora iz 1990. godine, iz promene korišćenja zemljišta, za izračunavanje njihovih dodeljenih količina jedinica.".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b/>
          <w:bCs/>
          <w:lang w:eastAsia="sr-Latn-RS"/>
        </w:rPr>
        <w:t>G. Član 3, stav 7 ter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Posle stava 7 bis, člana 3. ovog protokola dodaje se sledeći stav: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"7 ter. Svaka pozitivna razlika između dodeljene količine za drugi obavezujući period za Stranu uključenu u Aneks I i prosečne godišnje emisije za prve tri godine prethodnog perioda pomnožena sa osam, prenosi se na račun otkazivanja te Strane.".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b/>
          <w:bCs/>
          <w:lang w:eastAsia="sr-Latn-RS"/>
        </w:rPr>
        <w:t xml:space="preserve">H. Član 3, stav 8.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U stavu 8, člana 3. ovog protokola, reči: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"proračun koji se odnosi na gore pomenuti stav 7."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zamenjuju se rečima: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"proračuni koji se odnose na gore navedeni stav 7. i 7 bis".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b/>
          <w:bCs/>
          <w:lang w:eastAsia="sr-Latn-RS"/>
        </w:rPr>
        <w:t xml:space="preserve">I. Član 3, stav 8 bis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Posle stava 8, člana 3. ovog protokola dodaje se sledeći stav: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lastRenderedPageBreak/>
        <w:t xml:space="preserve">"8 bis. Svaka Strana uključena u Aneks I može koristiti, za potrebe proračuna, 1995. ili 2000. godine kao svoju baznu godinu za azot </w:t>
      </w:r>
      <w:proofErr w:type="spellStart"/>
      <w:r w:rsidRPr="006E2669">
        <w:rPr>
          <w:rFonts w:ascii="Arial" w:eastAsia="Times New Roman" w:hAnsi="Arial" w:cs="Arial"/>
          <w:lang w:eastAsia="sr-Latn-RS"/>
        </w:rPr>
        <w:t>trifluorid</w:t>
      </w:r>
      <w:proofErr w:type="spellEnd"/>
      <w:r w:rsidRPr="006E2669">
        <w:rPr>
          <w:rFonts w:ascii="Arial" w:eastAsia="Times New Roman" w:hAnsi="Arial" w:cs="Arial"/>
          <w:lang w:eastAsia="sr-Latn-RS"/>
        </w:rPr>
        <w:t xml:space="preserve">, koji se odnosi na stav 7.".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b/>
          <w:bCs/>
          <w:lang w:eastAsia="sr-Latn-RS"/>
        </w:rPr>
        <w:t>J. Član 3, stavovi 12 bis i ter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Posle stava 12, člana 3. ovog protokola dodaju se sledeći stavovi: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"12 bis. Strane uključene u Aneks I mogu koristiti svaku jedinicu koja je proistekla iz tržišnih mehanizama, koji su uspostavljeni pod Konvencijom ili njenim instrumentima, kako bi postigle svoje </w:t>
      </w:r>
      <w:proofErr w:type="spellStart"/>
      <w:r w:rsidRPr="006E2669">
        <w:rPr>
          <w:rFonts w:ascii="Arial" w:eastAsia="Times New Roman" w:hAnsi="Arial" w:cs="Arial"/>
          <w:lang w:eastAsia="sr-Latn-RS"/>
        </w:rPr>
        <w:t>kvantifikovane</w:t>
      </w:r>
      <w:proofErr w:type="spellEnd"/>
      <w:r w:rsidRPr="006E2669">
        <w:rPr>
          <w:rFonts w:ascii="Arial" w:eastAsia="Times New Roman" w:hAnsi="Arial" w:cs="Arial"/>
          <w:lang w:eastAsia="sr-Latn-RS"/>
        </w:rPr>
        <w:t xml:space="preserve"> obaveze ograničenja ili smanjenja emisija iz člana 3. Svaka takva jedinica, koju Strana dobija od druge Strane Konvencije, dodaje se dodeljenoj količini jedinica za Stranu primaoca i oduzima od količine jedinica koje su u vlasništvu Strane davaoca.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12 ter. Konferencija Strana koja služi kao sastanak Strana Protokola, obezbeđuje da se, tamo gde se jedinice iz odobrenih aktivnosti tržišnih mehanizama kao što je definisano u stavu 12 bis koriste od Strane uključene u Aneks I za postizanje </w:t>
      </w:r>
      <w:proofErr w:type="spellStart"/>
      <w:r w:rsidRPr="006E2669">
        <w:rPr>
          <w:rFonts w:ascii="Arial" w:eastAsia="Times New Roman" w:hAnsi="Arial" w:cs="Arial"/>
          <w:lang w:eastAsia="sr-Latn-RS"/>
        </w:rPr>
        <w:t>kvantifikovanih</w:t>
      </w:r>
      <w:proofErr w:type="spellEnd"/>
      <w:r w:rsidRPr="006E2669">
        <w:rPr>
          <w:rFonts w:ascii="Arial" w:eastAsia="Times New Roman" w:hAnsi="Arial" w:cs="Arial"/>
          <w:lang w:eastAsia="sr-Latn-RS"/>
        </w:rPr>
        <w:t xml:space="preserve"> obaveza ograničenja ili smanjenja emisija iz člana 3, deo jedinica koristi za pokrivanje administrativnih troškova, kao i za pomoć Stranama koje su zemlje u razvoju i koje su posebno pogođene negativnim uticajima promene klime kako bi pokrile troškove adaptacije, ako su ove jedinice stečene u skladu sa članom 17.".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b/>
          <w:bCs/>
          <w:lang w:eastAsia="sr-Latn-RS"/>
        </w:rPr>
        <w:t>K. Član 4, stav 2.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Na kraju prve rečenice stava 2, člana 4. Protokola dodaju se reči: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"ili na dan deponovanja svih instrumenata o prihvatanju bilo kog amandmana na Aneks B, u skladu sa članom 3, stav 9.".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b/>
          <w:bCs/>
          <w:lang w:eastAsia="sr-Latn-RS"/>
        </w:rPr>
        <w:t>L. Član 4, stav 3.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U stavu 3, člana 4. ovog protokola, reči: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"stav 7"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zamenjuju se rečima: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"na koji se odnosi".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b/>
          <w:bCs/>
          <w:lang w:eastAsia="sr-Latn-RS"/>
        </w:rPr>
        <w:t>Član 2: Stupanje na snagu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Ovaj amandman stupa na snagu u skladu sa čl. 20. i 21. </w:t>
      </w:r>
      <w:proofErr w:type="spellStart"/>
      <w:r w:rsidRPr="006E2669">
        <w:rPr>
          <w:rFonts w:ascii="Arial" w:eastAsia="Times New Roman" w:hAnsi="Arial" w:cs="Arial"/>
          <w:lang w:eastAsia="sr-Latn-RS"/>
        </w:rPr>
        <w:t>Kjoto</w:t>
      </w:r>
      <w:proofErr w:type="spellEnd"/>
      <w:r w:rsidRPr="006E2669">
        <w:rPr>
          <w:rFonts w:ascii="Arial" w:eastAsia="Times New Roman" w:hAnsi="Arial" w:cs="Arial"/>
          <w:lang w:eastAsia="sr-Latn-RS"/>
        </w:rPr>
        <w:t xml:space="preserve"> Protokola. </w:t>
      </w:r>
    </w:p>
    <w:p w:rsidR="006E2669" w:rsidRPr="006E2669" w:rsidRDefault="006E2669" w:rsidP="006E266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6E2669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Za sprovođenje međunarodnih obaveza preuzetih ovim zakonom, nadležno je ministarstvo nadležno za poslove zaštite životne sredine. </w:t>
      </w:r>
    </w:p>
    <w:p w:rsidR="006E2669" w:rsidRPr="006E2669" w:rsidRDefault="006E2669" w:rsidP="006E266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6E2669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6E2669" w:rsidRPr="006E2669" w:rsidRDefault="006E2669" w:rsidP="006E26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E2669">
        <w:rPr>
          <w:rFonts w:ascii="Arial" w:eastAsia="Times New Roman" w:hAnsi="Arial" w:cs="Arial"/>
          <w:lang w:eastAsia="sr-Latn-RS"/>
        </w:rPr>
        <w:t xml:space="preserve">Ovaj zakon stupa na snagu osmog dana od dana objavljivanja u "Službenom glasniku Republike Srbije - Međunarodni ugovori". </w:t>
      </w:r>
    </w:p>
    <w:p w:rsidR="00A13ECC" w:rsidRDefault="00A13ECC"/>
    <w:sectPr w:rsidR="00A13EC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69"/>
    <w:rsid w:val="006E2669"/>
    <w:rsid w:val="00A13ECC"/>
    <w:rsid w:val="00ED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6E266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6E2669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6E266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6E266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6E266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naslov2">
    <w:name w:val="naslov2"/>
    <w:basedOn w:val="Normal"/>
    <w:rsid w:val="006E26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podnaslovpropisa">
    <w:name w:val="podnaslovpropisa"/>
    <w:basedOn w:val="Normal"/>
    <w:rsid w:val="006E266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character" w:customStyle="1" w:styleId="stepen1">
    <w:name w:val="stepen1"/>
    <w:basedOn w:val="Podrazumevanifontpasusa"/>
    <w:rsid w:val="006E2669"/>
    <w:rPr>
      <w:sz w:val="15"/>
      <w:szCs w:val="15"/>
      <w:vertAlign w:val="superscript"/>
    </w:rPr>
  </w:style>
  <w:style w:type="character" w:customStyle="1" w:styleId="indeks1">
    <w:name w:val="indeks1"/>
    <w:basedOn w:val="Podrazumevanifontpasusa"/>
    <w:rsid w:val="006E2669"/>
    <w:rPr>
      <w:sz w:val="15"/>
      <w:szCs w:val="15"/>
      <w:vertAlign w:val="subscript"/>
    </w:rPr>
  </w:style>
  <w:style w:type="paragraph" w:styleId="Naslov">
    <w:name w:val="Title"/>
    <w:basedOn w:val="Normal"/>
    <w:next w:val="Normal"/>
    <w:link w:val="NaslovChar"/>
    <w:uiPriority w:val="10"/>
    <w:qFormat/>
    <w:rsid w:val="00ED15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ED15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D15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ED15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6E266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6E2669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6E266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6E266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6E266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naslov2">
    <w:name w:val="naslov2"/>
    <w:basedOn w:val="Normal"/>
    <w:rsid w:val="006E26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podnaslovpropisa">
    <w:name w:val="podnaslovpropisa"/>
    <w:basedOn w:val="Normal"/>
    <w:rsid w:val="006E266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character" w:customStyle="1" w:styleId="stepen1">
    <w:name w:val="stepen1"/>
    <w:basedOn w:val="Podrazumevanifontpasusa"/>
    <w:rsid w:val="006E2669"/>
    <w:rPr>
      <w:sz w:val="15"/>
      <w:szCs w:val="15"/>
      <w:vertAlign w:val="superscript"/>
    </w:rPr>
  </w:style>
  <w:style w:type="character" w:customStyle="1" w:styleId="indeks1">
    <w:name w:val="indeks1"/>
    <w:basedOn w:val="Podrazumevanifontpasusa"/>
    <w:rsid w:val="006E2669"/>
    <w:rPr>
      <w:sz w:val="15"/>
      <w:szCs w:val="15"/>
      <w:vertAlign w:val="subscript"/>
    </w:rPr>
  </w:style>
  <w:style w:type="paragraph" w:styleId="Naslov">
    <w:name w:val="Title"/>
    <w:basedOn w:val="Normal"/>
    <w:next w:val="Normal"/>
    <w:link w:val="NaslovChar"/>
    <w:uiPriority w:val="10"/>
    <w:qFormat/>
    <w:rsid w:val="00ED15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ED15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D15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ED15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2017-05-11T09:08:00Z</dcterms:created>
  <dcterms:modified xsi:type="dcterms:W3CDTF">2018-09-07T07:19:00Z</dcterms:modified>
</cp:coreProperties>
</file>