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3D" w:rsidRPr="00970B3D" w:rsidRDefault="00970B3D" w:rsidP="00970B3D">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70B3D">
        <w:rPr>
          <w:rFonts w:asciiTheme="majorHAnsi" w:hAnsiTheme="majorHAnsi" w:cstheme="majorBidi"/>
          <w:color w:val="17365D" w:themeColor="text2" w:themeShade="BF"/>
          <w:lang w:eastAsia="sr-Latn-RS"/>
        </w:rPr>
        <w:t>UREDBA</w:t>
      </w:r>
    </w:p>
    <w:p w:rsidR="00970B3D" w:rsidRPr="00970B3D" w:rsidRDefault="00970B3D" w:rsidP="00970B3D">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70B3D">
        <w:rPr>
          <w:rFonts w:asciiTheme="majorHAnsi" w:hAnsiTheme="majorHAnsi" w:cstheme="majorBidi"/>
          <w:color w:val="17365D" w:themeColor="text2" w:themeShade="BF"/>
          <w:lang w:eastAsia="sr-Latn-RS"/>
        </w:rPr>
        <w:t>O GRANIČNIM VREDNOSTIMA ZAGAĐUJUĆIH MATERIJA U POVRŠINSKIM I PODZEMNIM VODAMA I SEDIMENTU I ROKOVIMA ZA NJIHOVO DOSTIZANJE</w:t>
      </w:r>
    </w:p>
    <w:p w:rsidR="00970B3D" w:rsidRPr="00970B3D" w:rsidRDefault="00970B3D" w:rsidP="00970B3D">
      <w:pPr>
        <w:pStyle w:val="Podnaslov"/>
        <w:numPr>
          <w:ilvl w:val="0"/>
          <w:numId w:val="0"/>
        </w:numPr>
        <w:jc w:val="center"/>
        <w:rPr>
          <w:rFonts w:asciiTheme="majorHAnsi" w:hAnsiTheme="majorHAnsi" w:cstheme="majorBidi"/>
          <w:color w:val="4F81BD" w:themeColor="accent1"/>
          <w:lang w:eastAsia="sr-Latn-RS"/>
        </w:rPr>
      </w:pPr>
      <w:r w:rsidRPr="00970B3D">
        <w:rPr>
          <w:rFonts w:asciiTheme="majorHAnsi" w:hAnsiTheme="majorHAnsi" w:cstheme="majorBidi"/>
          <w:color w:val="4F81BD" w:themeColor="accent1"/>
          <w:lang w:eastAsia="sr-Latn-RS"/>
        </w:rPr>
        <w:t>("Sl. glasnik RS", br. 50/2012)</w:t>
      </w:r>
    </w:p>
    <w:p w:rsidR="000A4F4F" w:rsidRPr="000A4F4F" w:rsidRDefault="000A4F4F" w:rsidP="00970B3D">
      <w:pPr>
        <w:spacing w:after="0" w:line="240" w:lineRule="auto"/>
        <w:rPr>
          <w:rFonts w:ascii="Arial" w:eastAsia="Times New Roman" w:hAnsi="Arial" w:cs="Arial"/>
          <w:noProof w:val="0"/>
          <w:sz w:val="26"/>
          <w:szCs w:val="26"/>
          <w:lang w:val="sr-Latn-RS"/>
        </w:rPr>
      </w:pPr>
      <w:bookmarkStart w:id="0" w:name="_GoBack"/>
      <w:bookmarkEnd w:id="0"/>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1" w:name="str_1"/>
      <w:bookmarkEnd w:id="1"/>
      <w:r w:rsidRPr="000A4F4F">
        <w:rPr>
          <w:rFonts w:ascii="Arial" w:eastAsia="Times New Roman" w:hAnsi="Arial" w:cs="Arial"/>
          <w:noProof w:val="0"/>
          <w:sz w:val="31"/>
          <w:szCs w:val="31"/>
          <w:lang w:val="sr-Latn-RS"/>
        </w:rPr>
        <w:t xml:space="preserve">I UVODNE ODREDBE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2" w:name="clan_1"/>
      <w:bookmarkEnd w:id="2"/>
      <w:r w:rsidRPr="000A4F4F">
        <w:rPr>
          <w:rFonts w:ascii="Arial" w:eastAsia="Times New Roman" w:hAnsi="Arial" w:cs="Arial"/>
          <w:b/>
          <w:bCs/>
          <w:noProof w:val="0"/>
          <w:sz w:val="24"/>
          <w:szCs w:val="24"/>
          <w:lang w:val="sr-Latn-RS"/>
        </w:rPr>
        <w:t xml:space="preserve">Član 1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Ovom uredbom utvrđuju se granične vrednosti zagađujućih supstanci (u daljem tekstu: zagađujuća materija) u površinskim i podzemnim vodama i sedimentu, kao i rokovi za njihovo dostizanje.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3" w:name="clan_2"/>
      <w:bookmarkEnd w:id="3"/>
      <w:r w:rsidRPr="000A4F4F">
        <w:rPr>
          <w:rFonts w:ascii="Arial" w:eastAsia="Times New Roman" w:hAnsi="Arial" w:cs="Arial"/>
          <w:b/>
          <w:bCs/>
          <w:noProof w:val="0"/>
          <w:sz w:val="24"/>
          <w:szCs w:val="24"/>
          <w:lang w:val="sr-Latn-RS"/>
        </w:rPr>
        <w:t xml:space="preserve">Član 2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Pojedini izrazi koji su upotrebljeni u ovoj uredbi imaju sledeće značenje: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r w:rsidRPr="000A4F4F">
        <w:rPr>
          <w:rFonts w:ascii="Arial" w:eastAsia="Times New Roman" w:hAnsi="Arial" w:cs="Arial"/>
          <w:i/>
          <w:iCs/>
          <w:noProof w:val="0"/>
          <w:lang w:val="sr-Latn-RS"/>
        </w:rPr>
        <w:t>verifikacioni nivo</w:t>
      </w:r>
      <w:r w:rsidRPr="000A4F4F">
        <w:rPr>
          <w:rFonts w:ascii="Arial" w:eastAsia="Times New Roman" w:hAnsi="Arial" w:cs="Arial"/>
          <w:noProof w:val="0"/>
          <w:lang w:val="sr-Latn-RS"/>
        </w:rPr>
        <w:t xml:space="preserve"> jeste tip granične vrednosti zagađujuće materije u sedimentu na osnovu koje se vrši ocena kvaliteta sedimenta prilikom njegovog izmuljavanja, u cilju utvrđivanja načina postupanja sa izmuljenim sedimentom i njegova vrednost je ≥ vrednosti limita, a kreće se u rasponu između ciljne i remedijacione vrednosti;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 </w:t>
      </w:r>
      <w:r w:rsidRPr="000A4F4F">
        <w:rPr>
          <w:rFonts w:ascii="Arial" w:eastAsia="Times New Roman" w:hAnsi="Arial" w:cs="Arial"/>
          <w:i/>
          <w:iCs/>
          <w:noProof w:val="0"/>
          <w:lang w:val="sr-Latn-RS"/>
        </w:rPr>
        <w:t>vrednost limita</w:t>
      </w:r>
      <w:r w:rsidRPr="000A4F4F">
        <w:rPr>
          <w:rFonts w:ascii="Arial" w:eastAsia="Times New Roman" w:hAnsi="Arial" w:cs="Arial"/>
          <w:noProof w:val="0"/>
          <w:lang w:val="sr-Latn-RS"/>
        </w:rPr>
        <w:t xml:space="preserve"> jeste tip granične vrednosti zagađujuće materije u sedimentu na osnovu koje se vrši ocena kvaliteta sedimenta prilikom njegovog izmuljavanja, u cilju utvrđivanja načina postupanja sa izmuljenim sedimentom i njegova vrednost je ≤ verifikacionom nivou, a kreće se u rasponu između ciljne i remedijacione vrednosti;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 </w:t>
      </w:r>
      <w:r w:rsidRPr="000A4F4F">
        <w:rPr>
          <w:rFonts w:ascii="Arial" w:eastAsia="Times New Roman" w:hAnsi="Arial" w:cs="Arial"/>
          <w:i/>
          <w:iCs/>
          <w:noProof w:val="0"/>
          <w:lang w:val="sr-Latn-RS"/>
        </w:rPr>
        <w:t>granična vrednost</w:t>
      </w:r>
      <w:r w:rsidRPr="000A4F4F">
        <w:rPr>
          <w:rFonts w:ascii="Arial" w:eastAsia="Times New Roman" w:hAnsi="Arial" w:cs="Arial"/>
          <w:noProof w:val="0"/>
          <w:lang w:val="sr-Latn-RS"/>
        </w:rPr>
        <w:t xml:space="preserve"> jeste standard kvaliteta životne sredine izražen kao koncentracija pojedinačne zagađujuće materije ili grupe zagađujućih materija ili indikatora zagađivanja u površinskoj i podzemnoj vodi i sedimentu, koja ne sme da bude prekoračena u cilju zaštite životne sredine i zdravlja ljudi. Granične vrednosti koje se koriste za prioritetne supstance u površinskim vodama su maksimalno dozvoljene koncentracije (MDK) i prosečne godišnje koncentracije (PGK), granična vrednost zagađujućih materija u podzemnim vodama je prosečna godišnja koncentracija (PGK), a granične vrednosti zagađujućih materija za ocenu kvaliteta </w:t>
      </w:r>
      <w:r w:rsidRPr="000A4F4F">
        <w:rPr>
          <w:rFonts w:ascii="Arial" w:eastAsia="Times New Roman" w:hAnsi="Arial" w:cs="Arial"/>
          <w:noProof w:val="0"/>
          <w:lang w:val="sr-Latn-RS"/>
        </w:rPr>
        <w:lastRenderedPageBreak/>
        <w:t xml:space="preserve">sedimenta su: ciljna vrednost, maksimalno dozvoljena koncentracija, remedijaciona vrednost, vrednost limita i verifikacioni nivo;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 </w:t>
      </w:r>
      <w:r w:rsidRPr="000A4F4F">
        <w:rPr>
          <w:rFonts w:ascii="Arial" w:eastAsia="Times New Roman" w:hAnsi="Arial" w:cs="Arial"/>
          <w:i/>
          <w:iCs/>
          <w:noProof w:val="0"/>
          <w:lang w:val="sr-Latn-RS"/>
        </w:rPr>
        <w:t>eutrofikacija</w:t>
      </w:r>
      <w:r w:rsidRPr="000A4F4F">
        <w:rPr>
          <w:rFonts w:ascii="Arial" w:eastAsia="Times New Roman" w:hAnsi="Arial" w:cs="Arial"/>
          <w:noProof w:val="0"/>
          <w:lang w:val="sr-Latn-RS"/>
        </w:rPr>
        <w:t xml:space="preserve"> jeste obogaćivanje površinske vode nutrijentima, naročito jedinjenjima azota i/ili fosfora, koje uzrokuje ubrzan rast algi i viših oblika biljnog života, stvarajući nepoželjan poremećaj ravnoteže organizama prisutnih u vodi i kvaliteta te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 </w:t>
      </w:r>
      <w:r w:rsidRPr="000A4F4F">
        <w:rPr>
          <w:rFonts w:ascii="Arial" w:eastAsia="Times New Roman" w:hAnsi="Arial" w:cs="Arial"/>
          <w:i/>
          <w:iCs/>
          <w:noProof w:val="0"/>
          <w:lang w:val="sr-Latn-RS"/>
        </w:rPr>
        <w:t>indikator</w:t>
      </w:r>
      <w:r w:rsidRPr="000A4F4F">
        <w:rPr>
          <w:rFonts w:ascii="Arial" w:eastAsia="Times New Roman" w:hAnsi="Arial" w:cs="Arial"/>
          <w:noProof w:val="0"/>
          <w:lang w:val="sr-Latn-RS"/>
        </w:rPr>
        <w:t xml:space="preserve"> jeste jedan ili skup više parametara kvaliteta podzemne vode koji ukazuje na postojeći status i trendove u kvalitetu podzemne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 </w:t>
      </w:r>
      <w:r w:rsidRPr="000A4F4F">
        <w:rPr>
          <w:rFonts w:ascii="Arial" w:eastAsia="Times New Roman" w:hAnsi="Arial" w:cs="Arial"/>
          <w:i/>
          <w:iCs/>
          <w:noProof w:val="0"/>
          <w:lang w:val="sr-Latn-RS"/>
        </w:rPr>
        <w:t>indirektno ispuštanje u podzemnu vodu</w:t>
      </w:r>
      <w:r w:rsidRPr="000A4F4F">
        <w:rPr>
          <w:rFonts w:ascii="Arial" w:eastAsia="Times New Roman" w:hAnsi="Arial" w:cs="Arial"/>
          <w:noProof w:val="0"/>
          <w:lang w:val="sr-Latn-RS"/>
        </w:rPr>
        <w:t xml:space="preserve"> jeste ispuštanje zagađujućih materija u podzemnu vodu nakon proceđivanja kroz površinske i podzemne slojeve zemljišta;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 </w:t>
      </w:r>
      <w:r w:rsidRPr="000A4F4F">
        <w:rPr>
          <w:rFonts w:ascii="Arial" w:eastAsia="Times New Roman" w:hAnsi="Arial" w:cs="Arial"/>
          <w:i/>
          <w:iCs/>
          <w:noProof w:val="0"/>
          <w:lang w:val="sr-Latn-RS"/>
        </w:rPr>
        <w:t>istraživački monitoring sedimenta</w:t>
      </w:r>
      <w:r w:rsidRPr="000A4F4F">
        <w:rPr>
          <w:rFonts w:ascii="Arial" w:eastAsia="Times New Roman" w:hAnsi="Arial" w:cs="Arial"/>
          <w:noProof w:val="0"/>
          <w:lang w:val="sr-Latn-RS"/>
        </w:rPr>
        <w:t xml:space="preserve"> jeste monitoring koji se sprovodi u cilju utvrđivanja razloga prekoračenja maksimalno dozvoljenih koncentracija zagađujućih materija i u okviru koga se prate štetni ekotoksični efekti na rezidencijalnu biotu i izluživanje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 </w:t>
      </w:r>
      <w:r w:rsidRPr="000A4F4F">
        <w:rPr>
          <w:rFonts w:ascii="Arial" w:eastAsia="Times New Roman" w:hAnsi="Arial" w:cs="Arial"/>
          <w:i/>
          <w:iCs/>
          <w:noProof w:val="0"/>
          <w:lang w:val="sr-Latn-RS"/>
        </w:rPr>
        <w:t>korisnici podzemnih voda</w:t>
      </w:r>
      <w:r w:rsidRPr="000A4F4F">
        <w:rPr>
          <w:rFonts w:ascii="Arial" w:eastAsia="Times New Roman" w:hAnsi="Arial" w:cs="Arial"/>
          <w:noProof w:val="0"/>
          <w:lang w:val="sr-Latn-RS"/>
        </w:rPr>
        <w:t xml:space="preserve"> jesu pravna lica, preduzetnici i fizička lica koji na bilo koji način utiču na kvalitet i količinu podzemnih voda;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9) </w:t>
      </w:r>
      <w:r w:rsidRPr="000A4F4F">
        <w:rPr>
          <w:rFonts w:ascii="Arial" w:eastAsia="Times New Roman" w:hAnsi="Arial" w:cs="Arial"/>
          <w:i/>
          <w:iCs/>
          <w:noProof w:val="0"/>
          <w:lang w:val="sr-Latn-RS"/>
        </w:rPr>
        <w:t>maksimalno dozvoljena koncentracija (MDK)</w:t>
      </w:r>
      <w:r w:rsidRPr="000A4F4F">
        <w:rPr>
          <w:rFonts w:ascii="Arial" w:eastAsia="Times New Roman" w:hAnsi="Arial" w:cs="Arial"/>
          <w:noProof w:val="0"/>
          <w:lang w:val="sr-Latn-RS"/>
        </w:rPr>
        <w:t xml:space="preserve"> jeste maksimalna koncentracija pojedinačne zagađujuće materije ili grupe zagađujućih materija u površinskim vodama koja ne sme da bude prekoračena u cilju sprečavanja ozbiljnih nepovratnih posledica za ekosisteme, a za sediment maksimalno dozvoljena koncentracija je koncentracija pojedinačne zagađujuće materije ili grupe zagađujućih materija iznad koje su negativni uticaji na okolinu verovatni;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r w:rsidRPr="000A4F4F">
        <w:rPr>
          <w:rFonts w:ascii="Arial" w:eastAsia="Times New Roman" w:hAnsi="Arial" w:cs="Arial"/>
          <w:i/>
          <w:iCs/>
          <w:noProof w:val="0"/>
          <w:lang w:val="sr-Latn-RS"/>
        </w:rPr>
        <w:t>nadzorni monitoring</w:t>
      </w:r>
      <w:r w:rsidRPr="000A4F4F">
        <w:rPr>
          <w:rFonts w:ascii="Arial" w:eastAsia="Times New Roman" w:hAnsi="Arial" w:cs="Arial"/>
          <w:noProof w:val="0"/>
          <w:lang w:val="sr-Latn-RS"/>
        </w:rPr>
        <w:t xml:space="preserve"> jeste monitoring koji se vrši radi obezbeđenja kompletnog pregleda statusa voda i davanja informacija o dugoročnim pravcima promena u kvalitetu voda;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11) </w:t>
      </w:r>
      <w:r w:rsidRPr="000A4F4F">
        <w:rPr>
          <w:rFonts w:ascii="Arial" w:eastAsia="Times New Roman" w:hAnsi="Arial" w:cs="Arial"/>
          <w:i/>
          <w:iCs/>
          <w:noProof w:val="0"/>
          <w:lang w:val="sr-Latn-RS"/>
        </w:rPr>
        <w:t>osnovni (nulti) nivo</w:t>
      </w:r>
      <w:r w:rsidRPr="000A4F4F">
        <w:rPr>
          <w:rFonts w:ascii="Arial" w:eastAsia="Times New Roman" w:hAnsi="Arial" w:cs="Arial"/>
          <w:noProof w:val="0"/>
          <w:lang w:val="sr-Latn-RS"/>
        </w:rPr>
        <w:t xml:space="preserve"> jeste prosečna vrednost parametra u podzemnim vodama merena svake godine u vremenskom periodu od najmanje 5 godina i služi za utvrđivanje granične vrednosti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12) </w:t>
      </w:r>
      <w:r w:rsidRPr="000A4F4F">
        <w:rPr>
          <w:rFonts w:ascii="Arial" w:eastAsia="Times New Roman" w:hAnsi="Arial" w:cs="Arial"/>
          <w:i/>
          <w:iCs/>
          <w:noProof w:val="0"/>
          <w:lang w:val="sr-Latn-RS"/>
        </w:rPr>
        <w:t>prosečna godišnja koncentracija (PGK)</w:t>
      </w:r>
      <w:r w:rsidRPr="000A4F4F">
        <w:rPr>
          <w:rFonts w:ascii="Arial" w:eastAsia="Times New Roman" w:hAnsi="Arial" w:cs="Arial"/>
          <w:noProof w:val="0"/>
          <w:lang w:val="sr-Latn-RS"/>
        </w:rPr>
        <w:t xml:space="preserve"> jeste prosečna vrednost koncentracija izmerenih u toku godine za pojedine zagađujuće materije ili grupe zagađujućih materija u površinskim i podzemnim vodama koja ne sme da se prekorači u cilju sprečavanja ozbiljnih nepovratnih dugoročnih posledica za ekosisteme;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13) </w:t>
      </w:r>
      <w:r w:rsidRPr="000A4F4F">
        <w:rPr>
          <w:rFonts w:ascii="Arial" w:eastAsia="Times New Roman" w:hAnsi="Arial" w:cs="Arial"/>
          <w:i/>
          <w:iCs/>
          <w:noProof w:val="0"/>
          <w:lang w:val="sr-Latn-RS"/>
        </w:rPr>
        <w:t>prirodni nivo (PN)</w:t>
      </w:r>
      <w:r w:rsidRPr="000A4F4F">
        <w:rPr>
          <w:rFonts w:ascii="Arial" w:eastAsia="Times New Roman" w:hAnsi="Arial" w:cs="Arial"/>
          <w:noProof w:val="0"/>
          <w:lang w:val="sr-Latn-RS"/>
        </w:rPr>
        <w:t xml:space="preserve"> jeste koncentracija zagađujuće materije koja odgovara takvom stanju tela podzemne vode čiji nenarušeni uslovi ne podležu promenama koje su posledica antropogenog dejstva ili su te promene vrlo male;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14) </w:t>
      </w:r>
      <w:r w:rsidRPr="000A4F4F">
        <w:rPr>
          <w:rFonts w:ascii="Arial" w:eastAsia="Times New Roman" w:hAnsi="Arial" w:cs="Arial"/>
          <w:i/>
          <w:iCs/>
          <w:noProof w:val="0"/>
          <w:lang w:val="sr-Latn-RS"/>
        </w:rPr>
        <w:t>rezidencijalna biota</w:t>
      </w:r>
      <w:r w:rsidRPr="000A4F4F">
        <w:rPr>
          <w:rFonts w:ascii="Arial" w:eastAsia="Times New Roman" w:hAnsi="Arial" w:cs="Arial"/>
          <w:noProof w:val="0"/>
          <w:lang w:val="sr-Latn-RS"/>
        </w:rPr>
        <w:t xml:space="preserve"> jesu originalni ili autohtoni stanovnici nekog područja odnosno prirodno prisutne biotičke komponente (flora i fauna) nekog ekosistema, bioma ili staništa;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r w:rsidRPr="000A4F4F">
        <w:rPr>
          <w:rFonts w:ascii="Arial" w:eastAsia="Times New Roman" w:hAnsi="Arial" w:cs="Arial"/>
          <w:i/>
          <w:iCs/>
          <w:noProof w:val="0"/>
          <w:lang w:val="sr-Latn-RS"/>
        </w:rPr>
        <w:t>remedijacija</w:t>
      </w:r>
      <w:r w:rsidRPr="000A4F4F">
        <w:rPr>
          <w:rFonts w:ascii="Arial" w:eastAsia="Times New Roman" w:hAnsi="Arial" w:cs="Arial"/>
          <w:noProof w:val="0"/>
          <w:lang w:val="sr-Latn-RS"/>
        </w:rPr>
        <w:t xml:space="preserve"> jeste proces preduzimanja mera za sprečavanje i uklanjanje zagađenja iz sedimenta i dovođenja njegovog kvaliteta do nivoa koji je bezbedan za buduće korišćenje;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16) </w:t>
      </w:r>
      <w:r w:rsidRPr="000A4F4F">
        <w:rPr>
          <w:rFonts w:ascii="Arial" w:eastAsia="Times New Roman" w:hAnsi="Arial" w:cs="Arial"/>
          <w:i/>
          <w:iCs/>
          <w:noProof w:val="0"/>
          <w:lang w:val="sr-Latn-RS"/>
        </w:rPr>
        <w:t>remedijaciona vrednost</w:t>
      </w:r>
      <w:r w:rsidRPr="000A4F4F">
        <w:rPr>
          <w:rFonts w:ascii="Arial" w:eastAsia="Times New Roman" w:hAnsi="Arial" w:cs="Arial"/>
          <w:noProof w:val="0"/>
          <w:lang w:val="sr-Latn-RS"/>
        </w:rPr>
        <w:t xml:space="preserve"> jeste granična vrednost za koncentraciju zagađujuće materije u sedimentu iznad koje postoji rizik po akvatični ekosistem i zdravlje ljudi i životinja koji nije prihvatljiv;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17) </w:t>
      </w:r>
      <w:r w:rsidRPr="000A4F4F">
        <w:rPr>
          <w:rFonts w:ascii="Arial" w:eastAsia="Times New Roman" w:hAnsi="Arial" w:cs="Arial"/>
          <w:i/>
          <w:iCs/>
          <w:noProof w:val="0"/>
          <w:lang w:val="sr-Latn-RS"/>
        </w:rPr>
        <w:t>sediment</w:t>
      </w:r>
      <w:r w:rsidRPr="000A4F4F">
        <w:rPr>
          <w:rFonts w:ascii="Arial" w:eastAsia="Times New Roman" w:hAnsi="Arial" w:cs="Arial"/>
          <w:noProof w:val="0"/>
          <w:lang w:val="sr-Latn-RS"/>
        </w:rPr>
        <w:t xml:space="preserve"> jeste esencijalna, dinamička čvrsta komponenta svih vodenih ekosistema koja, zbog snažno izražene tendencije vezivanja zagađujućih materija, predstavlja rezervoar toksičnih i perzistentnih jedinjenja antropogenog porekla;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18) </w:t>
      </w:r>
      <w:r w:rsidRPr="000A4F4F">
        <w:rPr>
          <w:rFonts w:ascii="Arial" w:eastAsia="Times New Roman" w:hAnsi="Arial" w:cs="Arial"/>
          <w:i/>
          <w:iCs/>
          <w:noProof w:val="0"/>
          <w:lang w:val="sr-Latn-RS"/>
        </w:rPr>
        <w:t>unos zagađujućih materija u podzemne vode</w:t>
      </w:r>
      <w:r w:rsidRPr="000A4F4F">
        <w:rPr>
          <w:rFonts w:ascii="Arial" w:eastAsia="Times New Roman" w:hAnsi="Arial" w:cs="Arial"/>
          <w:noProof w:val="0"/>
          <w:lang w:val="sr-Latn-RS"/>
        </w:rPr>
        <w:t xml:space="preserve"> jeste direktno ili indirektno unošenje u podzemnu vodu zagađujućih materija koje su rezultat ljudske aktivnosti;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19) </w:t>
      </w:r>
      <w:r w:rsidRPr="000A4F4F">
        <w:rPr>
          <w:rFonts w:ascii="Arial" w:eastAsia="Times New Roman" w:hAnsi="Arial" w:cs="Arial"/>
          <w:i/>
          <w:iCs/>
          <w:noProof w:val="0"/>
          <w:lang w:val="sr-Latn-RS"/>
        </w:rPr>
        <w:t>hidrološka godina</w:t>
      </w:r>
      <w:r w:rsidRPr="000A4F4F">
        <w:rPr>
          <w:rFonts w:ascii="Arial" w:eastAsia="Times New Roman" w:hAnsi="Arial" w:cs="Arial"/>
          <w:noProof w:val="0"/>
          <w:lang w:val="sr-Latn-RS"/>
        </w:rPr>
        <w:t xml:space="preserve"> jeste razdoblje punog hidrološkog ciklusa u trajanju od 12 meseci;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r w:rsidRPr="000A4F4F">
        <w:rPr>
          <w:rFonts w:ascii="Arial" w:eastAsia="Times New Roman" w:hAnsi="Arial" w:cs="Arial"/>
          <w:i/>
          <w:iCs/>
          <w:noProof w:val="0"/>
          <w:lang w:val="sr-Latn-RS"/>
        </w:rPr>
        <w:t>ciljna vrednost</w:t>
      </w:r>
      <w:r w:rsidRPr="000A4F4F">
        <w:rPr>
          <w:rFonts w:ascii="Arial" w:eastAsia="Times New Roman" w:hAnsi="Arial" w:cs="Arial"/>
          <w:noProof w:val="0"/>
          <w:lang w:val="sr-Latn-RS"/>
        </w:rPr>
        <w:t xml:space="preserve"> jeste granična vrednost za koncentraciju zagađujuće materije u sedimentu ispod koje su negativni uticaji na okolinu zanemarljivi i ona predstavlja dugoročni cilj kvaliteta sedimenta.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4" w:name="clan_3"/>
      <w:bookmarkEnd w:id="4"/>
      <w:r w:rsidRPr="000A4F4F">
        <w:rPr>
          <w:rFonts w:ascii="Arial" w:eastAsia="Times New Roman" w:hAnsi="Arial" w:cs="Arial"/>
          <w:b/>
          <w:bCs/>
          <w:noProof w:val="0"/>
          <w:sz w:val="24"/>
          <w:szCs w:val="24"/>
          <w:lang w:val="sr-Latn-RS"/>
        </w:rPr>
        <w:t xml:space="preserve">Član 3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Ova uredba se ne primenjuje: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kod posledica nesrećnih slučajeva ili izuzetnih okolnosti prirodnog uzroka koji se realno ne mogu predvideti, izbeći ili ublažiti;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 u slučaju procene nadležnih organa da unošenje zagađujućih materija u podzemne vode nije tehnički moguće sprečiti ili ograničiti bez korišćenja: </w:t>
      </w:r>
    </w:p>
    <w:p w:rsidR="000A4F4F" w:rsidRPr="000A4F4F" w:rsidRDefault="000A4F4F" w:rsidP="000A4F4F">
      <w:pPr>
        <w:spacing w:before="100" w:beforeAutospacing="1" w:after="100" w:afterAutospacing="1" w:line="240" w:lineRule="auto"/>
        <w:ind w:left="1134" w:hanging="142"/>
        <w:rPr>
          <w:rFonts w:ascii="Arial" w:eastAsia="Times New Roman" w:hAnsi="Arial" w:cs="Arial"/>
          <w:noProof w:val="0"/>
          <w:lang w:val="sr-Latn-RS"/>
        </w:rPr>
      </w:pPr>
      <w:r w:rsidRPr="000A4F4F">
        <w:rPr>
          <w:rFonts w:ascii="Arial" w:eastAsia="Times New Roman" w:hAnsi="Arial" w:cs="Arial"/>
          <w:noProof w:val="0"/>
          <w:lang w:val="sr-Latn-RS"/>
        </w:rPr>
        <w:t xml:space="preserve">(1) mera koje bi povećale rizik po zdravlje ljudi i životinja ili kvalitet životne sredine u celini, ili </w:t>
      </w:r>
    </w:p>
    <w:p w:rsidR="000A4F4F" w:rsidRPr="000A4F4F" w:rsidRDefault="000A4F4F" w:rsidP="000A4F4F">
      <w:pPr>
        <w:spacing w:before="100" w:beforeAutospacing="1" w:after="100" w:afterAutospacing="1" w:line="240" w:lineRule="auto"/>
        <w:ind w:left="1134" w:hanging="142"/>
        <w:rPr>
          <w:rFonts w:ascii="Arial" w:eastAsia="Times New Roman" w:hAnsi="Arial" w:cs="Arial"/>
          <w:noProof w:val="0"/>
          <w:lang w:val="sr-Latn-RS"/>
        </w:rPr>
      </w:pPr>
      <w:r w:rsidRPr="000A4F4F">
        <w:rPr>
          <w:rFonts w:ascii="Arial" w:eastAsia="Times New Roman" w:hAnsi="Arial" w:cs="Arial"/>
          <w:noProof w:val="0"/>
          <w:lang w:val="sr-Latn-RS"/>
        </w:rPr>
        <w:t xml:space="preserve">(2) mera za uklanjanje količina zagađujućih materija iz zagađenog zemljišta ili podslojeva zemljišta ili drugačije kontrole njihovog proceđivanja, za čije sprovođenje je neophodno uložiti finansijska sredstva koja daleko premašuju koristi koje proizilaze iz primene tih mera. </w:t>
      </w:r>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5" w:name="str_2"/>
      <w:bookmarkEnd w:id="5"/>
      <w:r w:rsidRPr="000A4F4F">
        <w:rPr>
          <w:rFonts w:ascii="Arial" w:eastAsia="Times New Roman" w:hAnsi="Arial" w:cs="Arial"/>
          <w:noProof w:val="0"/>
          <w:sz w:val="31"/>
          <w:szCs w:val="31"/>
          <w:lang w:val="sr-Latn-RS"/>
        </w:rPr>
        <w:t xml:space="preserve">II POVRŠINSKE VODE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6" w:name="clan_4"/>
      <w:bookmarkEnd w:id="6"/>
      <w:r w:rsidRPr="000A4F4F">
        <w:rPr>
          <w:rFonts w:ascii="Arial" w:eastAsia="Times New Roman" w:hAnsi="Arial" w:cs="Arial"/>
          <w:b/>
          <w:bCs/>
          <w:noProof w:val="0"/>
          <w:sz w:val="24"/>
          <w:szCs w:val="24"/>
          <w:lang w:val="sr-Latn-RS"/>
        </w:rPr>
        <w:t xml:space="preserve">Član 4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u površinskim vodama date su u Prilogu 1. - Površinske vode, koji je odštampan uz ovu uredbu i čini njen sastavni deo.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7" w:name="clan_5"/>
      <w:bookmarkEnd w:id="7"/>
      <w:r w:rsidRPr="000A4F4F">
        <w:rPr>
          <w:rFonts w:ascii="Arial" w:eastAsia="Times New Roman" w:hAnsi="Arial" w:cs="Arial"/>
          <w:b/>
          <w:bCs/>
          <w:noProof w:val="0"/>
          <w:sz w:val="24"/>
          <w:szCs w:val="24"/>
          <w:lang w:val="sr-Latn-RS"/>
        </w:rPr>
        <w:t xml:space="preserve">Član 5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koje su pokazatelji opštih parametara, kiseoničnog režima, nutrijentnih supstanci, saliniteta, metala, organskih supstanci i mikrobioloških parametara u površinskim vodama, za pojedinačne klase površinskih voda utvrđene propisom kojim se određuju parametri ekološkog i hemijskog statusa za površinske vode, date su u Prilogu 1, Tabela 1. - Granične vrednosti zagađujućih materija u površinskim vodama.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Granične vrednosti zagađujućih materija za odličan ekološki status površinskih voda za sve tipove površinskih voda koji su utvrđeni propisom kojim se određuju parametri ekološkog i hemijskog statusa za površinske vode, date su u Prilogu 1, Tabela 2. - Granične vrednosti zagađujućih materija za odličan ekološki status odnosno I klasu površinskih voda.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za dobar ekološki status površinskih voda za svaki tip površinskih voda koji je utvrđen propisom kojim se određuju parametri ekološkog i hemijskog statusa za površinske vode, date su u Prilogu 1, Tabela 3. - Granične vrednosti zagađujućih materija za dobar ekološki status odnosno II klasu površinskih voda.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prioritetnih supstanci, koje su date propisom kojim se određuju granične vrednosti prioritetnih i prioritetnih hazardnih supstanci, primenjuju se na način koji je dat u Prilogu 1, Tabela 4. - Primena graničnih vrednosti prioritetnih i prioritetnih hazardnih supstanci za utvrđivanje klase površinske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Izuzetno od st. 1-4. ovog člana nadležni organ će propisati strožije granične vrednosti u skladu sa planom zaštite voda od zagađivanja za određena vodna tela površinskih voda za koja standardi kvaliteta površinskih voda propisani ovom uredbom mogu dovesti do neispunjavanja ciljeva zaštite životne sredine utvrđenih planom upravljanja vodama ili značajnog opadanja ekološkog ili hemijskog kvaliteta tih voda.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iz člana 4. menjaju se i/ili dopunjuju sa novim zagađujućim materijama u skladu sa novim podacima o zagađujućim materijama, grupama zagađujućih materija ili indikatorima, u cilju zaštite zdravlja ljudi i životinja i životne sredine, a u skladu sa planom zaštite voda od zagađivanja. </w:t>
      </w:r>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8" w:name="str_3"/>
      <w:bookmarkEnd w:id="8"/>
      <w:r w:rsidRPr="000A4F4F">
        <w:rPr>
          <w:rFonts w:ascii="Arial" w:eastAsia="Times New Roman" w:hAnsi="Arial" w:cs="Arial"/>
          <w:noProof w:val="0"/>
          <w:sz w:val="31"/>
          <w:szCs w:val="31"/>
          <w:lang w:val="sr-Latn-RS"/>
        </w:rPr>
        <w:t xml:space="preserve">III PODZEMNE VODE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9" w:name="clan_6"/>
      <w:bookmarkEnd w:id="9"/>
      <w:r w:rsidRPr="000A4F4F">
        <w:rPr>
          <w:rFonts w:ascii="Arial" w:eastAsia="Times New Roman" w:hAnsi="Arial" w:cs="Arial"/>
          <w:b/>
          <w:bCs/>
          <w:noProof w:val="0"/>
          <w:sz w:val="24"/>
          <w:szCs w:val="24"/>
          <w:lang w:val="sr-Latn-RS"/>
        </w:rPr>
        <w:t xml:space="preserve">Član 6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u podzemnim vodama, date su u Prilogu 2. - Podzemne vode, koji je odštampan uz ovu uredbu i čini njen sastavni deo.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0" w:name="clan_7"/>
      <w:bookmarkEnd w:id="10"/>
      <w:r w:rsidRPr="000A4F4F">
        <w:rPr>
          <w:rFonts w:ascii="Arial" w:eastAsia="Times New Roman" w:hAnsi="Arial" w:cs="Arial"/>
          <w:b/>
          <w:bCs/>
          <w:noProof w:val="0"/>
          <w:sz w:val="24"/>
          <w:szCs w:val="24"/>
          <w:lang w:val="sr-Latn-RS"/>
        </w:rPr>
        <w:t xml:space="preserve">Član 7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u podzemnim vodama, na osnovu kojih se vrši ocena hemijskog statusa vodnih tela podzemnih voda u skladu sa propisom kojim se određuju parametri hemijskog i kvantitativnog statusa za podzemne vode, date su u Prilogu 2, Glava I. - Standardi kvaliteta za podzemne vode, Tabela 1. - Granične vrednosti zagađujućih materija u podzemnim vodama.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Korisnici podzemnih voda su dužni da izvrše merenja osnovnog (nultog) nivoa za zagađujuće materije, jone ili indikatore koji su prirodnog porekla i/ili njihovo prisustvo u podzemnim vodama može biti posledica ljudske aktivnosti, i to: arsena, kadmijuma, olova, žive, amonijuma, hlorida, sulfata, trihloretilena, tetrahloretilena, vinilhlorida i elektroprovodljivosti.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Korisnici podzemnih voda dužni su da dostave izveštaj o izvršenim merenjima iz stava 2. ovog člana ministarstvima nadležnim za zaštitu životne sredine i vodoprivrede, najkasnije 30 dana od dana izvršenih merenja.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Izuzetno od stava 1. ovog člana nadležni organ će propisati strožije granične vrednosti u skladu sa planom zaštite voda od zagađivanja za određena vodna tela podzemnih voda za koja standardi kvaliteta podzemnih voda propisani ovom uredbom mogu dovesti do neispunjavanja ciljeva zaštite životne sredine utvrđenih planom upravljanja vodama za povezane celine površinskih voda, ili značajnim narušavanjem ekološkog ili hemijskog kvaliteta takvih celina, ili značajnom štetom po kopnene ekosisteme koji direktno zavise od celine podzemne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iz člana 6. menjaju se i/ili dopunjuju sa novim zagađujućim materijama u skladu sa novim podacima o zagađujućim materijama, grupama zagađujućih materija ili indikatorima, u cilju zaštite zdravlja ljudi i životinja i životne sredine, a u skladu sa planom zaštite voda od zagađivanja.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1" w:name="clan_8"/>
      <w:bookmarkEnd w:id="11"/>
      <w:r w:rsidRPr="000A4F4F">
        <w:rPr>
          <w:rFonts w:ascii="Arial" w:eastAsia="Times New Roman" w:hAnsi="Arial" w:cs="Arial"/>
          <w:b/>
          <w:bCs/>
          <w:noProof w:val="0"/>
          <w:sz w:val="24"/>
          <w:szCs w:val="24"/>
          <w:lang w:val="sr-Latn-RS"/>
        </w:rPr>
        <w:t xml:space="preserve">Član 8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Zabranjeno je unošenje zagađujućih materija u podzemne vode ukoliko takva aktivnost može dovesti do pogoršanja stanja odnosno do pogoršanja postojećeg hemijskog statusa podzemne vode, što se procenjuje na osnovu podataka dobijenih sprovođenjem monitoringa, u skladu sa propisima kojima se uređuje oblast voda i zaštita životne sredine.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Zabranjeno je direktno i indirektno ispuštanje u podzemnu vodu zagađujućih materija sa Liste I date u Prilogu 2, Glava II. - Liste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Zabranjeno je direktno ili indirektno ispuštanje u podzemnu vodu zagađujućih materija sa Liste II, date u Prilogu 2, Glava II. - Liste zagađujućih materija, do određivanja osnovnog (nultog) nivoa zagađujućih materija u telu podzemne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Izuzetno od st. 1-3. ovog člana, dozvoljeno je ispuštanje zagađujućih materija i zagađujućih materija sa Liste I i Liste II, kada se prethodnim ispitivanjem utvrdi da je podzemna voda u koju se ispuštaju navedene materije trajno neupotrebljiva za druge namene, posebno za potrebe domaćinstva i poljoprivrede, da njihovo prisustvo ne ometa eksploataciju zemljišnih resursa, kao i kada su preduzete sve tehničke mere da te materije ne mogu dospeti do drugih akvatičnih sistema ili ugroziti druge ekosisteme, a u skladu sa planom upravljanja vodama za dato vodno područje. </w:t>
      </w:r>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12" w:name="str_4"/>
      <w:bookmarkEnd w:id="12"/>
      <w:r w:rsidRPr="000A4F4F">
        <w:rPr>
          <w:rFonts w:ascii="Arial" w:eastAsia="Times New Roman" w:hAnsi="Arial" w:cs="Arial"/>
          <w:noProof w:val="0"/>
          <w:sz w:val="31"/>
          <w:szCs w:val="31"/>
          <w:lang w:val="sr-Latn-RS"/>
        </w:rPr>
        <w:t xml:space="preserve">IV SEDIMENT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3" w:name="clan_9"/>
      <w:bookmarkEnd w:id="13"/>
      <w:r w:rsidRPr="000A4F4F">
        <w:rPr>
          <w:rFonts w:ascii="Arial" w:eastAsia="Times New Roman" w:hAnsi="Arial" w:cs="Arial"/>
          <w:b/>
          <w:bCs/>
          <w:noProof w:val="0"/>
          <w:sz w:val="24"/>
          <w:szCs w:val="24"/>
          <w:lang w:val="sr-Latn-RS"/>
        </w:rPr>
        <w:t xml:space="preserve">Član 9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u sedimentu date su u Prilogu 3. - Sediment, koji je odštampan uz ovu uredbu i čini njen sastavni deo.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4" w:name="clan_10"/>
      <w:bookmarkEnd w:id="14"/>
      <w:r w:rsidRPr="000A4F4F">
        <w:rPr>
          <w:rFonts w:ascii="Arial" w:eastAsia="Times New Roman" w:hAnsi="Arial" w:cs="Arial"/>
          <w:b/>
          <w:bCs/>
          <w:noProof w:val="0"/>
          <w:sz w:val="24"/>
          <w:szCs w:val="24"/>
          <w:lang w:val="sr-Latn-RS"/>
        </w:rPr>
        <w:t xml:space="preserve">Član 10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za ocenu statusa i trenda kvaliteta sedimenta odnosno ciljna vrednost, maksimalno dozvoljena koncentracija i remedijaciona vrednost, date su u Prilogu 3, Glava I. - Granične vrednosti za ocenu kvaliteta sedimenta, Tabela 1. - Granične vrednosti za ocenu statusa i trenda kvaliteta sedimenta.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Granične vrednosti zagađujućih materija koje se koriste pri izmuljavanju i dislokaciji sedimenta iz vodotoka odnosno ciljna i remedijaciona vrednost, vrednost limita i verifikacioni nivo, date su u Prilogu 3, Glava I, Tabela 2. - Granične vrednosti za ocenu kvaliteta sedimenta pri izmuljivanju sedimenta iz vodotoka.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iz st. 1. i 2. ovog člana za metale i organske materije odnose se na standardni sediment koji sadrži 10% organske materije i 25% gline.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Prilikom ocene kvaliteta sedimenta, granične vrednosti iz st. 1. i 2. ovog člana koriguju se za dati sediment prema izmerenom sadržaju organske materije i sadržaju gline u datom sedimentu i to na način dat u Prilogu 3, Glava II. - Korekcija graničnih vrednosti.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Korigovane granične vrednosti iz stava 4. ovog člana upoređuju se sa izmerenim koncentracijama zagađujućih materija u sedimentu.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zagađujućih materija iz člana 9. menjaju se i/ili dopunjuju sa novim zagađujućim materijama u skladu sa novim podacima o zagađujućim materijama, grupama zagađujućih materija ili indikatorima, u cilju zaštite zdravlja ljudi i životinja i životne sredine, a u skladu sa planom zaštite voda od zagađivanja.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5" w:name="clan_11"/>
      <w:bookmarkEnd w:id="15"/>
      <w:r w:rsidRPr="000A4F4F">
        <w:rPr>
          <w:rFonts w:ascii="Arial" w:eastAsia="Times New Roman" w:hAnsi="Arial" w:cs="Arial"/>
          <w:b/>
          <w:bCs/>
          <w:noProof w:val="0"/>
          <w:sz w:val="24"/>
          <w:szCs w:val="24"/>
          <w:lang w:val="sr-Latn-RS"/>
        </w:rPr>
        <w:t xml:space="preserve">Član 11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Ako se nadzornim monitoringom utvrdi prekoračenje maksimalno dozvoljene koncentracije ili remedijacione vrednosti za jednu ili više zagađujućih materija u zapremini od 25 m</w:t>
      </w:r>
      <w:r w:rsidRPr="000A4F4F">
        <w:rPr>
          <w:rFonts w:ascii="Arial" w:eastAsia="Times New Roman" w:hAnsi="Arial" w:cs="Arial"/>
          <w:noProof w:val="0"/>
          <w:sz w:val="15"/>
          <w:vertAlign w:val="superscript"/>
          <w:lang w:val="sr-Latn-RS"/>
        </w:rPr>
        <w:t>3</w:t>
      </w:r>
      <w:r w:rsidRPr="000A4F4F">
        <w:rPr>
          <w:rFonts w:ascii="Arial" w:eastAsia="Times New Roman" w:hAnsi="Arial" w:cs="Arial"/>
          <w:noProof w:val="0"/>
          <w:lang w:val="sr-Latn-RS"/>
        </w:rPr>
        <w:t xml:space="preserve"> sedimenta na datom lokalitetu, ili kada postoji sumnja da vrednost koncentracije zagađujuće materije između ciljne i maksimalno dozvoljene vrednosti izaziva štetne ekotoksične efekte na rezidencijalnu biotu, nadležni organ pokreće sprovođenje istraživačkog monitoringa u okviru koga se utvrđuje postojanje štetnih ekotoksičnih efekata na rezidencijalnu biotu i vrši procena stvarnog rizika.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Kada monitoring iz stava 1. ovog člana potvrdi postojanje štetnih ekotoksičnih efekata na rezidencijalnu biotu i/ili postojanje stvarnog rizika, sprovode se mere u skladu sa planom zaštite voda od zagađivanja.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U slučaju prekoračenja remedijacione vrednosti za jednu ili više zagađujućih materija u zapremini od 25 m</w:t>
      </w:r>
      <w:r w:rsidRPr="000A4F4F">
        <w:rPr>
          <w:rFonts w:ascii="Arial" w:eastAsia="Times New Roman" w:hAnsi="Arial" w:cs="Arial"/>
          <w:noProof w:val="0"/>
          <w:sz w:val="15"/>
          <w:vertAlign w:val="superscript"/>
          <w:lang w:val="sr-Latn-RS"/>
        </w:rPr>
        <w:t>3</w:t>
      </w:r>
      <w:r w:rsidRPr="000A4F4F">
        <w:rPr>
          <w:rFonts w:ascii="Arial" w:eastAsia="Times New Roman" w:hAnsi="Arial" w:cs="Arial"/>
          <w:noProof w:val="0"/>
          <w:lang w:val="sr-Latn-RS"/>
        </w:rPr>
        <w:t xml:space="preserve"> sedimenta na datom lokalitetu, vrši se dislokacija i/ili remedijacija sedimenta i preduzimaju mere u skladu sa planom zaštite voda od zagađivanja.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6" w:name="clan_12"/>
      <w:bookmarkEnd w:id="16"/>
      <w:r w:rsidRPr="000A4F4F">
        <w:rPr>
          <w:rFonts w:ascii="Arial" w:eastAsia="Times New Roman" w:hAnsi="Arial" w:cs="Arial"/>
          <w:b/>
          <w:bCs/>
          <w:noProof w:val="0"/>
          <w:sz w:val="24"/>
          <w:szCs w:val="24"/>
          <w:lang w:val="sr-Latn-RS"/>
        </w:rPr>
        <w:t xml:space="preserve">Član 12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Granične vrednosti iz člana 10. stav 2. ove uredbe koriste se u slučaju izmuljavanja sedimenta iz vodotoka, za ocenu kvaliteta sedimenta prema kriterijumima datim u Prilogu 3, Glava III. - Kriterijumi, Tabela 1. - Kriterijumi za ocenu kvaliteta sedimenta i dozvoljeni načini postupanja sa izmuljenim sedimentom.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Ocena kvaliteta se vrši za svaku navedenu zagađujuću materiju odnosno grupu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Konačna ocena kvaliteta sedimenta određuje se na osnovu najlošije ocenjene zagađujuće materije odnosno grupe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Postupanje sa izmuljenim sedimentom u slučaju njegove dislokacije iz vodotoka vrši se u skladu sa graničnim vrednostima iz člana 10. stav 2. ove uredbe i ocenjenim kvalitetom sedimenta, na način koji je dat u Prilogu 3, Glava III, Tabela 1. - Kriterijumi za ocenu kvaliteta sedimenta i dozvoljeni načini postupanja sa izmuljenim sedimentom. </w:t>
      </w:r>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17" w:name="str_5"/>
      <w:bookmarkEnd w:id="17"/>
      <w:r w:rsidRPr="000A4F4F">
        <w:rPr>
          <w:rFonts w:ascii="Arial" w:eastAsia="Times New Roman" w:hAnsi="Arial" w:cs="Arial"/>
          <w:noProof w:val="0"/>
          <w:sz w:val="31"/>
          <w:szCs w:val="31"/>
          <w:lang w:val="sr-Latn-RS"/>
        </w:rPr>
        <w:t xml:space="preserve">V ROKOVI ZA DOSTIZANJE GRANIČNIH VREDNOSTI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18" w:name="clan_13"/>
      <w:bookmarkEnd w:id="18"/>
      <w:r w:rsidRPr="000A4F4F">
        <w:rPr>
          <w:rFonts w:ascii="Arial" w:eastAsia="Times New Roman" w:hAnsi="Arial" w:cs="Arial"/>
          <w:b/>
          <w:bCs/>
          <w:noProof w:val="0"/>
          <w:sz w:val="24"/>
          <w:szCs w:val="24"/>
          <w:lang w:val="sr-Latn-RS"/>
        </w:rPr>
        <w:t xml:space="preserve">Član 13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Rokovi za dostizanje graničnih vrednosti zagađujućih materija propisanih ovom uredbom za površinske vode i sediment koji nisu pod uticajem prekograničnog zagađenja, i to za jednu višu klasu u odnosu na sadašnji nivo kvaliteta, osim za dostizanje graničnih vrednosti I klase, određuju se u skladu sa dinamikom utvrđenom planovima upravljanja vodama, a najkasniji rok za njihovo dostizanje je 31. decembar 2032. godine.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Rokovi za postizanje graničnih vrednosti zagađujućih materija za površinske i podzemne vode i sediment koji su pod uticajem prekograničnog zagađenja i podzemne vode koje nisu pod uticajem prekograničnog zagađenja određuju se u skladu sa dinamikom utvrđenom planovima upravljanja vodama. </w:t>
      </w:r>
    </w:p>
    <w:p w:rsidR="000A4F4F" w:rsidRPr="000A4F4F" w:rsidRDefault="000A4F4F" w:rsidP="000A4F4F">
      <w:pPr>
        <w:spacing w:after="0" w:line="240" w:lineRule="auto"/>
        <w:jc w:val="center"/>
        <w:rPr>
          <w:rFonts w:ascii="Arial" w:eastAsia="Times New Roman" w:hAnsi="Arial" w:cs="Arial"/>
          <w:noProof w:val="0"/>
          <w:sz w:val="31"/>
          <w:szCs w:val="31"/>
          <w:lang w:val="sr-Latn-RS"/>
        </w:rPr>
      </w:pPr>
      <w:bookmarkStart w:id="19" w:name="str_6"/>
      <w:bookmarkEnd w:id="19"/>
      <w:r w:rsidRPr="000A4F4F">
        <w:rPr>
          <w:rFonts w:ascii="Arial" w:eastAsia="Times New Roman" w:hAnsi="Arial" w:cs="Arial"/>
          <w:noProof w:val="0"/>
          <w:sz w:val="31"/>
          <w:szCs w:val="31"/>
          <w:lang w:val="sr-Latn-RS"/>
        </w:rPr>
        <w:t xml:space="preserve">VI ZAVRŠNA ODREDBA </w:t>
      </w:r>
    </w:p>
    <w:p w:rsidR="000A4F4F" w:rsidRPr="000A4F4F" w:rsidRDefault="000A4F4F" w:rsidP="000A4F4F">
      <w:pPr>
        <w:spacing w:before="240" w:after="120" w:line="240" w:lineRule="auto"/>
        <w:jc w:val="center"/>
        <w:rPr>
          <w:rFonts w:ascii="Arial" w:eastAsia="Times New Roman" w:hAnsi="Arial" w:cs="Arial"/>
          <w:b/>
          <w:bCs/>
          <w:noProof w:val="0"/>
          <w:sz w:val="24"/>
          <w:szCs w:val="24"/>
          <w:lang w:val="sr-Latn-RS"/>
        </w:rPr>
      </w:pPr>
      <w:bookmarkStart w:id="20" w:name="clan_14"/>
      <w:bookmarkEnd w:id="20"/>
      <w:r w:rsidRPr="000A4F4F">
        <w:rPr>
          <w:rFonts w:ascii="Arial" w:eastAsia="Times New Roman" w:hAnsi="Arial" w:cs="Arial"/>
          <w:b/>
          <w:bCs/>
          <w:noProof w:val="0"/>
          <w:sz w:val="24"/>
          <w:szCs w:val="24"/>
          <w:lang w:val="sr-Latn-RS"/>
        </w:rPr>
        <w:t xml:space="preserve">Član 14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Ova uredba stupa na snagu osmog dana od dana objavljivanja u "Službenom glasniku Republike Srbije". </w:t>
      </w:r>
    </w:p>
    <w:p w:rsidR="000A4F4F" w:rsidRPr="000A4F4F" w:rsidRDefault="000A4F4F" w:rsidP="000A4F4F">
      <w:pPr>
        <w:spacing w:after="0" w:line="240" w:lineRule="auto"/>
        <w:rPr>
          <w:rFonts w:ascii="Arial" w:eastAsia="Times New Roman" w:hAnsi="Arial" w:cs="Arial"/>
          <w:noProof w:val="0"/>
          <w:sz w:val="26"/>
          <w:szCs w:val="26"/>
          <w:lang w:val="sr-Latn-RS"/>
        </w:rPr>
      </w:pPr>
      <w:r w:rsidRPr="000A4F4F">
        <w:rPr>
          <w:rFonts w:ascii="Arial" w:eastAsia="Times New Roman" w:hAnsi="Arial" w:cs="Arial"/>
          <w:noProof w:val="0"/>
          <w:sz w:val="26"/>
          <w:szCs w:val="26"/>
          <w:lang w:val="sr-Latn-RS"/>
        </w:rPr>
        <w:t xml:space="preserve">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bookmarkStart w:id="21" w:name="str_7"/>
      <w:bookmarkEnd w:id="21"/>
      <w:r w:rsidRPr="000A4F4F">
        <w:rPr>
          <w:rFonts w:ascii="Arial" w:eastAsia="Times New Roman" w:hAnsi="Arial" w:cs="Arial"/>
          <w:b/>
          <w:bCs/>
          <w:noProof w:val="0"/>
          <w:sz w:val="29"/>
          <w:szCs w:val="29"/>
          <w:lang w:val="sr-Latn-RS"/>
        </w:rPr>
        <w:t xml:space="preserve">Prilog 1.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r w:rsidRPr="000A4F4F">
        <w:rPr>
          <w:rFonts w:ascii="Arial" w:eastAsia="Times New Roman" w:hAnsi="Arial" w:cs="Arial"/>
          <w:b/>
          <w:bCs/>
          <w:noProof w:val="0"/>
          <w:sz w:val="29"/>
          <w:szCs w:val="29"/>
          <w:lang w:val="sr-Latn-RS"/>
        </w:rPr>
        <w:t xml:space="preserve">POVRŠINSKE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1. Granične vrednosti zagađujućih materija u površinskim vodama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3057"/>
        <w:gridCol w:w="1210"/>
        <w:gridCol w:w="1102"/>
        <w:gridCol w:w="1096"/>
        <w:gridCol w:w="881"/>
        <w:gridCol w:w="957"/>
        <w:gridCol w:w="1117"/>
      </w:tblGrid>
      <w:tr w:rsidR="000A4F4F" w:rsidRPr="000A4F4F" w:rsidTr="000A4F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Jedinica mere </w:t>
            </w:r>
          </w:p>
        </w:tc>
        <w:tc>
          <w:tcPr>
            <w:tcW w:w="0" w:type="auto"/>
            <w:gridSpan w:val="5"/>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Granične vrednosti</w:t>
            </w:r>
            <w:r w:rsidRPr="000A4F4F">
              <w:rPr>
                <w:rFonts w:ascii="Arial" w:eastAsia="Times New Roman" w:hAnsi="Arial" w:cs="Arial"/>
                <w:b/>
                <w:bCs/>
                <w:noProof w:val="0"/>
                <w:sz w:val="15"/>
                <w:vertAlign w:val="superscript"/>
                <w:lang w:val="sr-Latn-RS"/>
              </w:rPr>
              <w:t>(1)</w:t>
            </w:r>
          </w:p>
        </w:tc>
      </w:tr>
      <w:tr w:rsidR="000A4F4F" w:rsidRPr="000A4F4F" w:rsidTr="000A4F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after="0" w:line="240" w:lineRule="auto"/>
              <w:rPr>
                <w:rFonts w:ascii="Arial" w:eastAsia="Times New Roman" w:hAnsi="Arial" w:cs="Arial"/>
                <w:noProof w:val="0"/>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after="0" w:line="240" w:lineRule="auto"/>
              <w:rPr>
                <w:rFonts w:ascii="Arial" w:eastAsia="Times New Roman" w:hAnsi="Arial" w:cs="Arial"/>
                <w:noProof w:val="0"/>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Klasa I</w:t>
            </w:r>
            <w:r w:rsidRPr="000A4F4F">
              <w:rPr>
                <w:rFonts w:ascii="Arial" w:eastAsia="Times New Roman" w:hAnsi="Arial" w:cs="Arial"/>
                <w:b/>
                <w:bCs/>
                <w:noProof w:val="0"/>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Klasa II</w:t>
            </w:r>
            <w:r w:rsidRPr="000A4F4F">
              <w:rPr>
                <w:rFonts w:ascii="Arial" w:eastAsia="Times New Roman" w:hAnsi="Arial" w:cs="Arial"/>
                <w:b/>
                <w:bCs/>
                <w:noProof w:val="0"/>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Klasa III</w:t>
            </w:r>
            <w:r w:rsidRPr="000A4F4F">
              <w:rPr>
                <w:rFonts w:ascii="Arial" w:eastAsia="Times New Roman" w:hAnsi="Arial" w:cs="Arial"/>
                <w:b/>
                <w:bCs/>
                <w:noProof w:val="0"/>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Klasa IV</w:t>
            </w:r>
            <w:r w:rsidRPr="000A4F4F">
              <w:rPr>
                <w:rFonts w:ascii="Arial" w:eastAsia="Times New Roman" w:hAnsi="Arial" w:cs="Arial"/>
                <w:b/>
                <w:bCs/>
                <w:noProof w:val="0"/>
                <w:sz w:val="15"/>
                <w:vertAlign w:val="super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Klasa V</w:t>
            </w:r>
            <w:r w:rsidRPr="000A4F4F">
              <w:rPr>
                <w:rFonts w:ascii="Arial" w:eastAsia="Times New Roman" w:hAnsi="Arial" w:cs="Arial"/>
                <w:b/>
                <w:bCs/>
                <w:noProof w:val="0"/>
                <w:sz w:val="15"/>
                <w:vertAlign w:val="superscript"/>
                <w:lang w:val="sr-Latn-RS"/>
              </w:rPr>
              <w:t>(6)</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Opšti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pH</w:t>
            </w:r>
            <w:r w:rsidRPr="000A4F4F">
              <w:rPr>
                <w:rFonts w:ascii="Arial" w:eastAsia="Times New Roman" w:hAnsi="Arial" w:cs="Arial"/>
                <w:b/>
                <w:bCs/>
                <w:noProof w:val="0"/>
                <w:sz w:val="15"/>
                <w:vertAlign w:val="superscript"/>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&lt;6,5 ili &lt;8,5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Suspendovane materije</w:t>
            </w:r>
            <w:r w:rsidRPr="000A4F4F">
              <w:rPr>
                <w:rFonts w:ascii="Arial" w:eastAsia="Times New Roman" w:hAnsi="Arial" w:cs="Arial"/>
                <w:b/>
                <w:bCs/>
                <w:noProof w:val="0"/>
                <w:sz w:val="15"/>
                <w:vertAlign w:val="superscript"/>
                <w:lang w:val="sr-Latn-RS"/>
              </w:rPr>
              <w:t>(9) (12)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Kiseonični režim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Rastvoreni kiseonik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O2/l]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 4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Zasićenost kiseonikom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 epilimnion (stratifikovana voda)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90-110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70-90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&lt;30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hipolimnion (stratifikovana voda)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70-90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nestratifikovana voda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70-90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BPK5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O2/l]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r w:rsidRPr="000A4F4F">
              <w:rPr>
                <w:rFonts w:ascii="Arial" w:eastAsia="Times New Roman" w:hAnsi="Arial" w:cs="Arial"/>
                <w:noProof w:val="0"/>
                <w:lang w:val="sr-Latn-RS"/>
              </w:rPr>
              <w:t xml:space="preserve">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HPK (bihromatna metoda)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O2/l]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&gt;125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HPK (permanganatna metoda)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O2/l]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Ukupni organski ugljenik (TOS)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Nutrijenti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Ukupan azot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N/l]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Nitrati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N/l]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Nitriti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N/l]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0,01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&gt;0,3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Amonijum jon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N/l]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Ne-jonizovani amonijak</w:t>
            </w:r>
            <w:r w:rsidRPr="000A4F4F">
              <w:rPr>
                <w:rFonts w:ascii="Arial" w:eastAsia="Times New Roman" w:hAnsi="Arial" w:cs="Arial"/>
                <w:b/>
                <w:bCs/>
                <w:noProof w:val="0"/>
                <w:sz w:val="15"/>
                <w:vertAlign w:val="superscript"/>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NH3]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Ukupan fosfor</w:t>
            </w:r>
            <w:r w:rsidRPr="000A4F4F">
              <w:rPr>
                <w:rFonts w:ascii="Arial" w:eastAsia="Times New Roman" w:hAnsi="Arial" w:cs="Arial"/>
                <w:b/>
                <w:bCs/>
                <w:noProof w:val="0"/>
                <w:sz w:val="15"/>
                <w:vertAlign w:val="superscript"/>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P/l]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Ortofosfati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 P/l]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 xml:space="preserve">(8) </w:t>
            </w:r>
            <w:r w:rsidRPr="000A4F4F">
              <w:rPr>
                <w:rFonts w:ascii="Arial" w:eastAsia="Times New Roman" w:hAnsi="Arial" w:cs="Arial"/>
                <w:noProof w:val="0"/>
                <w:lang w:val="sr-Latn-RS"/>
              </w:rPr>
              <w:t xml:space="preserve">(ili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&gt;0,5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Salinitet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Hloridi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w:t>
            </w:r>
            <w:r w:rsidRPr="000A4F4F">
              <w:rPr>
                <w:rFonts w:ascii="Arial" w:eastAsia="Times New Roman" w:hAnsi="Arial" w:cs="Arial"/>
                <w:b/>
                <w:bCs/>
                <w:noProof w:val="0"/>
                <w:sz w:val="15"/>
                <w:vertAlign w:val="superscript"/>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Ukupni zaostali hlor</w:t>
            </w:r>
            <w:r w:rsidRPr="000A4F4F">
              <w:rPr>
                <w:rFonts w:ascii="Arial" w:eastAsia="Times New Roman" w:hAnsi="Arial" w:cs="Arial"/>
                <w:b/>
                <w:bCs/>
                <w:noProof w:val="0"/>
                <w:sz w:val="15"/>
                <w:vertAlign w:val="superscript"/>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HOCl]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Sulfati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&gt;300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Ukupna mineralizacija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&lt;1000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&gt;1500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Elektroprovodljivost na 20°C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[mS/cm]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&lt;1000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&gt;3000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Metali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&lt;5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Bor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300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&gt;2500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Bakar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5 (T=10)</w:t>
            </w:r>
            <w:r w:rsidRPr="000A4F4F">
              <w:rPr>
                <w:rFonts w:ascii="Arial" w:eastAsia="Times New Roman" w:hAnsi="Arial" w:cs="Arial"/>
                <w:noProof w:val="0"/>
                <w:lang w:val="sr-Latn-RS"/>
              </w:rPr>
              <w:br/>
              <w:t>22 (T=50)</w:t>
            </w:r>
            <w:r w:rsidRPr="000A4F4F">
              <w:rPr>
                <w:rFonts w:ascii="Arial" w:eastAsia="Times New Roman" w:hAnsi="Arial" w:cs="Arial"/>
                <w:noProof w:val="0"/>
                <w:lang w:val="sr-Latn-RS"/>
              </w:rPr>
              <w:br/>
              <w:t>40 (T=100)</w:t>
            </w:r>
            <w:r w:rsidRPr="000A4F4F">
              <w:rPr>
                <w:rFonts w:ascii="Arial" w:eastAsia="Times New Roman" w:hAnsi="Arial" w:cs="Arial"/>
                <w:noProof w:val="0"/>
                <w:lang w:val="sr-Latn-RS"/>
              </w:rPr>
              <w:br/>
              <w:t xml:space="preserve">112 (T=300)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5 (T=10)</w:t>
            </w:r>
            <w:r w:rsidRPr="000A4F4F">
              <w:rPr>
                <w:rFonts w:ascii="Arial" w:eastAsia="Times New Roman" w:hAnsi="Arial" w:cs="Arial"/>
                <w:noProof w:val="0"/>
                <w:lang w:val="sr-Latn-RS"/>
              </w:rPr>
              <w:br/>
              <w:t>22 (T=50)</w:t>
            </w:r>
            <w:r w:rsidRPr="000A4F4F">
              <w:rPr>
                <w:rFonts w:ascii="Arial" w:eastAsia="Times New Roman" w:hAnsi="Arial" w:cs="Arial"/>
                <w:noProof w:val="0"/>
                <w:lang w:val="sr-Latn-RS"/>
              </w:rPr>
              <w:br/>
              <w:t>40 (T=100)</w:t>
            </w:r>
            <w:r w:rsidRPr="000A4F4F">
              <w:rPr>
                <w:rFonts w:ascii="Arial" w:eastAsia="Times New Roman" w:hAnsi="Arial" w:cs="Arial"/>
                <w:noProof w:val="0"/>
                <w:lang w:val="sr-Latn-RS"/>
              </w:rPr>
              <w:br/>
              <w:t xml:space="preserve">112 (T=300)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Cink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30 (T=10)</w:t>
            </w:r>
            <w:r w:rsidRPr="000A4F4F">
              <w:rPr>
                <w:rFonts w:ascii="Arial" w:eastAsia="Times New Roman" w:hAnsi="Arial" w:cs="Arial"/>
                <w:noProof w:val="0"/>
                <w:lang w:val="sr-Latn-RS"/>
              </w:rPr>
              <w:br/>
              <w:t>200 (T=50)</w:t>
            </w:r>
            <w:r w:rsidRPr="000A4F4F">
              <w:rPr>
                <w:rFonts w:ascii="Arial" w:eastAsia="Times New Roman" w:hAnsi="Arial" w:cs="Arial"/>
                <w:noProof w:val="0"/>
                <w:lang w:val="sr-Latn-RS"/>
              </w:rPr>
              <w:br/>
              <w:t>300 (T=100)</w:t>
            </w:r>
            <w:r w:rsidRPr="000A4F4F">
              <w:rPr>
                <w:rFonts w:ascii="Arial" w:eastAsia="Times New Roman" w:hAnsi="Arial" w:cs="Arial"/>
                <w:noProof w:val="0"/>
                <w:lang w:val="sr-Latn-RS"/>
              </w:rPr>
              <w:br/>
              <w:t xml:space="preserve">500 (T=500)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300 (T=10)</w:t>
            </w:r>
            <w:r w:rsidRPr="000A4F4F">
              <w:rPr>
                <w:rFonts w:ascii="Arial" w:eastAsia="Times New Roman" w:hAnsi="Arial" w:cs="Arial"/>
                <w:noProof w:val="0"/>
                <w:lang w:val="sr-Latn-RS"/>
              </w:rPr>
              <w:br/>
              <w:t>700 (T=50)</w:t>
            </w:r>
            <w:r w:rsidRPr="000A4F4F">
              <w:rPr>
                <w:rFonts w:ascii="Arial" w:eastAsia="Times New Roman" w:hAnsi="Arial" w:cs="Arial"/>
                <w:noProof w:val="0"/>
                <w:lang w:val="sr-Latn-RS"/>
              </w:rPr>
              <w:br/>
              <w:t>1000 (T=100)</w:t>
            </w:r>
            <w:r w:rsidRPr="000A4F4F">
              <w:rPr>
                <w:rFonts w:ascii="Arial" w:eastAsia="Times New Roman" w:hAnsi="Arial" w:cs="Arial"/>
                <w:noProof w:val="0"/>
                <w:lang w:val="sr-Latn-RS"/>
              </w:rPr>
              <w:br/>
              <w:t xml:space="preserve">2000 </w:t>
            </w:r>
            <w:r w:rsidRPr="000A4F4F">
              <w:rPr>
                <w:rFonts w:ascii="Arial" w:eastAsia="Times New Roman" w:hAnsi="Arial" w:cs="Arial"/>
                <w:noProof w:val="0"/>
                <w:lang w:val="sr-Latn-RS"/>
              </w:rPr>
              <w:lastRenderedPageBreak/>
              <w:t xml:space="preserve">(T=500)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2000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&gt;5000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Hrom (ukupni)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 (ili PN)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Gvožđe (ukupno)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Mangan (ukupni)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Organske supstance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Fenolna jedinjenja (kao C2H5OH)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&lt;1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Naftni ugljovodonici</w:t>
            </w:r>
            <w:r w:rsidRPr="000A4F4F">
              <w:rPr>
                <w:rFonts w:ascii="Arial" w:eastAsia="Times New Roman" w:hAnsi="Arial" w:cs="Arial"/>
                <w:b/>
                <w:bCs/>
                <w:noProof w:val="0"/>
                <w:sz w:val="15"/>
                <w:vertAlign w:val="superscript"/>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Times New Roman" w:eastAsia="Times New Roman" w:hAnsi="Times New Roman"/>
                <w:noProof w:val="0"/>
                <w:sz w:val="15"/>
                <w:szCs w:val="15"/>
                <w:vertAlign w:val="superscript"/>
                <w:lang w:val="sr-Latn-RS"/>
              </w:rPr>
            </w:pPr>
            <w:r w:rsidRPr="000A4F4F">
              <w:rPr>
                <w:rFonts w:ascii="Times New Roman" w:eastAsia="Times New Roman" w:hAnsi="Times New Roman"/>
                <w:b/>
                <w:bCs/>
                <w:noProof w:val="0"/>
                <w:sz w:val="15"/>
                <w:szCs w:val="15"/>
                <w:vertAlign w:val="superscript"/>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Times New Roman" w:eastAsia="Times New Roman" w:hAnsi="Times New Roman"/>
                <w:noProof w:val="0"/>
                <w:sz w:val="15"/>
                <w:szCs w:val="15"/>
                <w:vertAlign w:val="superscript"/>
                <w:lang w:val="sr-Latn-RS"/>
              </w:rPr>
            </w:pPr>
            <w:r w:rsidRPr="000A4F4F">
              <w:rPr>
                <w:rFonts w:ascii="Times New Roman" w:eastAsia="Times New Roman" w:hAnsi="Times New Roman"/>
                <w:b/>
                <w:bCs/>
                <w:noProof w:val="0"/>
                <w:sz w:val="15"/>
                <w:szCs w:val="15"/>
                <w:vertAlign w:val="superscript"/>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Površinski aktivne materije (kao laurilsulfat)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&gt;500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AOH (adsorbujući organski halogen)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&gt;250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b/>
                <w:bCs/>
                <w:noProof w:val="0"/>
                <w:lang w:val="sr-Latn-RS"/>
              </w:rPr>
            </w:pPr>
            <w:r w:rsidRPr="000A4F4F">
              <w:rPr>
                <w:rFonts w:ascii="Arial" w:eastAsia="Times New Roman" w:hAnsi="Arial" w:cs="Arial"/>
                <w:b/>
                <w:bCs/>
                <w:noProof w:val="0"/>
                <w:lang w:val="sr-Latn-RS"/>
              </w:rPr>
              <w:t xml:space="preserve">Mikrobiološki parametri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Fekalni koliformi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cfu/100ml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&gt;100000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Ukupni koliformi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cfu/100ml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500</w:t>
            </w:r>
            <w:r w:rsidRPr="000A4F4F">
              <w:rPr>
                <w:rFonts w:ascii="Arial" w:eastAsia="Times New Roman" w:hAnsi="Arial" w:cs="Arial"/>
                <w:b/>
                <w:bCs/>
                <w:noProof w:val="0"/>
                <w:sz w:val="15"/>
                <w:vertAlign w:val="superscript"/>
                <w:lang w:val="sr-Latn-RS"/>
              </w:rPr>
              <w:t>(11)</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&gt;1000000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Crevne enterokoke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cfu/100ml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&gt;40000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Broj aerobnih heterotrofa (metoda Kohl)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cfu/100ml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750000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&gt;750000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 - tvrdoća vode (mg/l CaCO3)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PN - prirodni nivo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Ako drugačije nije naglašeno vrednosti su izražene kao ukupne koncentracije u uzetoj probi</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Opis klase odgovara odličnom ekološkom statusu prema klasifikaciji datoj u pravilniku kojim se propisuju parametri ekološkog i hemijskog statusa za površinske vode. Površinske vode koje pripadaju ovoj klasi obezbeđuju na osnovu graničnih vrednosti elemenata kvaliteta uslove za funkcionisanje ekosistema, život i zaštitu riba (salmonida i ciprinida) i mogu se koristiti u sledeće svrhe: snabdevanje vodom za piće uz prethodni tretman filtracijom i dezinfekcijom, kupanje i rekreaciju, navodnjavanje, industrijsku upotrebu (procesne i rashladne vode).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(3)</w:t>
      </w:r>
      <w:r w:rsidRPr="000A4F4F">
        <w:rPr>
          <w:rFonts w:ascii="Arial" w:eastAsia="Times New Roman" w:hAnsi="Arial" w:cs="Arial"/>
          <w:i/>
          <w:iCs/>
          <w:noProof w:val="0"/>
          <w:lang w:val="sr-Latn-RS"/>
        </w:rPr>
        <w:t>Opis klase odgovara dobrom ekološkom statusu prema klasifikaciji datoj u pravilniku kojim se propisuju parametri ekološkog i hemijskog statusa za površinske vode. Površinske vode koje pripadaju ovoj klasi obezbeđuju na osnovu graničnih vrednosti elemenata kvaliteta uslove za funkcionisanje ekosistema, život i zaštitu riba (ciprinida) i mogu se koristiti u iste svrhe i pod istim uslovima kao i površinske vode koje pripadaju klasi I.</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(4)</w:t>
      </w:r>
      <w:r w:rsidRPr="000A4F4F">
        <w:rPr>
          <w:rFonts w:ascii="Arial" w:eastAsia="Times New Roman" w:hAnsi="Arial" w:cs="Arial"/>
          <w:i/>
          <w:iCs/>
          <w:noProof w:val="0"/>
          <w:lang w:val="sr-Latn-RS"/>
        </w:rPr>
        <w:t>Opis klase odgovara umerenom ekološkom statusu prema klasifikaciji datoj u pravilniku kojim se propisuju parametri ekološkog i hemijskog statusa za površinske vode. Površinske vode koje pripadaju ovoj klasi obezbeđuju na osnovu graničnih vrednosti elemenata kvaliteta uslove za život i zaštitu ciprinida i mogu se koristiti u sledeće svrhe: snabdevanje vodom za piće uz prethodni tretman koagulacijom, flokulacijom, filtracijom i dezinfekcijom, kupanje i rekreaciju, navodnjavanje, industrijsku upotrebu (procesne i rashladne vode).</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(5)</w:t>
      </w:r>
      <w:r w:rsidRPr="000A4F4F">
        <w:rPr>
          <w:rFonts w:ascii="Arial" w:eastAsia="Times New Roman" w:hAnsi="Arial" w:cs="Arial"/>
          <w:i/>
          <w:iCs/>
          <w:noProof w:val="0"/>
          <w:lang w:val="sr-Latn-RS"/>
        </w:rPr>
        <w:t xml:space="preserve">Opis klase odgovara slabom ekološkom statusu prema klasifikaciji datoj u pravilniku kojim se propisuju parametri ekološkog i hemijskog statusa za površinske vode. Površinske vode koje pripadaju ovoj klasi na osnovu graničnih vrednosti elemenata kvaliteta mogu se koristiti u sledeće svrhe: snabdevanje vodom za piće uz primenu kombinacije prethodno navedenih tretmana i unapređenih metoda tretmana, navodnjavanje, industrijsku upotrebu (procesne i </w:t>
      </w:r>
      <w:r w:rsidRPr="000A4F4F">
        <w:rPr>
          <w:rFonts w:ascii="Arial" w:eastAsia="Times New Roman" w:hAnsi="Arial" w:cs="Arial"/>
          <w:i/>
          <w:iCs/>
          <w:noProof w:val="0"/>
          <w:lang w:val="sr-Latn-RS"/>
        </w:rPr>
        <w:lastRenderedPageBreak/>
        <w:t>rashladne vode).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(6)</w:t>
      </w:r>
      <w:r w:rsidRPr="000A4F4F">
        <w:rPr>
          <w:rFonts w:ascii="Arial" w:eastAsia="Times New Roman" w:hAnsi="Arial" w:cs="Arial"/>
          <w:i/>
          <w:iCs/>
          <w:noProof w:val="0"/>
          <w:lang w:val="sr-Latn-RS"/>
        </w:rPr>
        <w:t>Opis klase odgovara lošem ekološkom statusu prema klasifikaciji datoj u pravilniku kojim se propisuju parametri ekološkog i hemijskog statusa za površinske vode. Površinske vode koje pripadaju ovoj klasi ne mogu se koristiti ni u jednu svrhu.</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(7)</w:t>
      </w:r>
      <w:r w:rsidRPr="000A4F4F">
        <w:rPr>
          <w:rFonts w:ascii="Arial" w:eastAsia="Times New Roman" w:hAnsi="Arial" w:cs="Arial"/>
          <w:i/>
          <w:iCs/>
          <w:noProof w:val="0"/>
          <w:lang w:val="sr-Latn-RS"/>
        </w:rPr>
        <w:t>Ukupan fosfor se analizira iz filtrata, tj. iz rastvorene faze koja je dobijena filtracijom kroz 0,45 mm filter.</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(8)</w:t>
      </w:r>
      <w:r w:rsidRPr="000A4F4F">
        <w:rPr>
          <w:rFonts w:ascii="Arial" w:eastAsia="Times New Roman" w:hAnsi="Arial" w:cs="Arial"/>
          <w:i/>
          <w:iCs/>
          <w:noProof w:val="0"/>
          <w:lang w:val="sr-Latn-RS"/>
        </w:rPr>
        <w:t>Vidi Prilog 1, Tabela 2 i Tabela 3, u kojima su date granične vrednosti zagađujućih supstanci za I odnosno II klasu površinskih voda.</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(9)</w:t>
      </w:r>
      <w:r w:rsidRPr="000A4F4F">
        <w:rPr>
          <w:rFonts w:ascii="Arial" w:eastAsia="Times New Roman" w:hAnsi="Arial" w:cs="Arial"/>
          <w:i/>
          <w:iCs/>
          <w:noProof w:val="0"/>
          <w:lang w:val="sr-Latn-RS"/>
        </w:rPr>
        <w:t>Parametar se prati samo u površinskim vodama koje su imenovane kao salmonidne ili ciprinidne.</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(10)</w:t>
      </w:r>
      <w:r w:rsidRPr="000A4F4F">
        <w:rPr>
          <w:rFonts w:ascii="Arial" w:eastAsia="Times New Roman" w:hAnsi="Arial" w:cs="Arial"/>
          <w:i/>
          <w:iCs/>
          <w:noProof w:val="0"/>
          <w:lang w:val="sr-Latn-RS"/>
        </w:rPr>
        <w:t>Naftni derivati ne smeju biti prisutni u vodi u takvim količinama da:</w:t>
      </w:r>
      <w:r w:rsidRPr="000A4F4F">
        <w:rPr>
          <w:rFonts w:ascii="Arial" w:eastAsia="Times New Roman" w:hAnsi="Arial" w:cs="Arial"/>
          <w:i/>
          <w:iCs/>
          <w:noProof w:val="0"/>
          <w:lang w:val="sr-Latn-RS"/>
        </w:rPr>
        <w:br/>
        <w:t>- formiraju vidljivi film na površini vode ili prevlake na obalama vodotokova i jezera,</w:t>
      </w:r>
      <w:r w:rsidRPr="000A4F4F">
        <w:rPr>
          <w:rFonts w:ascii="Arial" w:eastAsia="Times New Roman" w:hAnsi="Arial" w:cs="Arial"/>
          <w:i/>
          <w:iCs/>
          <w:noProof w:val="0"/>
          <w:lang w:val="sr-Latn-RS"/>
        </w:rPr>
        <w:br/>
        <w:t>- daju prepoznatljivi "ugljovodonični" ukus ribama,</w:t>
      </w:r>
      <w:r w:rsidRPr="000A4F4F">
        <w:rPr>
          <w:rFonts w:ascii="Arial" w:eastAsia="Times New Roman" w:hAnsi="Arial" w:cs="Arial"/>
          <w:i/>
          <w:iCs/>
          <w:noProof w:val="0"/>
          <w:lang w:val="sr-Latn-RS"/>
        </w:rPr>
        <w:br/>
        <w:t xml:space="preserve">- izazivaju štetne efekte u ribama. </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(11)</w:t>
      </w:r>
      <w:r w:rsidRPr="000A4F4F">
        <w:rPr>
          <w:rFonts w:ascii="Arial" w:eastAsia="Times New Roman" w:hAnsi="Arial" w:cs="Arial"/>
          <w:i/>
          <w:iCs/>
          <w:noProof w:val="0"/>
          <w:lang w:val="sr-Latn-RS"/>
        </w:rPr>
        <w:t>Bazirano na 95% -noj proceni</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(12)</w:t>
      </w:r>
      <w:r w:rsidRPr="000A4F4F">
        <w:rPr>
          <w:rFonts w:ascii="Arial" w:eastAsia="Times New Roman" w:hAnsi="Arial" w:cs="Arial"/>
          <w:i/>
          <w:iCs/>
          <w:noProof w:val="0"/>
          <w:lang w:val="sr-Latn-RS"/>
        </w:rPr>
        <w:t xml:space="preserve">Dozvoljeno je odstupanje od graničnih vrednosti u slučaju specifičnih geografskih uslova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Tabela 2. Granične vrednosti zagađujućih materija za odličan ekološki status odnosno I klasu</w:t>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noProof w:val="0"/>
          <w:lang w:val="sr-Latn-RS"/>
        </w:rPr>
        <w:t xml:space="preserve"> površinskih voda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789"/>
        <w:gridCol w:w="449"/>
        <w:gridCol w:w="1154"/>
        <w:gridCol w:w="641"/>
        <w:gridCol w:w="1003"/>
        <w:gridCol w:w="1090"/>
        <w:gridCol w:w="676"/>
        <w:gridCol w:w="1113"/>
        <w:gridCol w:w="790"/>
        <w:gridCol w:w="715"/>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Tipovi površinskih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pH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Rastvoreni kiseonik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BPK5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Ukupni Organski ugljenik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Amonijum jon (NH</w:t>
            </w:r>
            <w:r w:rsidRPr="000A4F4F">
              <w:rPr>
                <w:rFonts w:ascii="Arial" w:eastAsia="Times New Roman" w:hAnsi="Arial" w:cs="Arial"/>
                <w:noProof w:val="0"/>
                <w:sz w:val="15"/>
                <w:vertAlign w:val="subscript"/>
                <w:lang w:val="sr-Latn-RS"/>
              </w:rPr>
              <w:t>4</w:t>
            </w:r>
            <w:r w:rsidRPr="000A4F4F">
              <w:rPr>
                <w:rFonts w:ascii="Arial" w:eastAsia="Times New Roman" w:hAnsi="Arial" w:cs="Arial"/>
                <w:noProof w:val="0"/>
                <w:lang w:val="sr-Latn-RS"/>
              </w:rPr>
              <w:t xml:space="preserve">-N)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Nitrati (NO</w:t>
            </w:r>
            <w:r w:rsidRPr="000A4F4F">
              <w:rPr>
                <w:rFonts w:ascii="Arial" w:eastAsia="Times New Roman" w:hAnsi="Arial" w:cs="Arial"/>
                <w:noProof w:val="0"/>
                <w:sz w:val="15"/>
                <w:vertAlign w:val="subscript"/>
                <w:lang w:val="sr-Latn-RS"/>
              </w:rPr>
              <w:t>3</w:t>
            </w:r>
            <w:r w:rsidRPr="000A4F4F">
              <w:rPr>
                <w:rFonts w:ascii="Arial" w:eastAsia="Times New Roman" w:hAnsi="Arial" w:cs="Arial"/>
                <w:noProof w:val="0"/>
                <w:lang w:val="sr-Latn-RS"/>
              </w:rPr>
              <w:t xml:space="preserve">-N)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Ortofosfati (PO</w:t>
            </w:r>
            <w:r w:rsidRPr="000A4F4F">
              <w:rPr>
                <w:rFonts w:ascii="Arial" w:eastAsia="Times New Roman" w:hAnsi="Arial" w:cs="Arial"/>
                <w:noProof w:val="0"/>
                <w:sz w:val="15"/>
                <w:vertAlign w:val="subscript"/>
                <w:lang w:val="sr-Latn-RS"/>
              </w:rPr>
              <w:t>4</w:t>
            </w:r>
            <w:r w:rsidRPr="000A4F4F">
              <w:rPr>
                <w:rFonts w:ascii="Arial" w:eastAsia="Times New Roman" w:hAnsi="Arial" w:cs="Arial"/>
                <w:noProof w:val="0"/>
                <w:sz w:val="15"/>
                <w:vertAlign w:val="superscript"/>
                <w:lang w:val="sr-Latn-RS"/>
              </w:rPr>
              <w:t>3</w:t>
            </w:r>
            <w:r w:rsidRPr="000A4F4F">
              <w:rPr>
                <w:rFonts w:ascii="Arial" w:eastAsia="Times New Roman" w:hAnsi="Arial" w:cs="Arial"/>
                <w:noProof w:val="0"/>
                <w:lang w:val="sr-Latn-RS"/>
              </w:rPr>
              <w:t xml:space="preserve">-)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Ukupni fosfor (P)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Hloridi (Cl.) (mg/l)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Velike nizijske reke, dominacija finog nanosa (Tip 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8,5</w:t>
            </w:r>
            <w:r w:rsidRPr="000A4F4F">
              <w:rPr>
                <w:rFonts w:ascii="Arial" w:eastAsia="Times New Roman" w:hAnsi="Arial" w:cs="Arial"/>
                <w:b/>
                <w:bCs/>
                <w:noProof w:val="0"/>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Velike reke, dominacija srednjeg nanosa, izuzev reka područja Panonske nizije (Tip 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i srednji vodotoci, nadmorska visina do 500 m, dominacija krupne podloge (Tip 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i srednji vodotoci, nadmorska visina preko 500m, dominacija krupne podloge (Tip 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Vodotoci područja Panonske nizije, izuzev vodotoka svrstanih u tip 1 (Tip 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vodotoci izvan područja Panonske nizije koji nisu obuhvaćeni tipovima 3 i 4, kao i vodotoci koji nisu obuhvaćeni Pravilnikom o utvrđivanju vodnih tela površinskih i podzemnih voda ("Službeni glasnik RS", broj 96/10) (Tip 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Jezera nadmorske visine do 200 m.n.m, sva plitka jezera (do 10 m dubine), svi barsko-močvarni ekosistemi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Jezera nadmorske visine preko 200 m.n.m, srednje dubine (dubina 10-30 m) i duboka (dubina &gt;30m)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8,52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Opis klase odgovara odličnom ekološkom statusu prema klasifikaciji datoj u pravilniku kojim se propisuju parametri ekološkog i hemijskog statusa za površinske vode. Površinske vode koje pripadaju ovoj klasi obezbeđuju na osnovu graničnih vrednosti elemenata kvaliteta uslove za funkcionisanje ekosistema, život i zaštitu riba (salmonida i ciprinida) i mogu se koristiti u sledeće svrhe: snabdevanje vodom za piće uz prethodni tretman filtracijom i dezinfekcijom, kupanje i rekreaciju, navodnjavanje, industrijsku upotrebu (procesne i rashladne).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Vrednost parametra može biti i manja ako je prirodna vrednost manja</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Tabela 3. Granične vrednosti zagađujućih materija za dobar ekološki status odnosno II klasu</w:t>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noProof w:val="0"/>
          <w:lang w:val="sr-Latn-RS"/>
        </w:rPr>
        <w:t xml:space="preserve"> površinskih voda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615"/>
        <w:gridCol w:w="745"/>
        <w:gridCol w:w="1138"/>
        <w:gridCol w:w="634"/>
        <w:gridCol w:w="980"/>
        <w:gridCol w:w="1071"/>
        <w:gridCol w:w="661"/>
        <w:gridCol w:w="1099"/>
        <w:gridCol w:w="773"/>
        <w:gridCol w:w="704"/>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Tipovi površinskih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pH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Rastvoreni kiseonik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BPK5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Ukupni Organski ugljenik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Amonijum jon (NH</w:t>
            </w:r>
            <w:r w:rsidRPr="000A4F4F">
              <w:rPr>
                <w:rFonts w:ascii="Arial" w:eastAsia="Times New Roman" w:hAnsi="Arial" w:cs="Arial"/>
                <w:noProof w:val="0"/>
                <w:sz w:val="15"/>
                <w:vertAlign w:val="subscript"/>
                <w:lang w:val="sr-Latn-RS"/>
              </w:rPr>
              <w:t>4</w:t>
            </w:r>
            <w:r w:rsidRPr="000A4F4F">
              <w:rPr>
                <w:rFonts w:ascii="Arial" w:eastAsia="Times New Roman" w:hAnsi="Arial" w:cs="Arial"/>
                <w:noProof w:val="0"/>
                <w:lang w:val="sr-Latn-RS"/>
              </w:rPr>
              <w:t xml:space="preserve">-N)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Nitrati (NO</w:t>
            </w:r>
            <w:r w:rsidRPr="000A4F4F">
              <w:rPr>
                <w:rFonts w:ascii="Arial" w:eastAsia="Times New Roman" w:hAnsi="Arial" w:cs="Arial"/>
                <w:noProof w:val="0"/>
                <w:sz w:val="15"/>
                <w:vertAlign w:val="subscript"/>
                <w:lang w:val="sr-Latn-RS"/>
              </w:rPr>
              <w:t>3</w:t>
            </w:r>
            <w:r w:rsidRPr="000A4F4F">
              <w:rPr>
                <w:rFonts w:ascii="Arial" w:eastAsia="Times New Roman" w:hAnsi="Arial" w:cs="Arial"/>
                <w:noProof w:val="0"/>
                <w:lang w:val="sr-Latn-RS"/>
              </w:rPr>
              <w:t xml:space="preserve">-N)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Ortofosfati (PO</w:t>
            </w:r>
            <w:r w:rsidRPr="000A4F4F">
              <w:rPr>
                <w:rFonts w:ascii="Arial" w:eastAsia="Times New Roman" w:hAnsi="Arial" w:cs="Arial"/>
                <w:noProof w:val="0"/>
                <w:sz w:val="15"/>
                <w:vertAlign w:val="subscript"/>
                <w:lang w:val="sr-Latn-RS"/>
              </w:rPr>
              <w:t>4</w:t>
            </w:r>
            <w:r w:rsidRPr="000A4F4F">
              <w:rPr>
                <w:rFonts w:ascii="Arial" w:eastAsia="Times New Roman" w:hAnsi="Arial" w:cs="Arial"/>
                <w:noProof w:val="0"/>
                <w:sz w:val="15"/>
                <w:vertAlign w:val="superscript"/>
                <w:lang w:val="sr-Latn-RS"/>
              </w:rPr>
              <w:t>3</w:t>
            </w:r>
            <w:r w:rsidRPr="000A4F4F">
              <w:rPr>
                <w:rFonts w:ascii="Arial" w:eastAsia="Times New Roman" w:hAnsi="Arial" w:cs="Arial"/>
                <w:noProof w:val="0"/>
                <w:lang w:val="sr-Latn-RS"/>
              </w:rPr>
              <w:t xml:space="preserve">-)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Ukupni fosfor (P) (mg/l) </w:t>
            </w:r>
          </w:p>
        </w:tc>
        <w:tc>
          <w:tcPr>
            <w:tcW w:w="0" w:type="auto"/>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Hloridi (Cl.) (mg/l)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Velike nizijske reke, dominacija finog nanosa (Tip 1) </w:t>
            </w:r>
          </w:p>
        </w:tc>
        <w:tc>
          <w:tcPr>
            <w:tcW w:w="0" w:type="auto"/>
            <w:tcBorders>
              <w:top w:val="outset" w:sz="6" w:space="0" w:color="auto"/>
              <w:left w:val="outset" w:sz="6" w:space="0" w:color="auto"/>
              <w:bottom w:val="outset" w:sz="6" w:space="0" w:color="auto"/>
              <w:right w:val="outset" w:sz="6" w:space="0" w:color="auto"/>
            </w:tcBorders>
            <w:noWrap/>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Velike reke, dominacija srednjeg nanosa, izuzev reka područja Panonske nizije (Tip 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i srednji vodotoci, nadmorska visina do 500 m, dominacija krupne podloge (Tip 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i srednji vodotoci, nadmorska visina preko 500 m, dominacija krupne podloge (Tip 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Vodotoci područja Panonske nizije, izuzev vodotoka svrstanih u tip 1 (Tip 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Mali vodotoci izvan područja Panonske nizije koji nisu obuhvaćeni tipovima 3 i 4, kao i vodotoci koji nisu </w:t>
            </w:r>
            <w:r w:rsidRPr="000A4F4F">
              <w:rPr>
                <w:rFonts w:ascii="Arial" w:eastAsia="Times New Roman" w:hAnsi="Arial" w:cs="Arial"/>
                <w:noProof w:val="0"/>
                <w:lang w:val="sr-Latn-RS"/>
              </w:rPr>
              <w:lastRenderedPageBreak/>
              <w:t xml:space="preserve">obuhvaćeni Pravilnikom o utvrđivanju vodnih tela površinskih i podzemnih voda ("Službeni glasnik RS", broj 96/10) (Tip 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Jezera nadmorske visine do 200 m.n.m, sva plitka jezera (do 10 m dubine), svi barsko-močvarni ekosistemi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Jezera nadmorske visine preko 200 m.n.m, srednje dubine (dubina 10-30 m) i duboka (dubina &gt;30m)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Akumulacije formirane na vodnim telima tipa 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Akumulacije formirane na vodnim telima tipa 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Akumulacije formirane na vodnim telima TIPA 3 i TIPA 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8,5</w:t>
            </w:r>
            <w:r w:rsidRPr="000A4F4F">
              <w:rPr>
                <w:rFonts w:ascii="Arial" w:eastAsia="Times New Roman" w:hAnsi="Arial" w:cs="Arial"/>
                <w:b/>
                <w:bCs/>
                <w:noProof w:val="0"/>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Akumulacije formirane na vodnim telima TIPA 5 i TIPA 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Veštačka vodna tela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6,5-8,5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 xml:space="preserve">Opis klase odgovara dobrom ekološkom statusu prema klasifikaciji datoj u pravilniku kojim se propisuju parametri ekološkog i hemijskog statusa za površinske vode. Površinske vode koje </w:t>
      </w:r>
      <w:r w:rsidRPr="000A4F4F">
        <w:rPr>
          <w:rFonts w:ascii="Arial" w:eastAsia="Times New Roman" w:hAnsi="Arial" w:cs="Arial"/>
          <w:i/>
          <w:iCs/>
          <w:noProof w:val="0"/>
          <w:lang w:val="sr-Latn-RS"/>
        </w:rPr>
        <w:lastRenderedPageBreak/>
        <w:t xml:space="preserve">pripadaju ovoj klasi obezbeđuju na osnovu graničnih vrednosti elemenata kvaliteta uslove za funkcionisanje ekosistema, život i zaštitu riba (ciprinida) i mogu se koristiti u iste svrhe i pod istim uslovima kao i površinske vode koje pripadaju klasi 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4. Primena graničnih vrednosti prioritetnih i prioritetnih hazardnih supstanci za utvrđivanje klase površinske vode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1624"/>
        <w:gridCol w:w="7796"/>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Klasa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Sadržaj prioritetnih i prioritetnih hazardnih supstanci u površinskim vodama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Klasa I</w:t>
            </w:r>
            <w:r w:rsidRPr="000A4F4F">
              <w:rPr>
                <w:rFonts w:ascii="Arial" w:eastAsia="Times New Roman" w:hAnsi="Arial" w:cs="Arial"/>
                <w:b/>
                <w:bCs/>
                <w:noProof w:val="0"/>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U toku godišnjeg ispitivanja izmerena vrednost ne sme da prekorači prosečnu godišnju koncentraciju (PGK)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Klasa II</w:t>
            </w:r>
            <w:r w:rsidRPr="000A4F4F">
              <w:rPr>
                <w:rFonts w:ascii="Arial" w:eastAsia="Times New Roman" w:hAnsi="Arial" w:cs="Arial"/>
                <w:b/>
                <w:bCs/>
                <w:noProof w:val="0"/>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Izmerena vrednost je ≤PGK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Klasa III</w:t>
            </w:r>
            <w:r w:rsidRPr="000A4F4F">
              <w:rPr>
                <w:rFonts w:ascii="Arial" w:eastAsia="Times New Roman" w:hAnsi="Arial" w:cs="Arial"/>
                <w:b/>
                <w:bCs/>
                <w:noProof w:val="0"/>
                <w:sz w:val="15"/>
                <w:vertAlign w:val="superscript"/>
                <w:lang w:val="sr-Latn-RS"/>
              </w:rPr>
              <w:t>(3)</w:t>
            </w:r>
            <w:r w:rsidRPr="000A4F4F">
              <w:rPr>
                <w:rFonts w:ascii="Arial" w:eastAsia="Times New Roman" w:hAnsi="Arial" w:cs="Arial"/>
                <w:noProof w:val="0"/>
                <w:lang w:val="sr-Latn-RS"/>
              </w:rPr>
              <w:t xml:space="preserve"> i klasa IV</w:t>
            </w:r>
            <w:r w:rsidRPr="000A4F4F">
              <w:rPr>
                <w:rFonts w:ascii="Arial" w:eastAsia="Times New Roman" w:hAnsi="Arial" w:cs="Arial"/>
                <w:b/>
                <w:bCs/>
                <w:noProof w:val="0"/>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Izmerena vrednost je &gt;PGK i ≤MDK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Klasa V</w:t>
            </w:r>
            <w:r w:rsidRPr="000A4F4F">
              <w:rPr>
                <w:rFonts w:ascii="Arial" w:eastAsia="Times New Roman" w:hAnsi="Arial" w:cs="Arial"/>
                <w:b/>
                <w:bCs/>
                <w:noProof w:val="0"/>
                <w:sz w:val="15"/>
                <w:vertAlign w:val="super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Izmerena vrednost je &gt;MDK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Opis klase odgovara odličnom ekološkom statusu prema klasifikaciji datoj u pravilniku kojim se propisuju parametri ekološkog i hemijskog statusa za površinske vode. Površinske vode koje pripadaju ovoj klasi obezbeđuju na osnovu graničnih vrednosti elemenata kvaliteta uslove za funkcionisanje ekosistema, život i zaštitu riba (salmonida i ciprinida) i mogu se koristiti u sledeće svrhe: snabdevanje vodom za piće uz prethodni tretman filtracijom i dezinfekcijom, kupanje i rekreaciju, navodnjavanje, industrijsku upotrebu (procesne i rashladne vode).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Opis klase odgovara dobrom ekološkom statusu prema klasifikaciji datoj u pravilniku kojim se propisuju parametri ekološkog i hemijskog statusa za površinske vode. Površinske vode koje pripadaju ovoj klasi obezbeđuju na osnovu graničnih vrednosti elemenata kvaliteta uslove za funkcionisanje ekosistema, život i zaštitu riba (ciprinida) i mogu se koristiti u iste svrhe i pod istim uslovima kao i površinske vode koje pripadaju klasi I.</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(3)</w:t>
      </w:r>
      <w:r w:rsidRPr="000A4F4F">
        <w:rPr>
          <w:rFonts w:ascii="Arial" w:eastAsia="Times New Roman" w:hAnsi="Arial" w:cs="Arial"/>
          <w:i/>
          <w:iCs/>
          <w:noProof w:val="0"/>
          <w:lang w:val="sr-Latn-RS"/>
        </w:rPr>
        <w:t>Opis klase odgovara umerenom ekološkom statusu prema klasifikaciji datoj u pravilniku kojim se propisuju parametri ekološkog i hemijskog statusa za površinske vode. Površinske vode koje pripadaju ovoj klasi obezbeđuju na osnovu graničnih vrednosti elemenata kvaliteta uslove za život i zaštitu ciprinida i mogu se koristiti u sledeće svrhe: snabdevanje vodom za piće uz prethodni tretman koagulacijom, flokulacijom, filtracijom i dezinfekcijom, kupanje i rekreaciju, navodnjavanje, industrijsku upotrebu (procesne i rashladne vode).</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(4)</w:t>
      </w:r>
      <w:r w:rsidRPr="000A4F4F">
        <w:rPr>
          <w:rFonts w:ascii="Arial" w:eastAsia="Times New Roman" w:hAnsi="Arial" w:cs="Arial"/>
          <w:i/>
          <w:iCs/>
          <w:noProof w:val="0"/>
          <w:lang w:val="sr-Latn-RS"/>
        </w:rPr>
        <w:t>Opis klase odgovara slabom ekološkom statusu prema klasifikaciji datoj u pravilniku kojim se propisuju parametri ekološkog i hemijskog statusa za površinske vode. Površinske vode koje pripadaju ovoj klasi na osnovu graničnih vrednosti elemenata kvaliteta mogu se koristiti u sledeće svrhe: snabdevanje vodom za piće uz primenu kombinacije prethodno navedenih tretmana i unapređenih metoda tretmana, navodnjavanje, industrijsku upotrebu (procesne i rashladne vode).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(5)</w:t>
      </w:r>
      <w:r w:rsidRPr="000A4F4F">
        <w:rPr>
          <w:rFonts w:ascii="Arial" w:eastAsia="Times New Roman" w:hAnsi="Arial" w:cs="Arial"/>
          <w:i/>
          <w:iCs/>
          <w:noProof w:val="0"/>
          <w:lang w:val="sr-Latn-RS"/>
        </w:rPr>
        <w:t xml:space="preserve">Opis klase odgovara lošem ekološkom statusu prema klasifikaciji datoj u pravilniku kojim se propisuju parametri ekološkog i hemijskog statusa za površinske vode. Površinske vode koje pripadaju ovoj klasi ne mogu se koristiti ni u jednu svrhu.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bookmarkStart w:id="22" w:name="str_8"/>
      <w:bookmarkEnd w:id="22"/>
      <w:r w:rsidRPr="000A4F4F">
        <w:rPr>
          <w:rFonts w:ascii="Arial" w:eastAsia="Times New Roman" w:hAnsi="Arial" w:cs="Arial"/>
          <w:b/>
          <w:bCs/>
          <w:noProof w:val="0"/>
          <w:sz w:val="29"/>
          <w:szCs w:val="29"/>
          <w:lang w:val="sr-Latn-RS"/>
        </w:rPr>
        <w:t xml:space="preserve">Prilog 2.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r w:rsidRPr="000A4F4F">
        <w:rPr>
          <w:rFonts w:ascii="Arial" w:eastAsia="Times New Roman" w:hAnsi="Arial" w:cs="Arial"/>
          <w:b/>
          <w:bCs/>
          <w:noProof w:val="0"/>
          <w:sz w:val="29"/>
          <w:szCs w:val="29"/>
          <w:lang w:val="sr-Latn-RS"/>
        </w:rPr>
        <w:t xml:space="preserve">PODZEMNE VODE </w:t>
      </w:r>
    </w:p>
    <w:p w:rsidR="000A4F4F" w:rsidRPr="000A4F4F" w:rsidRDefault="000A4F4F" w:rsidP="000A4F4F">
      <w:pPr>
        <w:spacing w:before="240" w:after="240" w:line="240" w:lineRule="auto"/>
        <w:jc w:val="center"/>
        <w:rPr>
          <w:rFonts w:ascii="Arial" w:eastAsia="Times New Roman" w:hAnsi="Arial" w:cs="Arial"/>
          <w:b/>
          <w:bCs/>
          <w:noProof w:val="0"/>
          <w:sz w:val="24"/>
          <w:szCs w:val="24"/>
          <w:lang w:val="sr-Latn-RS"/>
        </w:rPr>
      </w:pPr>
      <w:bookmarkStart w:id="23" w:name="str_9"/>
      <w:bookmarkEnd w:id="23"/>
      <w:r w:rsidRPr="000A4F4F">
        <w:rPr>
          <w:rFonts w:ascii="Arial" w:eastAsia="Times New Roman" w:hAnsi="Arial" w:cs="Arial"/>
          <w:b/>
          <w:bCs/>
          <w:noProof w:val="0"/>
          <w:sz w:val="24"/>
          <w:szCs w:val="24"/>
          <w:lang w:val="sr-Latn-RS"/>
        </w:rPr>
        <w:t xml:space="preserve">I. Standardi kvaliteta za podzemne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Tabela 1. Granične vrednosti zagađujućih materija u podzemnim vodama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5710"/>
        <w:gridCol w:w="1137"/>
        <w:gridCol w:w="2573"/>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Prosečna godišnja koncentracija (PGK)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Nitrati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Aktivne supstance u pesticidima</w:t>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noProof w:val="0"/>
                <w:lang w:val="sr-Latn-RS"/>
              </w:rPr>
              <w:t xml:space="preserve">, uključujući njihove relevantne metabolite, produkte degradacije i reakcija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[μg/l]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0,1 </w:t>
            </w:r>
            <w:r w:rsidRPr="000A4F4F">
              <w:rPr>
                <w:rFonts w:ascii="Arial" w:eastAsia="Times New Roman" w:hAnsi="Arial" w:cs="Arial"/>
                <w:noProof w:val="0"/>
                <w:lang w:val="sr-Latn-RS"/>
              </w:rPr>
              <w:br/>
              <w:t>0,5 (ukupan)</w:t>
            </w:r>
            <w:r w:rsidRPr="000A4F4F">
              <w:rPr>
                <w:rFonts w:ascii="Arial" w:eastAsia="Times New Roman" w:hAnsi="Arial" w:cs="Arial"/>
                <w:b/>
                <w:bCs/>
                <w:noProof w:val="0"/>
                <w:sz w:val="15"/>
                <w:vertAlign w:val="superscript"/>
                <w:lang w:val="sr-Latn-RS"/>
              </w:rPr>
              <w:t>(2)</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"Pesticidi" obuhvataju: organske insekticide, herbicide, fungicide, nematocide, akricide, algicide, slimicide i druge slične proizvode kao što su npr. regulatori rasta, njihove metabolite i proizvode reakcije razgradnje.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 xml:space="preserve">"Ukupan" znači sumu svih individualnih pesticida detektovanih i kvantifikovanih u procedurama monitoringa, uključujući i njihove relevantne metabolite, produkte degradacije i reakcije. </w:t>
      </w:r>
    </w:p>
    <w:p w:rsidR="000A4F4F" w:rsidRPr="000A4F4F" w:rsidRDefault="000A4F4F" w:rsidP="000A4F4F">
      <w:pPr>
        <w:spacing w:before="240" w:after="240" w:line="240" w:lineRule="auto"/>
        <w:jc w:val="center"/>
        <w:rPr>
          <w:rFonts w:ascii="Arial" w:eastAsia="Times New Roman" w:hAnsi="Arial" w:cs="Arial"/>
          <w:b/>
          <w:bCs/>
          <w:noProof w:val="0"/>
          <w:sz w:val="24"/>
          <w:szCs w:val="24"/>
          <w:lang w:val="sr-Latn-RS"/>
        </w:rPr>
      </w:pPr>
      <w:bookmarkStart w:id="24" w:name="str_10"/>
      <w:bookmarkEnd w:id="24"/>
      <w:r w:rsidRPr="000A4F4F">
        <w:rPr>
          <w:rFonts w:ascii="Arial" w:eastAsia="Times New Roman" w:hAnsi="Arial" w:cs="Arial"/>
          <w:b/>
          <w:bCs/>
          <w:noProof w:val="0"/>
          <w:sz w:val="24"/>
          <w:szCs w:val="24"/>
          <w:lang w:val="sr-Latn-RS"/>
        </w:rPr>
        <w:t xml:space="preserve">II. Liste zagađujućih materija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Lista 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organohalogena jedinjenja i materije koje mogu obrazovati takva jedinjenja u vodenoj sredini;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organofosforna jedinjenja;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organokalajna jedinjenja;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kancerogene, mutagene i teratogene materije, koje imaju te osobine ili ih ispoljavaju kroz ili preko vode;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živa i njena jedinjenja;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kadmijum i njegova jedinjenja;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mineralna ulja i ugljovodonici;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cijanidi.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Lista II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metali, metaloidi i njihova jedinjenja: Zn, Cu, Ni, Cr, Pb, Se, As, Sb, Mo, Ti, Sn, Ba, Be, B, U, V, Co, Tl, Te i Ag;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biocidi i derivati;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materije koje daju miris i ukus, ili obrazuju takve materije u podzemnoj vodi i čine je neupotrebljivom za ljudsku upotrebu;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toksična ili postojana jedinjenja silikona, ili ona koja formiraju takva jedinjenja, izuzev onih koja su biološki neškodljiva ili se pretvaraju u neškodljive materije;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 neorganska jedinjenja fosfora i elementarni fosfor;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fluoridi;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amonijak i nitrati.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bookmarkStart w:id="25" w:name="str_11"/>
      <w:bookmarkEnd w:id="25"/>
      <w:r w:rsidRPr="000A4F4F">
        <w:rPr>
          <w:rFonts w:ascii="Arial" w:eastAsia="Times New Roman" w:hAnsi="Arial" w:cs="Arial"/>
          <w:b/>
          <w:bCs/>
          <w:noProof w:val="0"/>
          <w:sz w:val="29"/>
          <w:szCs w:val="29"/>
          <w:lang w:val="sr-Latn-RS"/>
        </w:rPr>
        <w:t xml:space="preserve">Prilog 3. </w:t>
      </w:r>
    </w:p>
    <w:p w:rsidR="000A4F4F" w:rsidRPr="000A4F4F" w:rsidRDefault="000A4F4F" w:rsidP="000A4F4F">
      <w:pPr>
        <w:spacing w:after="0" w:line="240" w:lineRule="auto"/>
        <w:jc w:val="center"/>
        <w:rPr>
          <w:rFonts w:ascii="Arial" w:eastAsia="Times New Roman" w:hAnsi="Arial" w:cs="Arial"/>
          <w:b/>
          <w:bCs/>
          <w:noProof w:val="0"/>
          <w:sz w:val="29"/>
          <w:szCs w:val="29"/>
          <w:lang w:val="sr-Latn-RS"/>
        </w:rPr>
      </w:pPr>
      <w:r w:rsidRPr="000A4F4F">
        <w:rPr>
          <w:rFonts w:ascii="Arial" w:eastAsia="Times New Roman" w:hAnsi="Arial" w:cs="Arial"/>
          <w:b/>
          <w:bCs/>
          <w:noProof w:val="0"/>
          <w:sz w:val="29"/>
          <w:szCs w:val="29"/>
          <w:lang w:val="sr-Latn-RS"/>
        </w:rPr>
        <w:t xml:space="preserve">SEDIMENT </w:t>
      </w:r>
    </w:p>
    <w:p w:rsidR="000A4F4F" w:rsidRPr="000A4F4F" w:rsidRDefault="000A4F4F" w:rsidP="000A4F4F">
      <w:pPr>
        <w:spacing w:before="240" w:after="240" w:line="240" w:lineRule="auto"/>
        <w:jc w:val="center"/>
        <w:rPr>
          <w:rFonts w:ascii="Arial" w:eastAsia="Times New Roman" w:hAnsi="Arial" w:cs="Arial"/>
          <w:b/>
          <w:bCs/>
          <w:noProof w:val="0"/>
          <w:sz w:val="24"/>
          <w:szCs w:val="24"/>
          <w:lang w:val="sr-Latn-RS"/>
        </w:rPr>
      </w:pPr>
      <w:bookmarkStart w:id="26" w:name="str_12"/>
      <w:bookmarkEnd w:id="26"/>
      <w:r w:rsidRPr="000A4F4F">
        <w:rPr>
          <w:rFonts w:ascii="Arial" w:eastAsia="Times New Roman" w:hAnsi="Arial" w:cs="Arial"/>
          <w:b/>
          <w:bCs/>
          <w:noProof w:val="0"/>
          <w:sz w:val="24"/>
          <w:szCs w:val="24"/>
          <w:lang w:val="sr-Latn-RS"/>
        </w:rPr>
        <w:t xml:space="preserve">I. Granične vrednosti za ocenu kvaliteta sedimenta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1. Granične vrednosti za ocenu statusa i trenda kvaliteta sedimenta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2908"/>
        <w:gridCol w:w="1105"/>
        <w:gridCol w:w="1162"/>
        <w:gridCol w:w="2347"/>
        <w:gridCol w:w="1898"/>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Ciljna vrednost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Maksimalno dozvoljena koncentracija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Remedijaciona vrednost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Arsen (As)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Kadmijum (Cd)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12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Hrom (Cr)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380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Bakar (Cu)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190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Živa (Hg)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Olovo (Pb)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530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Nikal (Ni)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Cink (Zn)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720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Mineralna ulja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Policiklični aromatični ugljovodonici (PAH)</w:t>
            </w:r>
            <w:r w:rsidRPr="000A4F4F">
              <w:rPr>
                <w:rFonts w:ascii="Arial" w:eastAsia="Times New Roman" w:hAnsi="Arial" w:cs="Arial"/>
                <w:b/>
                <w:bCs/>
                <w:noProof w:val="0"/>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Naftalen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Antracen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Fenantren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Fluoranten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Benzo(a)antracen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Krizen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Benzo(k)fluoranten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Benzo(a)piren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Benzo(g,h,i)perilen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Indeno(1,2,3-cd)piren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Polihlorovani bifenili (PCB)</w:t>
            </w:r>
            <w:r w:rsidRPr="000A4F4F">
              <w:rPr>
                <w:rFonts w:ascii="Arial" w:eastAsia="Times New Roman" w:hAnsi="Arial" w:cs="Arial"/>
                <w:b/>
                <w:bCs/>
                <w:noProof w:val="0"/>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DDD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DDE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DDT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0,09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DDT ukupni</w:t>
            </w:r>
            <w:r w:rsidRPr="000A4F4F">
              <w:rPr>
                <w:rFonts w:ascii="Arial" w:eastAsia="Times New Roman" w:hAnsi="Arial" w:cs="Arial"/>
                <w:b/>
                <w:bCs/>
                <w:noProof w:val="0"/>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Aldrin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Dieldrin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Endrin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Ciklodien pesticidi </w:t>
            </w:r>
            <w:r w:rsidRPr="000A4F4F">
              <w:rPr>
                <w:rFonts w:ascii="Arial" w:eastAsia="Times New Roman" w:hAnsi="Arial" w:cs="Arial"/>
                <w:b/>
                <w:bCs/>
                <w:noProof w:val="0"/>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α-HCH</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β-HCH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γ-HCH (lindan)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HCH ukupni</w:t>
            </w:r>
            <w:r w:rsidRPr="000A4F4F">
              <w:rPr>
                <w:rFonts w:ascii="Arial" w:eastAsia="Times New Roman" w:hAnsi="Arial" w:cs="Arial"/>
                <w:b/>
                <w:bCs/>
                <w:noProof w:val="0"/>
                <w:sz w:val="15"/>
                <w:vertAlign w:val="super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µg/kg</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Alfa-endosulfan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Heptahlor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Heptahlor-epoksid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parametar se odnosi na sumu sledećih jedinjenja: naftalen, antracen, fenantren, fluoranten, benzo(a)antracen, krizen, benzo(k)fluoranten, benzo(a)piren, benzo(g,h,i)perilen, indeno(1,2,3-cd)piren</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parametar se odnosi na sumu sledećih pojedinačnih jedinjenja: PCB 28, 52, 101, 118, 138, 153 i 180.</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(3)</w:t>
      </w:r>
      <w:r w:rsidRPr="000A4F4F">
        <w:rPr>
          <w:rFonts w:ascii="Arial" w:eastAsia="Times New Roman" w:hAnsi="Arial" w:cs="Arial"/>
          <w:i/>
          <w:iCs/>
          <w:noProof w:val="0"/>
          <w:lang w:val="sr-Latn-RS"/>
        </w:rPr>
        <w:t>parametar se odnosi na sumu DDT, DDD i DDE</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(4)</w:t>
      </w:r>
      <w:r w:rsidRPr="000A4F4F">
        <w:rPr>
          <w:rFonts w:ascii="Arial" w:eastAsia="Times New Roman" w:hAnsi="Arial" w:cs="Arial"/>
          <w:i/>
          <w:iCs/>
          <w:noProof w:val="0"/>
          <w:lang w:val="sr-Latn-RS"/>
        </w:rPr>
        <w:t>parametar se odnosi na sumu aldrina, dieldrina i endrina</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(5)</w:t>
      </w:r>
      <w:r w:rsidRPr="000A4F4F">
        <w:rPr>
          <w:rFonts w:ascii="Arial" w:eastAsia="Times New Roman" w:hAnsi="Arial" w:cs="Arial"/>
          <w:i/>
          <w:iCs/>
          <w:noProof w:val="0"/>
          <w:lang w:val="sr-Latn-RS"/>
        </w:rPr>
        <w:t xml:space="preserve">parametar se odnosi na sumu četiri izomera heksahlorcikloheksana: </w:t>
      </w:r>
      <w:r w:rsidRPr="000A4F4F">
        <w:rPr>
          <w:rFonts w:ascii="Arial" w:eastAsia="Times New Roman" w:hAnsi="Arial" w:cs="Arial"/>
          <w:noProof w:val="0"/>
          <w:lang w:val="sr-Latn-RS"/>
        </w:rPr>
        <w:t>α</w:t>
      </w:r>
      <w:r w:rsidRPr="000A4F4F">
        <w:rPr>
          <w:rFonts w:ascii="Arial" w:eastAsia="Times New Roman" w:hAnsi="Arial" w:cs="Arial"/>
          <w:i/>
          <w:iCs/>
          <w:noProof w:val="0"/>
          <w:lang w:val="sr-Latn-RS"/>
        </w:rPr>
        <w:t xml:space="preserve">-HCH, β-HCH, γ-HCH, δ-HCH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2. Granične vrednosti za ocenu kvaliteta sedimenta pri izmuljivanju sedimenta iz vodotoka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2577"/>
        <w:gridCol w:w="1112"/>
        <w:gridCol w:w="1169"/>
        <w:gridCol w:w="1190"/>
        <w:gridCol w:w="1464"/>
        <w:gridCol w:w="1908"/>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Parametar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Jedinica mere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Ciljna vrednost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Vrednost limita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Verifikacioni Nivo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Remedijaciona vrednost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Arsen (As)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55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Kadmijum (Cd)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12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Hrom (Cr)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380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380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380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Bakar (Cu)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190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Živa (Hg)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Olovo (Pb)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530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530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Nikl (Ni)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210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Cink (Zn)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480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720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720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Mineralna ulja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Policiklični aromatični ugljovodonici (PAH)</w:t>
            </w:r>
            <w:r w:rsidRPr="000A4F4F">
              <w:rPr>
                <w:rFonts w:ascii="Arial" w:eastAsia="Times New Roman" w:hAnsi="Arial" w:cs="Arial"/>
                <w:b/>
                <w:bCs/>
                <w:noProof w:val="0"/>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Polihlorovani bifenili (PCB)</w:t>
            </w:r>
            <w:r w:rsidRPr="000A4F4F">
              <w:rPr>
                <w:rFonts w:ascii="Arial" w:eastAsia="Times New Roman" w:hAnsi="Arial" w:cs="Arial"/>
                <w:b/>
                <w:bCs/>
                <w:noProof w:val="0"/>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mg/kg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DDT ukupni</w:t>
            </w:r>
            <w:r w:rsidRPr="000A4F4F">
              <w:rPr>
                <w:rFonts w:ascii="Arial" w:eastAsia="Times New Roman" w:hAnsi="Arial" w:cs="Arial"/>
                <w:b/>
                <w:bCs/>
                <w:noProof w:val="0"/>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Ciklodien pesticidi</w:t>
            </w:r>
            <w:r w:rsidRPr="000A4F4F">
              <w:rPr>
                <w:rFonts w:ascii="Arial" w:eastAsia="Times New Roman" w:hAnsi="Arial" w:cs="Arial"/>
                <w:b/>
                <w:bCs/>
                <w:noProof w:val="0"/>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HCH ukupni</w:t>
            </w:r>
            <w:r w:rsidRPr="000A4F4F">
              <w:rPr>
                <w:rFonts w:ascii="Arial" w:eastAsia="Times New Roman" w:hAnsi="Arial" w:cs="Arial"/>
                <w:b/>
                <w:bCs/>
                <w:noProof w:val="0"/>
                <w:sz w:val="15"/>
                <w:vertAlign w:val="super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2000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Alfa-endosulfan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Heptahlor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0,7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Heptahlor-epoksid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µg/kg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0,0002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jc w:val="center"/>
              <w:rPr>
                <w:rFonts w:ascii="Arial" w:eastAsia="Times New Roman" w:hAnsi="Arial" w:cs="Arial"/>
                <w:noProof w:val="0"/>
                <w:lang w:val="sr-Latn-RS"/>
              </w:rPr>
            </w:pPr>
            <w:r w:rsidRPr="000A4F4F">
              <w:rPr>
                <w:rFonts w:ascii="Arial" w:eastAsia="Times New Roman" w:hAnsi="Arial" w:cs="Arial"/>
                <w:noProof w:val="0"/>
                <w:lang w:val="sr-Latn-RS"/>
              </w:rPr>
              <w:t xml:space="preserve">4000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______________</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1</w:t>
      </w:r>
      <w:r w:rsidRPr="000A4F4F">
        <w:rPr>
          <w:rFonts w:ascii="Arial" w:eastAsia="Times New Roman" w:hAnsi="Arial" w:cs="Arial"/>
          <w:i/>
          <w:iCs/>
          <w:noProof w:val="0"/>
          <w:lang w:val="sr-Latn-RS"/>
        </w:rPr>
        <w:t>parametar se odnosi na sumu sledećih jedinjenja: naftalen, antracen, fenantren, fluoranten, benzo(a)antracen, krizen, benzo(k)fluoranten, benzo(a)piren, benzo(g,h,i)perilen, indeno(1,2,3-cd)piren</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2</w:t>
      </w:r>
      <w:r w:rsidRPr="000A4F4F">
        <w:rPr>
          <w:rFonts w:ascii="Arial" w:eastAsia="Times New Roman" w:hAnsi="Arial" w:cs="Arial"/>
          <w:i/>
          <w:iCs/>
          <w:noProof w:val="0"/>
          <w:lang w:val="sr-Latn-RS"/>
        </w:rPr>
        <w:t>parametar se odnosi na sumu sledećih pojedinačnih jedinjenja: PCB 28, 52, 101, 118, 138, 153 i 180.</w:t>
      </w:r>
      <w:r w:rsidRPr="000A4F4F">
        <w:rPr>
          <w:rFonts w:ascii="Arial" w:eastAsia="Times New Roman" w:hAnsi="Arial" w:cs="Arial"/>
          <w:noProof w:val="0"/>
          <w:lang w:val="sr-Latn-RS"/>
        </w:rPr>
        <w:br/>
      </w:r>
      <w:r w:rsidRPr="000A4F4F">
        <w:rPr>
          <w:rFonts w:ascii="Arial" w:eastAsia="Times New Roman" w:hAnsi="Arial" w:cs="Arial"/>
          <w:b/>
          <w:bCs/>
          <w:noProof w:val="0"/>
          <w:sz w:val="15"/>
          <w:vertAlign w:val="superscript"/>
          <w:lang w:val="sr-Latn-RS"/>
        </w:rPr>
        <w:t>3</w:t>
      </w:r>
      <w:r w:rsidRPr="000A4F4F">
        <w:rPr>
          <w:rFonts w:ascii="Arial" w:eastAsia="Times New Roman" w:hAnsi="Arial" w:cs="Arial"/>
          <w:i/>
          <w:iCs/>
          <w:noProof w:val="0"/>
          <w:lang w:val="sr-Latn-RS"/>
        </w:rPr>
        <w:t>parametar se odnosi na sumu DDT, DDD i DDE</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4</w:t>
      </w:r>
      <w:r w:rsidRPr="000A4F4F">
        <w:rPr>
          <w:rFonts w:ascii="Arial" w:eastAsia="Times New Roman" w:hAnsi="Arial" w:cs="Arial"/>
          <w:i/>
          <w:iCs/>
          <w:noProof w:val="0"/>
          <w:lang w:val="sr-Latn-RS"/>
        </w:rPr>
        <w:t>parametar se odnosi na sumu aldrina, dieldrina i endrina</w:t>
      </w:r>
      <w:r w:rsidRPr="000A4F4F">
        <w:rPr>
          <w:rFonts w:ascii="Arial" w:eastAsia="Times New Roman" w:hAnsi="Arial" w:cs="Arial"/>
          <w:i/>
          <w:iCs/>
          <w:noProof w:val="0"/>
          <w:lang w:val="sr-Latn-RS"/>
        </w:rPr>
        <w:br/>
      </w:r>
      <w:r w:rsidRPr="000A4F4F">
        <w:rPr>
          <w:rFonts w:ascii="Arial" w:eastAsia="Times New Roman" w:hAnsi="Arial" w:cs="Arial"/>
          <w:b/>
          <w:bCs/>
          <w:noProof w:val="0"/>
          <w:sz w:val="15"/>
          <w:vertAlign w:val="superscript"/>
          <w:lang w:val="sr-Latn-RS"/>
        </w:rPr>
        <w:t>5</w:t>
      </w:r>
      <w:r w:rsidRPr="000A4F4F">
        <w:rPr>
          <w:rFonts w:ascii="Arial" w:eastAsia="Times New Roman" w:hAnsi="Arial" w:cs="Arial"/>
          <w:i/>
          <w:iCs/>
          <w:noProof w:val="0"/>
          <w:lang w:val="sr-Latn-RS"/>
        </w:rPr>
        <w:t xml:space="preserve">parametar se odnosi na sumu četiri izomera heksahlorcikloheksana: </w:t>
      </w:r>
      <w:r w:rsidRPr="000A4F4F">
        <w:rPr>
          <w:rFonts w:ascii="Arial" w:eastAsia="Times New Roman" w:hAnsi="Arial" w:cs="Arial"/>
          <w:noProof w:val="0"/>
          <w:lang w:val="sr-Latn-RS"/>
        </w:rPr>
        <w:t>α</w:t>
      </w:r>
      <w:r w:rsidRPr="000A4F4F">
        <w:rPr>
          <w:rFonts w:ascii="Arial" w:eastAsia="Times New Roman" w:hAnsi="Arial" w:cs="Arial"/>
          <w:i/>
          <w:iCs/>
          <w:noProof w:val="0"/>
          <w:lang w:val="sr-Latn-RS"/>
        </w:rPr>
        <w:t xml:space="preserve">-HCH, β/HCH, γ-HCH, δ-HCH </w:t>
      </w:r>
    </w:p>
    <w:p w:rsidR="000A4F4F" w:rsidRPr="000A4F4F" w:rsidRDefault="000A4F4F" w:rsidP="000A4F4F">
      <w:pPr>
        <w:spacing w:before="240" w:after="240" w:line="240" w:lineRule="auto"/>
        <w:jc w:val="center"/>
        <w:rPr>
          <w:rFonts w:ascii="Arial" w:eastAsia="Times New Roman" w:hAnsi="Arial" w:cs="Arial"/>
          <w:b/>
          <w:bCs/>
          <w:noProof w:val="0"/>
          <w:sz w:val="24"/>
          <w:szCs w:val="24"/>
          <w:lang w:val="sr-Latn-RS"/>
        </w:rPr>
      </w:pPr>
      <w:bookmarkStart w:id="27" w:name="str_13"/>
      <w:bookmarkEnd w:id="27"/>
      <w:r w:rsidRPr="000A4F4F">
        <w:rPr>
          <w:rFonts w:ascii="Arial" w:eastAsia="Times New Roman" w:hAnsi="Arial" w:cs="Arial"/>
          <w:b/>
          <w:bCs/>
          <w:noProof w:val="0"/>
          <w:sz w:val="24"/>
          <w:szCs w:val="24"/>
          <w:lang w:val="sr-Latn-RS"/>
        </w:rPr>
        <w:t xml:space="preserve">II. Korekcija graničnih vrednosti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Korekcija sadržaja metala za dati sediment.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 korekciju graničnih vrednosti za sadržaj metala u zavisnosti od sadržaja gline i organske materije u datom sedimentu koristi se sledeća korekciona formula: </w:t>
      </w:r>
    </w:p>
    <w:p w:rsidR="000A4F4F" w:rsidRPr="000A4F4F" w:rsidRDefault="002634A8" w:rsidP="000A4F4F">
      <w:pPr>
        <w:spacing w:before="100" w:beforeAutospacing="1" w:after="100" w:afterAutospacing="1" w:line="240" w:lineRule="auto"/>
        <w:rPr>
          <w:rFonts w:ascii="Arial" w:eastAsia="Times New Roman" w:hAnsi="Arial" w:cs="Arial"/>
          <w:noProof w:val="0"/>
          <w:lang w:val="sr-Latn-RS"/>
        </w:rPr>
      </w:pPr>
      <w:r>
        <w:rPr>
          <w:rFonts w:ascii="Arial" w:eastAsia="Times New Roman" w:hAnsi="Arial" w:cs="Arial"/>
        </w:rPr>
        <w:drawing>
          <wp:inline distT="0" distB="0" distL="0" distR="0">
            <wp:extent cx="4183380" cy="678180"/>
            <wp:effectExtent l="0" t="0" r="7620" b="7620"/>
            <wp:docPr id="1" name="Picture 1" descr="C:\Program Files\ParagrafLex\browser\Files\Old\t\t2012_05\t05_033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aragrafLex\browser\Files\Old\t\t2012_05\t05_0338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3380" cy="678180"/>
                    </a:xfrm>
                    <a:prstGeom prst="rect">
                      <a:avLst/>
                    </a:prstGeom>
                    <a:noFill/>
                    <a:ln>
                      <a:noFill/>
                    </a:ln>
                  </pic:spPr>
                </pic:pic>
              </a:graphicData>
            </a:graphic>
          </wp:inline>
        </w:drawing>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gde su: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i/>
          <w:iCs/>
          <w:noProof w:val="0"/>
          <w:lang w:val="sr-Latn-RS"/>
        </w:rPr>
        <w:t>GV</w:t>
      </w:r>
      <w:r w:rsidRPr="000A4F4F">
        <w:rPr>
          <w:rFonts w:ascii="Arial" w:eastAsia="Times New Roman" w:hAnsi="Arial" w:cs="Arial"/>
          <w:i/>
          <w:iCs/>
          <w:noProof w:val="0"/>
          <w:sz w:val="15"/>
          <w:vertAlign w:val="subscript"/>
          <w:lang w:val="sr-Latn-RS"/>
        </w:rPr>
        <w:t>K</w:t>
      </w:r>
      <w:r w:rsidRPr="000A4F4F">
        <w:rPr>
          <w:rFonts w:ascii="Arial" w:eastAsia="Times New Roman" w:hAnsi="Arial" w:cs="Arial"/>
          <w:noProof w:val="0"/>
          <w:lang w:val="sr-Latn-RS"/>
        </w:rPr>
        <w:t xml:space="preserve"> - korigovana granična vrednost za određeni sediment kada se u obzir uzme sadržaj gline i sadržaj organske materije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i/>
          <w:iCs/>
          <w:noProof w:val="0"/>
          <w:lang w:val="sr-Latn-RS"/>
        </w:rPr>
        <w:t>GV</w:t>
      </w:r>
      <w:r w:rsidRPr="000A4F4F">
        <w:rPr>
          <w:rFonts w:ascii="Arial" w:eastAsia="Times New Roman" w:hAnsi="Arial" w:cs="Arial"/>
          <w:i/>
          <w:iCs/>
          <w:noProof w:val="0"/>
          <w:sz w:val="15"/>
          <w:vertAlign w:val="subscript"/>
          <w:lang w:val="sr-Latn-RS"/>
        </w:rPr>
        <w:t>ST</w:t>
      </w:r>
      <w:r w:rsidRPr="000A4F4F">
        <w:rPr>
          <w:rFonts w:ascii="Arial" w:eastAsia="Times New Roman" w:hAnsi="Arial" w:cs="Arial"/>
          <w:noProof w:val="0"/>
          <w:lang w:val="sr-Latn-RS"/>
        </w:rPr>
        <w:t xml:space="preserve"> - granična vrednost za standardni sediment sa 25% gline i 10% organske materije (vrednosti iz tabela 1 i 2)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%gline - izmereni sadržaj gline (mineralne frakcije &lt; 2 µm) u datom sedimentu izražen u procentima u odnosu na masu suvog sedimenta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%OM - izmereni sadržaj organske materije u datom sedimentu izražen u procentima u odnosu na masu suvog sedimenta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 B i V - konstante koje zavise od vrste metala (tabela 1)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1. Konstante u zavisnosti od vrste metala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4282"/>
        <w:gridCol w:w="1026"/>
        <w:gridCol w:w="2056"/>
        <w:gridCol w:w="2056"/>
      </w:tblGrid>
      <w:tr w:rsidR="000A4F4F" w:rsidRPr="000A4F4F" w:rsidTr="000A4F4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Metal </w:t>
            </w:r>
          </w:p>
        </w:tc>
        <w:tc>
          <w:tcPr>
            <w:tcW w:w="0" w:type="auto"/>
            <w:gridSpan w:val="3"/>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Konstanta </w:t>
            </w:r>
          </w:p>
        </w:tc>
      </w:tr>
      <w:tr w:rsidR="000A4F4F" w:rsidRPr="000A4F4F" w:rsidTr="000A4F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after="0" w:line="240" w:lineRule="auto"/>
              <w:rPr>
                <w:rFonts w:ascii="Arial" w:eastAsia="Times New Roman" w:hAnsi="Arial" w:cs="Arial"/>
                <w:noProof w:val="0"/>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V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Arsen (As)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Kadmijum (Cd)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0,007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0,021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Hrom (Cr)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Bakar (Cu)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0,6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0,6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Živa (Hg)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0,0034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0,0017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Olovo (Pb)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Nikl (Ni)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Cink (Zn)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1,5 </w:t>
            </w:r>
          </w:p>
        </w:tc>
      </w:tr>
    </w:tbl>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Korekcija sadržaja organskih supstanci za dati sediment.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Za korekciju graničnih vrednosti za sve organske supstance, osim za policiklične aromatične ugljovodonike (PAH), u zavisnosti od sadržaja organske materije u datom sedimentu, koristi se sledeća korekciona formula: </w:t>
      </w:r>
    </w:p>
    <w:p w:rsidR="000A4F4F" w:rsidRPr="000A4F4F" w:rsidRDefault="002634A8" w:rsidP="000A4F4F">
      <w:pPr>
        <w:spacing w:before="100" w:beforeAutospacing="1" w:after="100" w:afterAutospacing="1" w:line="240" w:lineRule="auto"/>
        <w:rPr>
          <w:rFonts w:ascii="Arial" w:eastAsia="Times New Roman" w:hAnsi="Arial" w:cs="Arial"/>
          <w:noProof w:val="0"/>
          <w:lang w:val="sr-Latn-RS"/>
        </w:rPr>
      </w:pPr>
      <w:r>
        <w:rPr>
          <w:rFonts w:ascii="Arial" w:eastAsia="Times New Roman" w:hAnsi="Arial" w:cs="Arial"/>
        </w:rPr>
        <w:drawing>
          <wp:inline distT="0" distB="0" distL="0" distR="0">
            <wp:extent cx="2430780" cy="678180"/>
            <wp:effectExtent l="0" t="0" r="7620" b="7620"/>
            <wp:docPr id="2" name="Picture 2" descr="C:\Program Files\ParagrafLex\browser\Files\Old\t\t2012_05\t05_0338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aragrafLex\browser\Files\Old\t\t2012_05\t05_0338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678180"/>
                    </a:xfrm>
                    <a:prstGeom prst="rect">
                      <a:avLst/>
                    </a:prstGeom>
                    <a:noFill/>
                    <a:ln>
                      <a:noFill/>
                    </a:ln>
                  </pic:spPr>
                </pic:pic>
              </a:graphicData>
            </a:graphic>
          </wp:inline>
        </w:drawing>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gde su: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i/>
          <w:iCs/>
          <w:noProof w:val="0"/>
          <w:lang w:val="sr-Latn-RS"/>
        </w:rPr>
        <w:t>GV</w:t>
      </w:r>
      <w:r w:rsidRPr="000A4F4F">
        <w:rPr>
          <w:rFonts w:ascii="Arial" w:eastAsia="Times New Roman" w:hAnsi="Arial" w:cs="Arial"/>
          <w:i/>
          <w:iCs/>
          <w:noProof w:val="0"/>
          <w:sz w:val="15"/>
          <w:vertAlign w:val="subscript"/>
          <w:lang w:val="sr-Latn-RS"/>
        </w:rPr>
        <w:t>K</w:t>
      </w:r>
      <w:r w:rsidRPr="000A4F4F">
        <w:rPr>
          <w:rFonts w:ascii="Arial" w:eastAsia="Times New Roman" w:hAnsi="Arial" w:cs="Arial"/>
          <w:noProof w:val="0"/>
          <w:lang w:val="sr-Latn-RS"/>
        </w:rPr>
        <w:t xml:space="preserve"> - korigovana granična vrednost za određeni sediment kada se u obzir uzme sadržaj organske materije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i/>
          <w:iCs/>
          <w:noProof w:val="0"/>
          <w:lang w:val="sr-Latn-RS"/>
        </w:rPr>
        <w:t>GV</w:t>
      </w:r>
      <w:r w:rsidRPr="000A4F4F">
        <w:rPr>
          <w:rFonts w:ascii="Arial" w:eastAsia="Times New Roman" w:hAnsi="Arial" w:cs="Arial"/>
          <w:i/>
          <w:iCs/>
          <w:noProof w:val="0"/>
          <w:sz w:val="15"/>
          <w:vertAlign w:val="subscript"/>
          <w:lang w:val="sr-Latn-RS"/>
        </w:rPr>
        <w:t>ST</w:t>
      </w:r>
      <w:r w:rsidRPr="000A4F4F">
        <w:rPr>
          <w:rFonts w:ascii="Arial" w:eastAsia="Times New Roman" w:hAnsi="Arial" w:cs="Arial"/>
          <w:noProof w:val="0"/>
          <w:lang w:val="sr-Latn-RS"/>
        </w:rPr>
        <w:t xml:space="preserve"> - granična vrednost za standardni sediment sa 25% gline i 10% organske materije (vrednosti iz tabelama 1 i 2)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%OM - izmereni sadržaj organske materije u datom sedimentu izražen u procentima u odnosu na masu suvog sedimenta </w:t>
      </w:r>
    </w:p>
    <w:p w:rsidR="000A4F4F" w:rsidRPr="000A4F4F" w:rsidRDefault="000A4F4F" w:rsidP="000A4F4F">
      <w:pPr>
        <w:spacing w:before="240" w:after="240" w:line="240" w:lineRule="auto"/>
        <w:jc w:val="center"/>
        <w:rPr>
          <w:rFonts w:ascii="Arial" w:eastAsia="Times New Roman" w:hAnsi="Arial" w:cs="Arial"/>
          <w:b/>
          <w:bCs/>
          <w:noProof w:val="0"/>
          <w:sz w:val="24"/>
          <w:szCs w:val="24"/>
          <w:lang w:val="sr-Latn-RS"/>
        </w:rPr>
      </w:pPr>
      <w:bookmarkStart w:id="28" w:name="str_14"/>
      <w:bookmarkEnd w:id="28"/>
      <w:r w:rsidRPr="000A4F4F">
        <w:rPr>
          <w:rFonts w:ascii="Arial" w:eastAsia="Times New Roman" w:hAnsi="Arial" w:cs="Arial"/>
          <w:b/>
          <w:bCs/>
          <w:noProof w:val="0"/>
          <w:sz w:val="24"/>
          <w:szCs w:val="24"/>
          <w:lang w:val="sr-Latn-RS"/>
        </w:rPr>
        <w:t xml:space="preserve">III. Kriterijumi </w:t>
      </w:r>
    </w:p>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Tabela 1. Kriterijumi za ocenu kvaliteta sedimenta i dozvoljeni načini postupanja sa izmuljenim sedimentom </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611"/>
        <w:gridCol w:w="2269"/>
        <w:gridCol w:w="6540"/>
      </w:tblGrid>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Klasa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Kriterijum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Načini postupanja sa izmuljenim sedimentom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 Ciljna vrednost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Koncentracije zagađujućih materija u sedimentu su na nivou prirodnog fona. Sedimenti mogu biti dislocirani bez posebnih mera zaštite.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 Ciljna vrednost i ≤ Vrednost limita </w:t>
            </w:r>
          </w:p>
        </w:tc>
        <w:tc>
          <w:tcPr>
            <w:tcW w:w="0" w:type="auto"/>
            <w:vMerge w:val="restart"/>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Sediment je neznatno zagađen. Prilikom dislokacije dozvoljeno je odlaganje bez posebnih mera zaštite u pojasu širine do 20 m u okolini vodotoka.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 Vrednost limita i ≤ Verifikacioni limita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A4F4F" w:rsidRPr="000A4F4F" w:rsidRDefault="000A4F4F" w:rsidP="000A4F4F">
            <w:pPr>
              <w:spacing w:after="0" w:line="240" w:lineRule="auto"/>
              <w:rPr>
                <w:rFonts w:ascii="Arial" w:eastAsia="Times New Roman" w:hAnsi="Arial" w:cs="Arial"/>
                <w:noProof w:val="0"/>
                <w:lang w:val="sr-Latn-RS"/>
              </w:rPr>
            </w:pP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 Verifikacioni nivo ≤ Remedijaciona vrednost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Sediment je zagađen. Nije dozvoljeno njegovo odlaganje bez posebnih mera zaštite. Neophodno je čuvanje u kontrolisanim uslovima uz posebne mere zaštite kako bi se sprečilo rasprostiranje zagađujućih materija u okolinu. </w:t>
            </w:r>
          </w:p>
        </w:tc>
      </w:tr>
      <w:tr w:rsidR="000A4F4F" w:rsidRPr="000A4F4F" w:rsidTr="000A4F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lastRenderedPageBreak/>
              <w:t xml:space="preserve">s4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&gt; Remedijaciona vrednost </w:t>
            </w:r>
          </w:p>
        </w:tc>
        <w:tc>
          <w:tcPr>
            <w:tcW w:w="0" w:type="auto"/>
            <w:tcBorders>
              <w:top w:val="outset" w:sz="6" w:space="0" w:color="auto"/>
              <w:left w:val="outset" w:sz="6" w:space="0" w:color="auto"/>
              <w:bottom w:val="outset" w:sz="6" w:space="0" w:color="auto"/>
              <w:right w:val="outset" w:sz="6" w:space="0" w:color="auto"/>
            </w:tcBorders>
            <w:hideMark/>
          </w:tcPr>
          <w:p w:rsidR="000A4F4F" w:rsidRPr="000A4F4F" w:rsidRDefault="000A4F4F" w:rsidP="000A4F4F">
            <w:pPr>
              <w:spacing w:before="100" w:beforeAutospacing="1" w:after="100" w:afterAutospacing="1" w:line="240" w:lineRule="auto"/>
              <w:rPr>
                <w:rFonts w:ascii="Arial" w:eastAsia="Times New Roman" w:hAnsi="Arial" w:cs="Arial"/>
                <w:noProof w:val="0"/>
                <w:lang w:val="sr-Latn-RS"/>
              </w:rPr>
            </w:pPr>
            <w:r w:rsidRPr="000A4F4F">
              <w:rPr>
                <w:rFonts w:ascii="Arial" w:eastAsia="Times New Roman" w:hAnsi="Arial" w:cs="Arial"/>
                <w:noProof w:val="0"/>
                <w:lang w:val="sr-Latn-RS"/>
              </w:rPr>
              <w:t xml:space="preserve">Izuzetno zagađeni sedimenti. Obavezna je remedijacija ili čuvanje izmuljenog materijala u kontrolisanim uslovima uz posebne mere zaštite kako bi se sprečilo rasprostiranje zagađujućih materija u okolinu. </w:t>
            </w:r>
          </w:p>
        </w:tc>
      </w:tr>
    </w:tbl>
    <w:p w:rsidR="00A4473F" w:rsidRDefault="00A4473F"/>
    <w:sectPr w:rsidR="00A4473F" w:rsidSect="00A44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4F"/>
    <w:rsid w:val="000A4F4F"/>
    <w:rsid w:val="002634A8"/>
    <w:rsid w:val="00970B3D"/>
    <w:rsid w:val="00A4473F"/>
    <w:rsid w:val="00BF6EDF"/>
    <w:rsid w:val="00D0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3F"/>
    <w:pPr>
      <w:spacing w:after="200" w:line="276" w:lineRule="auto"/>
    </w:pPr>
    <w:rPr>
      <w:noProof/>
      <w:sz w:val="22"/>
      <w:szCs w:val="22"/>
    </w:rPr>
  </w:style>
  <w:style w:type="paragraph" w:styleId="Naslov6">
    <w:name w:val="heading 6"/>
    <w:basedOn w:val="Normal"/>
    <w:link w:val="Naslov6Char"/>
    <w:uiPriority w:val="9"/>
    <w:qFormat/>
    <w:rsid w:val="000A4F4F"/>
    <w:pPr>
      <w:spacing w:before="100" w:beforeAutospacing="1" w:after="100" w:afterAutospacing="1" w:line="240" w:lineRule="auto"/>
      <w:outlineLvl w:val="5"/>
    </w:pPr>
    <w:rPr>
      <w:rFonts w:ascii="Times New Roman" w:eastAsia="Times New Roman" w:hAnsi="Times New Roman"/>
      <w:b/>
      <w:bCs/>
      <w:noProof w:val="0"/>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A4F4F"/>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0A4F4F"/>
    <w:rPr>
      <w:rFonts w:ascii="Arial" w:hAnsi="Arial" w:cs="Arial" w:hint="default"/>
      <w:strike w:val="0"/>
      <w:dstrike w:val="0"/>
      <w:color w:val="800080"/>
      <w:u w:val="single"/>
      <w:effect w:val="none"/>
    </w:rPr>
  </w:style>
  <w:style w:type="paragraph" w:customStyle="1" w:styleId="simboliindeks">
    <w:name w:val="simboliindeks"/>
    <w:basedOn w:val="Normal"/>
    <w:rsid w:val="000A4F4F"/>
    <w:pPr>
      <w:spacing w:before="100" w:beforeAutospacing="1" w:after="100" w:afterAutospacing="1" w:line="240" w:lineRule="auto"/>
    </w:pPr>
    <w:rPr>
      <w:rFonts w:ascii="Symbol" w:eastAsia="Times New Roman" w:hAnsi="Symbol"/>
      <w:noProof w:val="0"/>
      <w:sz w:val="24"/>
      <w:szCs w:val="24"/>
      <w:vertAlign w:val="subscript"/>
    </w:rPr>
  </w:style>
  <w:style w:type="paragraph" w:customStyle="1" w:styleId="naslov3">
    <w:name w:val="naslov3"/>
    <w:basedOn w:val="Normal"/>
    <w:rsid w:val="000A4F4F"/>
    <w:pPr>
      <w:spacing w:before="100" w:beforeAutospacing="1" w:after="100" w:afterAutospacing="1" w:line="240" w:lineRule="auto"/>
      <w:jc w:val="center"/>
    </w:pPr>
    <w:rPr>
      <w:rFonts w:ascii="Arial" w:eastAsia="Times New Roman" w:hAnsi="Arial" w:cs="Arial"/>
      <w:b/>
      <w:bCs/>
      <w:noProof w:val="0"/>
      <w:sz w:val="23"/>
      <w:szCs w:val="23"/>
    </w:rPr>
  </w:style>
  <w:style w:type="paragraph" w:customStyle="1" w:styleId="tokvirgoredolelevo">
    <w:name w:val="t_okvirgoredolelevo"/>
    <w:basedOn w:val="Normal"/>
    <w:rsid w:val="000A4F4F"/>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wyq050---odeljak">
    <w:name w:val="wyq050---odeljak"/>
    <w:basedOn w:val="Normal"/>
    <w:rsid w:val="000A4F4F"/>
    <w:pPr>
      <w:spacing w:after="0" w:line="240" w:lineRule="auto"/>
      <w:jc w:val="center"/>
    </w:pPr>
    <w:rPr>
      <w:rFonts w:ascii="Arial" w:eastAsia="Times New Roman" w:hAnsi="Arial" w:cs="Arial"/>
      <w:b/>
      <w:bCs/>
      <w:noProof w:val="0"/>
      <w:sz w:val="31"/>
      <w:szCs w:val="31"/>
    </w:rPr>
  </w:style>
  <w:style w:type="paragraph" w:customStyle="1" w:styleId="wyq070---podpododeljak-kurziv">
    <w:name w:val="wyq070---podpododeljak-kurziv"/>
    <w:basedOn w:val="Normal"/>
    <w:rsid w:val="000A4F4F"/>
    <w:pPr>
      <w:spacing w:after="0" w:line="240" w:lineRule="auto"/>
      <w:jc w:val="center"/>
    </w:pPr>
    <w:rPr>
      <w:rFonts w:ascii="Arial" w:eastAsia="Times New Roman" w:hAnsi="Arial" w:cs="Arial"/>
      <w:i/>
      <w:iCs/>
      <w:noProof w:val="0"/>
      <w:sz w:val="30"/>
      <w:szCs w:val="30"/>
    </w:rPr>
  </w:style>
  <w:style w:type="paragraph" w:customStyle="1" w:styleId="wyq100---naslov-grupe-clanova-kurziv">
    <w:name w:val="wyq100---naslov-grupe-clanova-kurziv"/>
    <w:basedOn w:val="Normal"/>
    <w:rsid w:val="000A4F4F"/>
    <w:pPr>
      <w:spacing w:before="240" w:after="240" w:line="240" w:lineRule="auto"/>
      <w:jc w:val="center"/>
    </w:pPr>
    <w:rPr>
      <w:rFonts w:ascii="Arial" w:eastAsia="Times New Roman" w:hAnsi="Arial" w:cs="Arial"/>
      <w:b/>
      <w:bCs/>
      <w:i/>
      <w:iCs/>
      <w:noProof w:val="0"/>
      <w:sz w:val="24"/>
      <w:szCs w:val="24"/>
    </w:rPr>
  </w:style>
  <w:style w:type="character" w:customStyle="1" w:styleId="stepen1">
    <w:name w:val="stepen1"/>
    <w:basedOn w:val="Podrazumevanifontpasusa"/>
    <w:rsid w:val="000A4F4F"/>
    <w:rPr>
      <w:sz w:val="15"/>
      <w:szCs w:val="15"/>
      <w:vertAlign w:val="superscript"/>
    </w:rPr>
  </w:style>
  <w:style w:type="character" w:customStyle="1" w:styleId="indeks1">
    <w:name w:val="indeks1"/>
    <w:basedOn w:val="Podrazumevanifontpasusa"/>
    <w:rsid w:val="000A4F4F"/>
    <w:rPr>
      <w:sz w:val="15"/>
      <w:szCs w:val="15"/>
      <w:vertAlign w:val="subscript"/>
    </w:rPr>
  </w:style>
  <w:style w:type="paragraph" w:styleId="Tekstubaloniu">
    <w:name w:val="Balloon Text"/>
    <w:basedOn w:val="Normal"/>
    <w:link w:val="TekstubaloniuChar"/>
    <w:uiPriority w:val="99"/>
    <w:semiHidden/>
    <w:unhideWhenUsed/>
    <w:rsid w:val="000A4F4F"/>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A4F4F"/>
    <w:rPr>
      <w:rFonts w:ascii="Tahoma" w:hAnsi="Tahoma" w:cs="Tahoma"/>
      <w:noProof/>
      <w:sz w:val="16"/>
      <w:szCs w:val="16"/>
    </w:rPr>
  </w:style>
  <w:style w:type="paragraph" w:styleId="Naslov">
    <w:name w:val="Title"/>
    <w:basedOn w:val="Normal"/>
    <w:next w:val="Normal"/>
    <w:link w:val="NaslovChar"/>
    <w:uiPriority w:val="10"/>
    <w:qFormat/>
    <w:rsid w:val="00970B3D"/>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lang w:val="sr-Latn-RS"/>
    </w:rPr>
  </w:style>
  <w:style w:type="character" w:customStyle="1" w:styleId="NaslovChar">
    <w:name w:val="Naslov Char"/>
    <w:basedOn w:val="Podrazumevanifontpasusa"/>
    <w:link w:val="Naslov"/>
    <w:uiPriority w:val="10"/>
    <w:rsid w:val="00970B3D"/>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70B3D"/>
    <w:pPr>
      <w:numPr>
        <w:ilvl w:val="1"/>
      </w:numPr>
    </w:pPr>
    <w:rPr>
      <w:rFonts w:ascii="Cambria" w:eastAsia="Times New Roman" w:hAnsi="Cambria"/>
      <w:i/>
      <w:iCs/>
      <w:noProof w:val="0"/>
      <w:color w:val="4F81BD"/>
      <w:spacing w:val="15"/>
      <w:sz w:val="24"/>
      <w:szCs w:val="24"/>
      <w:lang w:val="sr-Latn-RS"/>
    </w:rPr>
  </w:style>
  <w:style w:type="character" w:customStyle="1" w:styleId="PodnaslovChar">
    <w:name w:val="Podnaslov Char"/>
    <w:basedOn w:val="Podrazumevanifontpasusa"/>
    <w:link w:val="Podnaslov"/>
    <w:uiPriority w:val="11"/>
    <w:rsid w:val="00970B3D"/>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3F"/>
    <w:pPr>
      <w:spacing w:after="200" w:line="276" w:lineRule="auto"/>
    </w:pPr>
    <w:rPr>
      <w:noProof/>
      <w:sz w:val="22"/>
      <w:szCs w:val="22"/>
    </w:rPr>
  </w:style>
  <w:style w:type="paragraph" w:styleId="Naslov6">
    <w:name w:val="heading 6"/>
    <w:basedOn w:val="Normal"/>
    <w:link w:val="Naslov6Char"/>
    <w:uiPriority w:val="9"/>
    <w:qFormat/>
    <w:rsid w:val="000A4F4F"/>
    <w:pPr>
      <w:spacing w:before="100" w:beforeAutospacing="1" w:after="100" w:afterAutospacing="1" w:line="240" w:lineRule="auto"/>
      <w:outlineLvl w:val="5"/>
    </w:pPr>
    <w:rPr>
      <w:rFonts w:ascii="Times New Roman" w:eastAsia="Times New Roman" w:hAnsi="Times New Roman"/>
      <w:b/>
      <w:bCs/>
      <w:noProof w:val="0"/>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A4F4F"/>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0A4F4F"/>
    <w:rPr>
      <w:rFonts w:ascii="Arial" w:hAnsi="Arial" w:cs="Arial" w:hint="default"/>
      <w:strike w:val="0"/>
      <w:dstrike w:val="0"/>
      <w:color w:val="800080"/>
      <w:u w:val="single"/>
      <w:effect w:val="none"/>
    </w:rPr>
  </w:style>
  <w:style w:type="paragraph" w:customStyle="1" w:styleId="simboliindeks">
    <w:name w:val="simboliindeks"/>
    <w:basedOn w:val="Normal"/>
    <w:rsid w:val="000A4F4F"/>
    <w:pPr>
      <w:spacing w:before="100" w:beforeAutospacing="1" w:after="100" w:afterAutospacing="1" w:line="240" w:lineRule="auto"/>
    </w:pPr>
    <w:rPr>
      <w:rFonts w:ascii="Symbol" w:eastAsia="Times New Roman" w:hAnsi="Symbol"/>
      <w:noProof w:val="0"/>
      <w:sz w:val="24"/>
      <w:szCs w:val="24"/>
      <w:vertAlign w:val="subscript"/>
    </w:rPr>
  </w:style>
  <w:style w:type="paragraph" w:customStyle="1" w:styleId="naslov3">
    <w:name w:val="naslov3"/>
    <w:basedOn w:val="Normal"/>
    <w:rsid w:val="000A4F4F"/>
    <w:pPr>
      <w:spacing w:before="100" w:beforeAutospacing="1" w:after="100" w:afterAutospacing="1" w:line="240" w:lineRule="auto"/>
      <w:jc w:val="center"/>
    </w:pPr>
    <w:rPr>
      <w:rFonts w:ascii="Arial" w:eastAsia="Times New Roman" w:hAnsi="Arial" w:cs="Arial"/>
      <w:b/>
      <w:bCs/>
      <w:noProof w:val="0"/>
      <w:sz w:val="23"/>
      <w:szCs w:val="23"/>
    </w:rPr>
  </w:style>
  <w:style w:type="paragraph" w:customStyle="1" w:styleId="tokvirgoredolelevo">
    <w:name w:val="t_okvirgoredolelevo"/>
    <w:basedOn w:val="Normal"/>
    <w:rsid w:val="000A4F4F"/>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noProof w:val="0"/>
      <w:sz w:val="24"/>
      <w:szCs w:val="24"/>
    </w:rPr>
  </w:style>
  <w:style w:type="paragraph" w:customStyle="1" w:styleId="wyq050---odeljak">
    <w:name w:val="wyq050---odeljak"/>
    <w:basedOn w:val="Normal"/>
    <w:rsid w:val="000A4F4F"/>
    <w:pPr>
      <w:spacing w:after="0" w:line="240" w:lineRule="auto"/>
      <w:jc w:val="center"/>
    </w:pPr>
    <w:rPr>
      <w:rFonts w:ascii="Arial" w:eastAsia="Times New Roman" w:hAnsi="Arial" w:cs="Arial"/>
      <w:b/>
      <w:bCs/>
      <w:noProof w:val="0"/>
      <w:sz w:val="31"/>
      <w:szCs w:val="31"/>
    </w:rPr>
  </w:style>
  <w:style w:type="paragraph" w:customStyle="1" w:styleId="wyq070---podpododeljak-kurziv">
    <w:name w:val="wyq070---podpododeljak-kurziv"/>
    <w:basedOn w:val="Normal"/>
    <w:rsid w:val="000A4F4F"/>
    <w:pPr>
      <w:spacing w:after="0" w:line="240" w:lineRule="auto"/>
      <w:jc w:val="center"/>
    </w:pPr>
    <w:rPr>
      <w:rFonts w:ascii="Arial" w:eastAsia="Times New Roman" w:hAnsi="Arial" w:cs="Arial"/>
      <w:i/>
      <w:iCs/>
      <w:noProof w:val="0"/>
      <w:sz w:val="30"/>
      <w:szCs w:val="30"/>
    </w:rPr>
  </w:style>
  <w:style w:type="paragraph" w:customStyle="1" w:styleId="wyq100---naslov-grupe-clanova-kurziv">
    <w:name w:val="wyq100---naslov-grupe-clanova-kurziv"/>
    <w:basedOn w:val="Normal"/>
    <w:rsid w:val="000A4F4F"/>
    <w:pPr>
      <w:spacing w:before="240" w:after="240" w:line="240" w:lineRule="auto"/>
      <w:jc w:val="center"/>
    </w:pPr>
    <w:rPr>
      <w:rFonts w:ascii="Arial" w:eastAsia="Times New Roman" w:hAnsi="Arial" w:cs="Arial"/>
      <w:b/>
      <w:bCs/>
      <w:i/>
      <w:iCs/>
      <w:noProof w:val="0"/>
      <w:sz w:val="24"/>
      <w:szCs w:val="24"/>
    </w:rPr>
  </w:style>
  <w:style w:type="character" w:customStyle="1" w:styleId="stepen1">
    <w:name w:val="stepen1"/>
    <w:basedOn w:val="Podrazumevanifontpasusa"/>
    <w:rsid w:val="000A4F4F"/>
    <w:rPr>
      <w:sz w:val="15"/>
      <w:szCs w:val="15"/>
      <w:vertAlign w:val="superscript"/>
    </w:rPr>
  </w:style>
  <w:style w:type="character" w:customStyle="1" w:styleId="indeks1">
    <w:name w:val="indeks1"/>
    <w:basedOn w:val="Podrazumevanifontpasusa"/>
    <w:rsid w:val="000A4F4F"/>
    <w:rPr>
      <w:sz w:val="15"/>
      <w:szCs w:val="15"/>
      <w:vertAlign w:val="subscript"/>
    </w:rPr>
  </w:style>
  <w:style w:type="paragraph" w:styleId="Tekstubaloniu">
    <w:name w:val="Balloon Text"/>
    <w:basedOn w:val="Normal"/>
    <w:link w:val="TekstubaloniuChar"/>
    <w:uiPriority w:val="99"/>
    <w:semiHidden/>
    <w:unhideWhenUsed/>
    <w:rsid w:val="000A4F4F"/>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A4F4F"/>
    <w:rPr>
      <w:rFonts w:ascii="Tahoma" w:hAnsi="Tahoma" w:cs="Tahoma"/>
      <w:noProof/>
      <w:sz w:val="16"/>
      <w:szCs w:val="16"/>
    </w:rPr>
  </w:style>
  <w:style w:type="paragraph" w:styleId="Naslov">
    <w:name w:val="Title"/>
    <w:basedOn w:val="Normal"/>
    <w:next w:val="Normal"/>
    <w:link w:val="NaslovChar"/>
    <w:uiPriority w:val="10"/>
    <w:qFormat/>
    <w:rsid w:val="00970B3D"/>
    <w:pPr>
      <w:pBdr>
        <w:bottom w:val="single" w:sz="8" w:space="4" w:color="4F81BD"/>
      </w:pBdr>
      <w:spacing w:after="300" w:line="240" w:lineRule="auto"/>
      <w:contextualSpacing/>
    </w:pPr>
    <w:rPr>
      <w:rFonts w:ascii="Cambria" w:eastAsia="Times New Roman" w:hAnsi="Cambria"/>
      <w:noProof w:val="0"/>
      <w:color w:val="17365D"/>
      <w:spacing w:val="5"/>
      <w:kern w:val="28"/>
      <w:sz w:val="52"/>
      <w:szCs w:val="52"/>
      <w:lang w:val="sr-Latn-RS"/>
    </w:rPr>
  </w:style>
  <w:style w:type="character" w:customStyle="1" w:styleId="NaslovChar">
    <w:name w:val="Naslov Char"/>
    <w:basedOn w:val="Podrazumevanifontpasusa"/>
    <w:link w:val="Naslov"/>
    <w:uiPriority w:val="10"/>
    <w:rsid w:val="00970B3D"/>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70B3D"/>
    <w:pPr>
      <w:numPr>
        <w:ilvl w:val="1"/>
      </w:numPr>
    </w:pPr>
    <w:rPr>
      <w:rFonts w:ascii="Cambria" w:eastAsia="Times New Roman" w:hAnsi="Cambria"/>
      <w:i/>
      <w:iCs/>
      <w:noProof w:val="0"/>
      <w:color w:val="4F81BD"/>
      <w:spacing w:val="15"/>
      <w:sz w:val="24"/>
      <w:szCs w:val="24"/>
      <w:lang w:val="sr-Latn-RS"/>
    </w:rPr>
  </w:style>
  <w:style w:type="character" w:customStyle="1" w:styleId="PodnaslovChar">
    <w:name w:val="Podnaslov Char"/>
    <w:basedOn w:val="Podrazumevanifontpasusa"/>
    <w:link w:val="Podnaslov"/>
    <w:uiPriority w:val="11"/>
    <w:rsid w:val="00970B3D"/>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5679</Words>
  <Characters>32375</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2018-09-07T10:10:00Z</dcterms:created>
  <dcterms:modified xsi:type="dcterms:W3CDTF">2018-09-07T10:10:00Z</dcterms:modified>
</cp:coreProperties>
</file>