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84" w:rsidRPr="00167384" w:rsidRDefault="00167384" w:rsidP="00167384">
      <w:pPr>
        <w:pStyle w:val="Title"/>
        <w:jc w:val="center"/>
        <w:rPr>
          <w:rFonts w:eastAsia="Times New Roman"/>
          <w:lang w:eastAsia="sr-Latn-RS"/>
        </w:rPr>
      </w:pPr>
      <w:bookmarkStart w:id="0" w:name="clan_1"/>
      <w:bookmarkStart w:id="1" w:name="_GoBack"/>
      <w:bookmarkEnd w:id="0"/>
      <w:bookmarkEnd w:id="1"/>
      <w:r w:rsidRPr="00167384">
        <w:rPr>
          <w:rFonts w:eastAsia="Times New Roman"/>
          <w:lang w:eastAsia="sr-Latn-RS"/>
        </w:rPr>
        <w:t>PRAVILNIK</w:t>
      </w:r>
    </w:p>
    <w:p w:rsidR="00167384" w:rsidRDefault="00167384" w:rsidP="00167384">
      <w:pPr>
        <w:pStyle w:val="Title"/>
        <w:jc w:val="center"/>
        <w:rPr>
          <w:rFonts w:eastAsia="Times New Roman"/>
          <w:lang w:eastAsia="sr-Latn-RS"/>
        </w:rPr>
      </w:pPr>
      <w:r w:rsidRPr="00167384">
        <w:rPr>
          <w:rFonts w:eastAsia="Times New Roman"/>
          <w:lang w:eastAsia="sr-Latn-RS"/>
        </w:rPr>
        <w:t>O ZAHTEVIMA ZA IMENOVANJE TELA ZA TEHNIČKO OCENJIVANJE</w:t>
      </w:r>
    </w:p>
    <w:p w:rsidR="00167384" w:rsidRDefault="00167384" w:rsidP="00167384">
      <w:pPr>
        <w:pStyle w:val="Subtitle"/>
        <w:jc w:val="center"/>
        <w:rPr>
          <w:rFonts w:eastAsia="Times New Roman"/>
          <w:lang w:eastAsia="sr-Latn-RS"/>
        </w:rPr>
      </w:pPr>
      <w:r>
        <w:rPr>
          <w:rFonts w:eastAsia="Times New Roman"/>
          <w:lang w:eastAsia="sr-Latn-RS"/>
        </w:rPr>
        <w:t>("Sl. glasnik RS", br. 87/2019)</w:t>
      </w:r>
    </w:p>
    <w:p w:rsidR="00167384" w:rsidRDefault="00167384" w:rsidP="00E1439D">
      <w:pPr>
        <w:spacing w:before="240" w:after="120" w:line="240" w:lineRule="auto"/>
        <w:jc w:val="center"/>
        <w:rPr>
          <w:rFonts w:ascii="Arial" w:eastAsia="Times New Roman" w:hAnsi="Arial" w:cs="Arial"/>
          <w:b/>
          <w:bCs/>
          <w:sz w:val="24"/>
          <w:szCs w:val="24"/>
          <w:lang w:eastAsia="sr-Latn-RS"/>
        </w:rPr>
      </w:pP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r w:rsidRPr="00E1439D">
        <w:rPr>
          <w:rFonts w:ascii="Arial" w:eastAsia="Times New Roman" w:hAnsi="Arial" w:cs="Arial"/>
          <w:b/>
          <w:bCs/>
          <w:sz w:val="24"/>
          <w:szCs w:val="24"/>
          <w:lang w:eastAsia="sr-Latn-RS"/>
        </w:rPr>
        <w:t xml:space="preserve">Član 1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Ovim pravilnikom bliže se propisuju zahtevi za imenovanje tela za tehničko ocenjivanje koje sprovodi ocenjivanje performansi i izdavanje tehničke ocene za jednu ili više oblasti građevinskih proizvoda. </w:t>
      </w: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bookmarkStart w:id="2" w:name="clan_2"/>
      <w:bookmarkEnd w:id="2"/>
      <w:r w:rsidRPr="00E1439D">
        <w:rPr>
          <w:rFonts w:ascii="Arial" w:eastAsia="Times New Roman" w:hAnsi="Arial" w:cs="Arial"/>
          <w:b/>
          <w:bCs/>
          <w:sz w:val="24"/>
          <w:szCs w:val="24"/>
          <w:lang w:eastAsia="sr-Latn-RS"/>
        </w:rPr>
        <w:t xml:space="preserve">Član 2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može biti imenovano za jednu ili više oblasti građevinskih proizvoda ako ispunjava zahteve za: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 kompetentnost utvrđene u Tabeli 1. Priloga - Zahtevi za imenovanje tela za tehničko ocenjivanje, koji je štampan uz ovaj pravilnik i čini njegov sastavni deo,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2) osposobljenost,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3) nezavisnost u donošenju odluka i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4) nepristrasnost. </w:t>
      </w: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bookmarkStart w:id="3" w:name="clan_3"/>
      <w:bookmarkEnd w:id="3"/>
      <w:r w:rsidRPr="00E1439D">
        <w:rPr>
          <w:rFonts w:ascii="Arial" w:eastAsia="Times New Roman" w:hAnsi="Arial" w:cs="Arial"/>
          <w:b/>
          <w:bCs/>
          <w:sz w:val="24"/>
          <w:szCs w:val="24"/>
          <w:lang w:eastAsia="sr-Latn-RS"/>
        </w:rPr>
        <w:t xml:space="preserve">Član 3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kompetentnost iz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1, 2. i 3. </w:t>
      </w:r>
      <w:proofErr w:type="spellStart"/>
      <w:r w:rsidRPr="00E1439D">
        <w:rPr>
          <w:rFonts w:ascii="Arial" w:eastAsia="Times New Roman" w:hAnsi="Arial" w:cs="Arial"/>
          <w:lang w:eastAsia="sr-Latn-RS"/>
        </w:rPr>
        <w:t>podtačka</w:t>
      </w:r>
      <w:proofErr w:type="spellEnd"/>
      <w:r w:rsidRPr="00E1439D">
        <w:rPr>
          <w:rFonts w:ascii="Arial" w:eastAsia="Times New Roman" w:hAnsi="Arial" w:cs="Arial"/>
          <w:lang w:eastAsia="sr-Latn-RS"/>
        </w:rPr>
        <w:t xml:space="preserve"> 3), alineje (a), (b), (v), (g) i (đ) iz Tabele 1. Priloga, ako ima zaposlena najmanje dva lica koja ispunjavaju zahteve iz člana 4. stav 2.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3) ili 4) ovog pravilnika.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kompetentnost iz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1, 2. i 3. </w:t>
      </w:r>
      <w:proofErr w:type="spellStart"/>
      <w:r w:rsidRPr="00E1439D">
        <w:rPr>
          <w:rFonts w:ascii="Arial" w:eastAsia="Times New Roman" w:hAnsi="Arial" w:cs="Arial"/>
          <w:lang w:eastAsia="sr-Latn-RS"/>
        </w:rPr>
        <w:t>podtačka</w:t>
      </w:r>
      <w:proofErr w:type="spellEnd"/>
      <w:r w:rsidRPr="00E1439D">
        <w:rPr>
          <w:rFonts w:ascii="Arial" w:eastAsia="Times New Roman" w:hAnsi="Arial" w:cs="Arial"/>
          <w:lang w:eastAsia="sr-Latn-RS"/>
        </w:rPr>
        <w:t xml:space="preserve"> 3), alineja (d) iz Tabele 1. Priloga, ako ima zaposlena najmanje dva lica koja ispunjavaju zahteve iz člana 4. stav 2. tačka 2) ovog pravilnika.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kompetentnost iz tačke 4. Tabele 1. Priloga, ako ima zaposlena najmanje dva lica koja ispunjavaju zahteve iz člana 4. stav 2.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1) ili 2) ovog pravilnika.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kompetentnost iz tačke 5. Tabele 1. Priloga, ako poseduje ili ima ugovoreno korišćenje sredstava i opreme za ispitivanje primenjive na više od jednog građevinskog proizvoda iz područja građevinskih proizvoda za koje se telo za tehničko ocenjivanje imenuje.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lastRenderedPageBreak/>
        <w:t xml:space="preserve">Telo za tehničko ocenjivanje ispunjava zahteve za kompetentnost iz tačke 6. Tabele 1. Priloga, ako je podnosilac zahteva za imenovanje akreditovan u skladu sa standardom SRPS EN ISO/IEC 17025 ili SRPS EN ISO/IEC 17065 za ocenjivanje i verifikaciju stalnosti performansi najmanje jednog građevinskog proizvoda iz oblasti građevinskih proizvoda za koji se telo za tehničko ocenjivanje imenuje.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Ukupan broj lica iz st. 1, 2. i 3. ovog člana zaposlenih u telu za tehničko ocenjivanje ne može biti manji od četiri. </w:t>
      </w: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bookmarkStart w:id="4" w:name="clan_4"/>
      <w:bookmarkEnd w:id="4"/>
      <w:r w:rsidRPr="00E1439D">
        <w:rPr>
          <w:rFonts w:ascii="Arial" w:eastAsia="Times New Roman" w:hAnsi="Arial" w:cs="Arial"/>
          <w:b/>
          <w:bCs/>
          <w:sz w:val="24"/>
          <w:szCs w:val="24"/>
          <w:lang w:eastAsia="sr-Latn-RS"/>
        </w:rPr>
        <w:t xml:space="preserve">Član 4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osposobljenost ako ima dovoljan broj zaposlenih i drugih radno angažovanih lica sa stručnim znanjem i odgovarajućim radnim iskustvom iz oblasti građevinskih proizvoda za koje se imenuje (u daljem tekstu: stručno lice za oblast građevinskih proizvoda), od kojih je najmanje jedno zaposleno sa punim radnim vremenom na neodređeno vreme, koje je određeno za odgovorno lice za izdavanje tehničke ocene i ako je stručno lice za oblast građevinskih proizvoda odgovorno za: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 preuzimanje/prihvatanje pripreme i izdavanja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2) preuzimanje/prihvatanje i postupanje sa predlogom za tehničku ocenu;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3) pregled i ocenjivanje tehničke i druge dokumentacije građevinskog proizvoda;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4) pregled proizvodnog pogona i procesa proizvodnje građevinskog proizvoda;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5) određivanje zahtevanih performansi građevinskog proizvoda;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6) određivanje potrebnih podataka za proveru ispitivanjem i/ili proračunima, zahtevanih performansi građevinskog proizvoda;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7) ocenjivanje prihvatljivosti dobijenih podataka iz ispitivanja i/ili proračuna;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8) definisanje procedure pripreme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9) razvoj programa rada za pripremu i donošenje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10) sprovođenje ispitivanja i/ili proračuna za proveru;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11) vrednovanje rezultata provere zahtevanih performansi građevinskog proizvoda za nameravanu upotrebu;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12) utvrđivanje sadržinu tehničke ocene i dokumenata u vezi sa njom;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13) izdavanje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14) obezbeđivanje nezavisnosti pri donošenju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15) sačinjavanje spiska izdatih tehničkih ocena i objavljivanje najmanje jednom godišnje na internet strani tela za tehničko ocenjivanje;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16) prosleđivanje izdatih tehničkih ocena svim ostalim telima za tehničko ocenjivanje i ministarstvu nadležnom za poslove građevinarstva;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lastRenderedPageBreak/>
        <w:t xml:space="preserve">17) obaveštavanje ostalih tela za tehničko ocenjivanje i ministarstva o povlačenju srpske tehničke ocene.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Stručno lice za oblast građevinskih proizvoda iz stava 1. ovog člana je lice koje ima stečeno odgovarajuće obrazovanje na nivou ekvivalentnom osnovnim akademskim studijama, odnosno strukovnim studijama obima od najmanje 300 ESPB i najmanje ukupno osam godina radnog iskustva na poslovima: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1) projektovanja i/ili proizvodnje građevinskih proizvoda iz oblasti građevinskih proizvoda kojoj pripada i građevinski proizvod za koji se lice imenuje kao odgovorno lice tela za tehničko ocenjivanje;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2) ocenjivanja usaglašenosti odnosno ocenjivanja i verifikacije stalnosti performansi građevinskih proizvoda iz oblasti građevinskih proizvoda kojoj pripada građevinski proizvod za koji se lice imenuje kao odgovorno lice tela za tehničko ocenjivanje;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3) projektovanja i/ili građenja objekata u stručnoj oblasti u kojoj se za građenje koriste građevinski proizvodi iz oblasti građevinskih proizvoda kojoj pripada građevinski proizvod za koji se lice imenuje kao odgovorno lice tela za tehničko ocenjivanje;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4) normative i/ili na stručno-analitičkim poslovima koji se odnose na građevinske proizvode.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Radno iskustvo iz stava 2. ovog člana obuhvata najmanje četiri godine radnog iskustva koje je stečeno na jednom od poslova iz stava 2.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1)-4) ovog člana.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nezavisnost u donošenju odluka ako je telo za tehničko ocenjivanje statutom ili drugim opštim aktom obezbedilo samostalnost i nezavisnost u obavljanju poslova iz člana 4. stav 1. ovog pravilnika od rukovodstva tela za tehničko ocenjivanje. </w:t>
      </w: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bookmarkStart w:id="5" w:name="clan_6"/>
      <w:bookmarkEnd w:id="5"/>
      <w:r w:rsidRPr="00E1439D">
        <w:rPr>
          <w:rFonts w:ascii="Arial" w:eastAsia="Times New Roman" w:hAnsi="Arial" w:cs="Arial"/>
          <w:b/>
          <w:bCs/>
          <w:sz w:val="24"/>
          <w:szCs w:val="24"/>
          <w:lang w:eastAsia="sr-Latn-RS"/>
        </w:rPr>
        <w:t xml:space="preserve">Član 6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ispunjava zahteve za nepristrasnost odnosno obezbeđivanja ravnoteže interesa na tržištu građevinskih proizvoda ako ima osnovano interno telo zaduženo za nadzor nad obavljanjem poslova izdavanja tehničke ocene na način utvrđen standardom SRPS EN ISO 17065. </w:t>
      </w:r>
    </w:p>
    <w:p w:rsidR="00E1439D" w:rsidRPr="00E1439D" w:rsidRDefault="00E1439D" w:rsidP="00E1439D">
      <w:pPr>
        <w:spacing w:before="240" w:after="120" w:line="240" w:lineRule="auto"/>
        <w:jc w:val="center"/>
        <w:rPr>
          <w:rFonts w:ascii="Arial" w:eastAsia="Times New Roman" w:hAnsi="Arial" w:cs="Arial"/>
          <w:b/>
          <w:bCs/>
          <w:sz w:val="24"/>
          <w:szCs w:val="24"/>
          <w:lang w:eastAsia="sr-Latn-RS"/>
        </w:rPr>
      </w:pPr>
      <w:bookmarkStart w:id="6" w:name="clan_7"/>
      <w:bookmarkEnd w:id="6"/>
      <w:r w:rsidRPr="00E1439D">
        <w:rPr>
          <w:rFonts w:ascii="Arial" w:eastAsia="Times New Roman" w:hAnsi="Arial" w:cs="Arial"/>
          <w:b/>
          <w:bCs/>
          <w:sz w:val="24"/>
          <w:szCs w:val="24"/>
          <w:lang w:eastAsia="sr-Latn-RS"/>
        </w:rPr>
        <w:t xml:space="preserve">Član 7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Ovaj pravilnik stupa na snagu osmog dana od dana objavljivanja u "Službenom glasniku Republike Srbije". </w:t>
      </w:r>
    </w:p>
    <w:p w:rsidR="00E1439D" w:rsidRPr="00E1439D" w:rsidRDefault="00E1439D" w:rsidP="00E1439D">
      <w:pPr>
        <w:spacing w:after="0" w:line="240" w:lineRule="auto"/>
        <w:jc w:val="center"/>
        <w:rPr>
          <w:rFonts w:ascii="Arial" w:eastAsia="Times New Roman" w:hAnsi="Arial" w:cs="Arial"/>
          <w:b/>
          <w:bCs/>
          <w:sz w:val="29"/>
          <w:szCs w:val="29"/>
          <w:lang w:eastAsia="sr-Latn-RS"/>
        </w:rPr>
      </w:pPr>
      <w:bookmarkStart w:id="7" w:name="str_1"/>
      <w:bookmarkEnd w:id="7"/>
      <w:r w:rsidRPr="00E1439D">
        <w:rPr>
          <w:rFonts w:ascii="Arial" w:eastAsia="Times New Roman" w:hAnsi="Arial" w:cs="Arial"/>
          <w:b/>
          <w:bCs/>
          <w:sz w:val="29"/>
          <w:szCs w:val="29"/>
          <w:lang w:eastAsia="sr-Latn-RS"/>
        </w:rPr>
        <w:t xml:space="preserve">Prilog </w:t>
      </w:r>
    </w:p>
    <w:p w:rsidR="00E1439D" w:rsidRPr="00E1439D" w:rsidRDefault="00E1439D" w:rsidP="00E1439D">
      <w:pPr>
        <w:spacing w:after="0" w:line="240" w:lineRule="auto"/>
        <w:rPr>
          <w:rFonts w:ascii="Arial" w:eastAsia="Times New Roman" w:hAnsi="Arial" w:cs="Arial"/>
          <w:sz w:val="26"/>
          <w:szCs w:val="26"/>
          <w:lang w:eastAsia="sr-Latn-RS"/>
        </w:rPr>
      </w:pPr>
      <w:r w:rsidRPr="00E1439D">
        <w:rPr>
          <w:rFonts w:ascii="Arial" w:eastAsia="Times New Roman" w:hAnsi="Arial" w:cs="Arial"/>
          <w:sz w:val="26"/>
          <w:szCs w:val="26"/>
          <w:lang w:eastAsia="sr-Latn-RS"/>
        </w:rPr>
        <w:t> </w:t>
      </w:r>
    </w:p>
    <w:p w:rsidR="00E1439D" w:rsidRPr="00E1439D" w:rsidRDefault="00E1439D" w:rsidP="00E1439D">
      <w:pPr>
        <w:spacing w:after="0" w:line="240" w:lineRule="auto"/>
        <w:jc w:val="center"/>
        <w:rPr>
          <w:rFonts w:ascii="Arial" w:eastAsia="Times New Roman" w:hAnsi="Arial" w:cs="Arial"/>
          <w:b/>
          <w:bCs/>
          <w:sz w:val="29"/>
          <w:szCs w:val="29"/>
          <w:lang w:eastAsia="sr-Latn-RS"/>
        </w:rPr>
      </w:pPr>
      <w:bookmarkStart w:id="8" w:name="str_2"/>
      <w:bookmarkEnd w:id="8"/>
      <w:r w:rsidRPr="00E1439D">
        <w:rPr>
          <w:rFonts w:ascii="Arial" w:eastAsia="Times New Roman" w:hAnsi="Arial" w:cs="Arial"/>
          <w:b/>
          <w:bCs/>
          <w:sz w:val="29"/>
          <w:szCs w:val="29"/>
          <w:lang w:eastAsia="sr-Latn-RS"/>
        </w:rPr>
        <w:t xml:space="preserve">ZAHTEVI ZA IMENOVANJE TELA ZA TEHNIČKO OCENJIVANJE ZA KOMPETENTNOST </w:t>
      </w:r>
    </w:p>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39"/>
        <w:gridCol w:w="3379"/>
        <w:gridCol w:w="3692"/>
      </w:tblGrid>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Kompetentnost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Opis kompetentnosti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Zahtev za imenovanje tela za tehničko ocenjivanje </w:t>
            </w: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lastRenderedPageBreak/>
              <w:t>Tačka 1.</w:t>
            </w:r>
            <w:r w:rsidRPr="00E1439D">
              <w:rPr>
                <w:rFonts w:ascii="Arial" w:eastAsia="Times New Roman" w:hAnsi="Arial" w:cs="Arial"/>
                <w:lang w:eastAsia="sr-Latn-RS"/>
              </w:rPr>
              <w:br/>
              <w:t xml:space="preserve">Analiza rizika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Identifikovati moguće rizike i koristi od upotrebe inovativnih građevinskih proizvoda u nedostatku utvrđenih/ zbirnih tehničkih podataka u vezi sa njihovim performansama prilikom ugradnje u objekte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1) Telo za tehničko ocenjivanje se osniva u skladu sa posebnim propisom i ima status pravnog lica.</w:t>
            </w:r>
            <w:r w:rsidRPr="00E1439D">
              <w:rPr>
                <w:rFonts w:ascii="Arial" w:eastAsia="Times New Roman" w:hAnsi="Arial" w:cs="Arial"/>
                <w:lang w:eastAsia="sr-Latn-RS"/>
              </w:rPr>
              <w:br/>
              <w:t>2) Nezavisno je od zainteresovanih strana i bilo kojih pojedinačnih interesa.</w:t>
            </w:r>
            <w:r w:rsidRPr="00E1439D">
              <w:rPr>
                <w:rFonts w:ascii="Arial" w:eastAsia="Times New Roman" w:hAnsi="Arial" w:cs="Arial"/>
                <w:lang w:eastAsia="sr-Latn-RS"/>
              </w:rPr>
              <w:br/>
              <w:t>3) Telo za tehničko ocenjivanje zapošljava lica koja ispunjavaju sledeće:</w:t>
            </w:r>
            <w:r w:rsidRPr="00E1439D">
              <w:rPr>
                <w:rFonts w:ascii="Arial" w:eastAsia="Times New Roman" w:hAnsi="Arial" w:cs="Arial"/>
                <w:lang w:eastAsia="sr-Latn-RS"/>
              </w:rPr>
              <w:br/>
              <w:t>(a) objektivnost i pouzdano tehničko rasuđivanje;</w:t>
            </w:r>
            <w:r w:rsidRPr="00E1439D">
              <w:rPr>
                <w:rFonts w:ascii="Arial" w:eastAsia="Times New Roman" w:hAnsi="Arial" w:cs="Arial"/>
                <w:lang w:eastAsia="sr-Latn-RS"/>
              </w:rPr>
              <w:br/>
              <w:t>(b) detaljno poznavanje srpskih propisa i drugih zahteva koji su na snazi u vezi sa oblastima proizvoda za koje će biti imenovano;</w:t>
            </w:r>
            <w:r w:rsidRPr="00E1439D">
              <w:rPr>
                <w:rFonts w:ascii="Arial" w:eastAsia="Times New Roman" w:hAnsi="Arial" w:cs="Arial"/>
                <w:lang w:eastAsia="sr-Latn-RS"/>
              </w:rPr>
              <w:br/>
              <w:t>(v) opšte poznavanje građevinske prakse i detaljno tehničko znanje u vezi sa oblastima proizvoda za koje će biti imenovano;</w:t>
            </w:r>
            <w:r w:rsidRPr="00E1439D">
              <w:rPr>
                <w:rFonts w:ascii="Arial" w:eastAsia="Times New Roman" w:hAnsi="Arial" w:cs="Arial"/>
                <w:lang w:eastAsia="sr-Latn-RS"/>
              </w:rPr>
              <w:br/>
              <w:t>(g) detaljno znanje o posebnim rizicima i tehničkim aspektima procesa izgradnje;</w:t>
            </w:r>
            <w:r w:rsidRPr="00E1439D">
              <w:rPr>
                <w:rFonts w:ascii="Arial" w:eastAsia="Times New Roman" w:hAnsi="Arial" w:cs="Arial"/>
                <w:lang w:eastAsia="sr-Latn-RS"/>
              </w:rPr>
              <w:br/>
              <w:t>(d) detaljno znanje o postojećim harmonizovanim standardima i metodama ispitivanja u okviru oblasti proizvoda za koje će biti imenovano;</w:t>
            </w:r>
            <w:r w:rsidRPr="00E1439D">
              <w:rPr>
                <w:rFonts w:ascii="Arial" w:eastAsia="Times New Roman" w:hAnsi="Arial" w:cs="Arial"/>
                <w:lang w:eastAsia="sr-Latn-RS"/>
              </w:rPr>
              <w:br/>
              <w:t>(đ) odgovarajuće poznavanje stranog jezika.</w:t>
            </w:r>
            <w:r w:rsidRPr="00E1439D">
              <w:rPr>
                <w:rFonts w:ascii="Arial" w:eastAsia="Times New Roman" w:hAnsi="Arial" w:cs="Arial"/>
                <w:lang w:eastAsia="sr-Latn-RS"/>
              </w:rPr>
              <w:br/>
              <w:t xml:space="preserve">4) Naknada za rad osoblja tela za tehničko ocenjivanje ne zavisi od broja sprovedenih ocenjivanja ili od rezultata tih ocenjivanja. </w:t>
            </w: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Tačka 2.</w:t>
            </w:r>
            <w:r w:rsidRPr="00E1439D">
              <w:rPr>
                <w:rFonts w:ascii="Arial" w:eastAsia="Times New Roman" w:hAnsi="Arial" w:cs="Arial"/>
                <w:lang w:eastAsia="sr-Latn-RS"/>
              </w:rPr>
              <w:br/>
              <w:t xml:space="preserve">Uspostavljanje tehničkih kriterijuma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Pretvoriti rezultat analize rizika u tehničke kriterijume za procenu ponašanja i performansi građevinskih proizvoda u pogledu ispunjenja primenjivih nacionalnih zahteva;</w:t>
            </w:r>
            <w:r w:rsidRPr="00E1439D">
              <w:rPr>
                <w:rFonts w:ascii="Arial" w:eastAsia="Times New Roman" w:hAnsi="Arial" w:cs="Arial"/>
                <w:lang w:eastAsia="sr-Latn-RS"/>
              </w:rPr>
              <w:br/>
              <w:t xml:space="preserve">Obezbediti tehničke podatke potrebne učesnicima u građenju kao mogućim korisnicima građevinskih proizvoda (proizvođači, projektanti, izvođači, oni koji ugrađuju).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after="0" w:line="240" w:lineRule="auto"/>
              <w:rPr>
                <w:rFonts w:ascii="Arial" w:eastAsia="Times New Roman" w:hAnsi="Arial" w:cs="Arial"/>
                <w:lang w:eastAsia="sr-Latn-RS"/>
              </w:rPr>
            </w:pP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Tačka 3.</w:t>
            </w:r>
            <w:r w:rsidRPr="00E1439D">
              <w:rPr>
                <w:rFonts w:ascii="Arial" w:eastAsia="Times New Roman" w:hAnsi="Arial" w:cs="Arial"/>
                <w:lang w:eastAsia="sr-Latn-RS"/>
              </w:rPr>
              <w:br/>
              <w:t xml:space="preserve">Uspostavljanje metoda ocenjivanja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Osmisliti i potvrditi odgovarajuće metode (ispitivanja ili proračune) za ocenjivanje performansi bitnih karakteristika građevinskih proizvoda, uzimajući u obzir trenutno stanje tehničko tehnološkog razvoja.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after="0" w:line="240" w:lineRule="auto"/>
              <w:rPr>
                <w:rFonts w:ascii="Arial" w:eastAsia="Times New Roman" w:hAnsi="Arial" w:cs="Arial"/>
                <w:lang w:eastAsia="sr-Latn-RS"/>
              </w:rPr>
            </w:pP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Tačka 4.</w:t>
            </w:r>
            <w:r w:rsidRPr="00E1439D">
              <w:rPr>
                <w:rFonts w:ascii="Arial" w:eastAsia="Times New Roman" w:hAnsi="Arial" w:cs="Arial"/>
                <w:lang w:eastAsia="sr-Latn-RS"/>
              </w:rPr>
              <w:br/>
              <w:t xml:space="preserve">Određivanje odgovarajuće fabričke kontrole proizvodnje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Razumeti i oceniti proizvodni proces predmetnog građevinskog proizvoda kako bi se identifikovale odgovarajuće mere kojima se obezbeđuje stalnost proizvoda tokom datog proizvodnog procesa.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Telo za tehničko ocenjivanje ima osoblje sa odgovarajućim poznavanjem odnosa proizvodnog procesa i karakteristika proizvoda u vezi sa fabričkom kontrolom proizvodnje. </w:t>
            </w: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Tačka 5.</w:t>
            </w:r>
            <w:r w:rsidRPr="00E1439D">
              <w:rPr>
                <w:rFonts w:ascii="Arial" w:eastAsia="Times New Roman" w:hAnsi="Arial" w:cs="Arial"/>
                <w:lang w:eastAsia="sr-Latn-RS"/>
              </w:rPr>
              <w:br/>
              <w:t xml:space="preserve">Ocenjivanje građevinskog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Oceniti performanse u vezi sa bitnim karakteristikama građevinskih proizvoda na osnovu harmonizovanih metoda prema harmonizovanim kriterijumima.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Pored zahteva navedenih u </w:t>
            </w:r>
            <w:proofErr w:type="spellStart"/>
            <w:r w:rsidRPr="00E1439D">
              <w:rPr>
                <w:rFonts w:ascii="Arial" w:eastAsia="Times New Roman" w:hAnsi="Arial" w:cs="Arial"/>
                <w:lang w:eastAsia="sr-Latn-RS"/>
              </w:rPr>
              <w:t>tač</w:t>
            </w:r>
            <w:proofErr w:type="spellEnd"/>
            <w:r w:rsidRPr="00E1439D">
              <w:rPr>
                <w:rFonts w:ascii="Arial" w:eastAsia="Times New Roman" w:hAnsi="Arial" w:cs="Arial"/>
                <w:lang w:eastAsia="sr-Latn-RS"/>
              </w:rPr>
              <w:t xml:space="preserve">. 1, 2. i 3, telo za tehničko ocenjivanje ima pristup potrebnim sredstvima i opremi za ocenjivanje performansi bitnih karakteristika građevinskih proizvoda u okviru oblasti proizvoda za koje će biti imenovano. </w:t>
            </w:r>
          </w:p>
        </w:tc>
      </w:tr>
      <w:tr w:rsidR="00E1439D" w:rsidRPr="00E1439D" w:rsidTr="00E1439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Tačka 6.</w:t>
            </w:r>
            <w:r w:rsidRPr="00E1439D">
              <w:rPr>
                <w:rFonts w:ascii="Arial" w:eastAsia="Times New Roman" w:hAnsi="Arial" w:cs="Arial"/>
                <w:lang w:eastAsia="sr-Latn-RS"/>
              </w:rPr>
              <w:br/>
              <w:t xml:space="preserve">Opšte upravljanje </w:t>
            </w:r>
          </w:p>
        </w:tc>
        <w:tc>
          <w:tcPr>
            <w:tcW w:w="0" w:type="auto"/>
            <w:tcBorders>
              <w:top w:val="outset" w:sz="6" w:space="0" w:color="auto"/>
              <w:left w:val="outset" w:sz="6" w:space="0" w:color="auto"/>
              <w:bottom w:val="outset" w:sz="6" w:space="0" w:color="auto"/>
              <w:right w:val="outset" w:sz="6" w:space="0" w:color="auto"/>
            </w:tcBorders>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 xml:space="preserve">Obezbediti doslednost, pouzdanost, objektivnost i </w:t>
            </w:r>
            <w:proofErr w:type="spellStart"/>
            <w:r w:rsidRPr="00E1439D">
              <w:rPr>
                <w:rFonts w:ascii="Arial" w:eastAsia="Times New Roman" w:hAnsi="Arial" w:cs="Arial"/>
                <w:lang w:eastAsia="sr-Latn-RS"/>
              </w:rPr>
              <w:t>sledljivost</w:t>
            </w:r>
            <w:proofErr w:type="spellEnd"/>
            <w:r w:rsidRPr="00E1439D">
              <w:rPr>
                <w:rFonts w:ascii="Arial" w:eastAsia="Times New Roman" w:hAnsi="Arial" w:cs="Arial"/>
                <w:lang w:eastAsia="sr-Latn-RS"/>
              </w:rPr>
              <w:t xml:space="preserve"> stalnom primenom odgovarajućih metoda upravljanja.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39D" w:rsidRPr="00E1439D" w:rsidRDefault="00E1439D" w:rsidP="00E1439D">
            <w:pPr>
              <w:spacing w:before="100" w:beforeAutospacing="1" w:after="100" w:afterAutospacing="1" w:line="240" w:lineRule="auto"/>
              <w:rPr>
                <w:rFonts w:ascii="Arial" w:eastAsia="Times New Roman" w:hAnsi="Arial" w:cs="Arial"/>
                <w:lang w:eastAsia="sr-Latn-RS"/>
              </w:rPr>
            </w:pPr>
            <w:r w:rsidRPr="00E1439D">
              <w:rPr>
                <w:rFonts w:ascii="Arial" w:eastAsia="Times New Roman" w:hAnsi="Arial" w:cs="Arial"/>
                <w:lang w:eastAsia="sr-Latn-RS"/>
              </w:rPr>
              <w:t>Telo za tehničko ocenjivanje ima:</w:t>
            </w:r>
            <w:r w:rsidRPr="00E1439D">
              <w:rPr>
                <w:rFonts w:ascii="Arial" w:eastAsia="Times New Roman" w:hAnsi="Arial" w:cs="Arial"/>
                <w:lang w:eastAsia="sr-Latn-RS"/>
              </w:rPr>
              <w:br/>
              <w:t>a) dokazano poštovanje dobre administrativne prakse;</w:t>
            </w:r>
            <w:r w:rsidRPr="00E1439D">
              <w:rPr>
                <w:rFonts w:ascii="Arial" w:eastAsia="Times New Roman" w:hAnsi="Arial" w:cs="Arial"/>
                <w:lang w:eastAsia="sr-Latn-RS"/>
              </w:rPr>
              <w:br/>
              <w:t xml:space="preserve">b) politiku i dodatne postupke kojima bi se obezbedila poverljivost osetljivih podataka u okviru tela za tehničko ocenjivanje i svih njegovih </w:t>
            </w:r>
            <w:r w:rsidRPr="00E1439D">
              <w:rPr>
                <w:rFonts w:ascii="Arial" w:eastAsia="Times New Roman" w:hAnsi="Arial" w:cs="Arial"/>
                <w:lang w:eastAsia="sr-Latn-RS"/>
              </w:rPr>
              <w:lastRenderedPageBreak/>
              <w:t>partnera;</w:t>
            </w:r>
            <w:r w:rsidRPr="00E1439D">
              <w:rPr>
                <w:rFonts w:ascii="Arial" w:eastAsia="Times New Roman" w:hAnsi="Arial" w:cs="Arial"/>
                <w:lang w:eastAsia="sr-Latn-RS"/>
              </w:rPr>
              <w:br/>
              <w:t xml:space="preserve">v) sistem kontrole dokumentacije kako bi se obezbedila registracija, </w:t>
            </w:r>
            <w:proofErr w:type="spellStart"/>
            <w:r w:rsidRPr="00E1439D">
              <w:rPr>
                <w:rFonts w:ascii="Arial" w:eastAsia="Times New Roman" w:hAnsi="Arial" w:cs="Arial"/>
                <w:lang w:eastAsia="sr-Latn-RS"/>
              </w:rPr>
              <w:t>sledljivost</w:t>
            </w:r>
            <w:proofErr w:type="spellEnd"/>
            <w:r w:rsidRPr="00E1439D">
              <w:rPr>
                <w:rFonts w:ascii="Arial" w:eastAsia="Times New Roman" w:hAnsi="Arial" w:cs="Arial"/>
                <w:lang w:eastAsia="sr-Latn-RS"/>
              </w:rPr>
              <w:t>, održavanje i arhiviranje odgovarajuće dokumentacije;</w:t>
            </w:r>
            <w:r w:rsidRPr="00E1439D">
              <w:rPr>
                <w:rFonts w:ascii="Arial" w:eastAsia="Times New Roman" w:hAnsi="Arial" w:cs="Arial"/>
                <w:lang w:eastAsia="sr-Latn-RS"/>
              </w:rPr>
              <w:br/>
              <w:t>g) mehanizam interne provere i preispitivanja upravljanja kako bi se obezbedilo redovno praćenje usaglašenosti sa odgovarajućim metodama upravljanja;</w:t>
            </w:r>
            <w:r w:rsidRPr="00E1439D">
              <w:rPr>
                <w:rFonts w:ascii="Arial" w:eastAsia="Times New Roman" w:hAnsi="Arial" w:cs="Arial"/>
                <w:lang w:eastAsia="sr-Latn-RS"/>
              </w:rPr>
              <w:br/>
              <w:t xml:space="preserve">d) postupak za objektivno postupanje po žalbama i reklamacijama. </w:t>
            </w:r>
          </w:p>
        </w:tc>
      </w:tr>
    </w:tbl>
    <w:p w:rsidR="00F5674E" w:rsidRDefault="00167384"/>
    <w:sectPr w:rsidR="00F567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9D"/>
    <w:rsid w:val="00167384"/>
    <w:rsid w:val="00A70F32"/>
    <w:rsid w:val="00E1439D"/>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87DF0-42A4-466A-BB47-0F6009A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1439D"/>
    <w:pPr>
      <w:spacing w:after="0"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439D"/>
    <w:rPr>
      <w:rFonts w:ascii="Times New Roman" w:eastAsia="Times New Roman" w:hAnsi="Times New Roman" w:cs="Times New Roman"/>
      <w:b/>
      <w:bCs/>
      <w:sz w:val="24"/>
      <w:szCs w:val="24"/>
      <w:lang w:eastAsia="sr-Latn-RS"/>
    </w:rPr>
  </w:style>
  <w:style w:type="paragraph" w:customStyle="1" w:styleId="clan">
    <w:name w:val="clan"/>
    <w:basedOn w:val="Normal"/>
    <w:rsid w:val="00E1439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E1439D"/>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E1439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E1439D"/>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E1439D"/>
    <w:pPr>
      <w:spacing w:after="0" w:line="240" w:lineRule="auto"/>
      <w:jc w:val="center"/>
    </w:pPr>
    <w:rPr>
      <w:rFonts w:ascii="Arial" w:eastAsia="Times New Roman" w:hAnsi="Arial" w:cs="Arial"/>
      <w:b/>
      <w:bCs/>
      <w:sz w:val="29"/>
      <w:szCs w:val="29"/>
      <w:lang w:eastAsia="sr-Latn-RS"/>
    </w:rPr>
  </w:style>
  <w:style w:type="paragraph" w:styleId="Title">
    <w:name w:val="Title"/>
    <w:basedOn w:val="Normal"/>
    <w:next w:val="Normal"/>
    <w:link w:val="TitleChar"/>
    <w:uiPriority w:val="10"/>
    <w:qFormat/>
    <w:rsid w:val="001673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738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67384"/>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6738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5180">
      <w:bodyDiv w:val="1"/>
      <w:marLeft w:val="0"/>
      <w:marRight w:val="0"/>
      <w:marTop w:val="0"/>
      <w:marBottom w:val="0"/>
      <w:divBdr>
        <w:top w:val="none" w:sz="0" w:space="0" w:color="auto"/>
        <w:left w:val="none" w:sz="0" w:space="0" w:color="auto"/>
        <w:bottom w:val="none" w:sz="0" w:space="0" w:color="auto"/>
        <w:right w:val="none" w:sz="0" w:space="0" w:color="auto"/>
      </w:divBdr>
    </w:div>
    <w:div w:id="12966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Dejana</cp:lastModifiedBy>
  <cp:revision>2</cp:revision>
  <dcterms:created xsi:type="dcterms:W3CDTF">2019-12-22T21:09:00Z</dcterms:created>
  <dcterms:modified xsi:type="dcterms:W3CDTF">2020-01-14T13:52:00Z</dcterms:modified>
</cp:coreProperties>
</file>