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5EC" w:rsidRPr="008375EC" w:rsidRDefault="008375EC" w:rsidP="008375EC">
      <w:pPr>
        <w:pStyle w:val="Naslov"/>
        <w:jc w:val="center"/>
        <w:rPr>
          <w:rFonts w:eastAsia="Times New Roman"/>
          <w:lang w:eastAsia="sr-Latn-RS"/>
        </w:rPr>
      </w:pPr>
      <w:bookmarkStart w:id="0" w:name="clan_1"/>
      <w:bookmarkEnd w:id="0"/>
      <w:r w:rsidRPr="008375EC">
        <w:rPr>
          <w:rFonts w:eastAsia="Times New Roman"/>
          <w:lang w:eastAsia="sr-Latn-RS"/>
        </w:rPr>
        <w:t>PRAVILNIK</w:t>
      </w:r>
    </w:p>
    <w:p w:rsidR="008375EC" w:rsidRPr="008375EC" w:rsidRDefault="008375EC" w:rsidP="008375EC">
      <w:pPr>
        <w:pStyle w:val="Naslov"/>
        <w:jc w:val="center"/>
        <w:rPr>
          <w:rFonts w:eastAsia="Times New Roman"/>
          <w:lang w:eastAsia="sr-Latn-RS"/>
        </w:rPr>
      </w:pPr>
      <w:r w:rsidRPr="008375EC">
        <w:rPr>
          <w:rFonts w:eastAsia="Times New Roman"/>
          <w:lang w:eastAsia="sr-Latn-RS"/>
        </w:rPr>
        <w:t>O METODAMA ISPITIVANJA OPASNIH SVOJSTAVA HEMIKALIJA</w:t>
      </w:r>
    </w:p>
    <w:p w:rsidR="008375EC" w:rsidRDefault="008375EC" w:rsidP="008375EC">
      <w:pPr>
        <w:pStyle w:val="Podnaslov"/>
        <w:jc w:val="center"/>
        <w:rPr>
          <w:rFonts w:eastAsia="Times New Roman"/>
          <w:lang w:eastAsia="sr-Latn-RS"/>
        </w:rPr>
      </w:pPr>
      <w:r w:rsidRPr="008375EC">
        <w:rPr>
          <w:rFonts w:eastAsia="Times New Roman"/>
          <w:lang w:eastAsia="sr-Latn-RS"/>
        </w:rPr>
        <w:t>("Sl. glasnik RS", br. 117/2013)</w:t>
      </w:r>
      <w:bookmarkStart w:id="1" w:name="_GoBack"/>
      <w:bookmarkEnd w:id="1"/>
    </w:p>
    <w:p w:rsidR="008375EC" w:rsidRDefault="008375EC" w:rsidP="008375EC">
      <w:pPr>
        <w:pStyle w:val="Podnaslov"/>
        <w:jc w:val="center"/>
        <w:rPr>
          <w:rFonts w:eastAsia="Times New Roman"/>
          <w:lang w:eastAsia="sr-Latn-RS"/>
        </w:rPr>
      </w:pPr>
    </w:p>
    <w:p w:rsidR="00984859" w:rsidRPr="00984859" w:rsidRDefault="00984859" w:rsidP="008375EC">
      <w:pPr>
        <w:spacing w:before="240" w:after="120" w:line="240" w:lineRule="auto"/>
        <w:jc w:val="center"/>
        <w:rPr>
          <w:rFonts w:ascii="Arial" w:eastAsia="Times New Roman" w:hAnsi="Arial" w:cs="Arial"/>
          <w:b/>
          <w:bCs/>
          <w:sz w:val="24"/>
          <w:szCs w:val="24"/>
          <w:lang w:eastAsia="sr-Latn-RS"/>
        </w:rPr>
      </w:pPr>
      <w:r w:rsidRPr="00984859">
        <w:rPr>
          <w:rFonts w:ascii="Arial" w:eastAsia="Times New Roman" w:hAnsi="Arial" w:cs="Arial"/>
          <w:b/>
          <w:bCs/>
          <w:sz w:val="24"/>
          <w:szCs w:val="24"/>
          <w:lang w:eastAsia="sr-Latn-RS"/>
        </w:rPr>
        <w:t xml:space="preserve">Član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Ovim pravilnikom propisuju se metode ispitivanja opasnih svojstava hemikalija. </w:t>
      </w:r>
    </w:p>
    <w:p w:rsidR="00984859" w:rsidRPr="00984859" w:rsidRDefault="00984859" w:rsidP="00984859">
      <w:pPr>
        <w:spacing w:before="240" w:after="120" w:line="240" w:lineRule="auto"/>
        <w:jc w:val="center"/>
        <w:rPr>
          <w:rFonts w:ascii="Arial" w:eastAsia="Times New Roman" w:hAnsi="Arial" w:cs="Arial"/>
          <w:b/>
          <w:bCs/>
          <w:sz w:val="24"/>
          <w:szCs w:val="24"/>
          <w:lang w:eastAsia="sr-Latn-RS"/>
        </w:rPr>
      </w:pPr>
      <w:bookmarkStart w:id="2" w:name="clan_2"/>
      <w:bookmarkEnd w:id="2"/>
      <w:r w:rsidRPr="00984859">
        <w:rPr>
          <w:rFonts w:ascii="Arial" w:eastAsia="Times New Roman" w:hAnsi="Arial" w:cs="Arial"/>
          <w:b/>
          <w:bCs/>
          <w:sz w:val="24"/>
          <w:szCs w:val="24"/>
          <w:lang w:eastAsia="sr-Latn-RS"/>
        </w:rPr>
        <w:t xml:space="preserve">Član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Metode ispitivanja fizičkih i hemijskih svojstava hemikalija date su u Prilogu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Metode ispitivanja svojstava hemikalija koja utiču na život i zdravlje ljudi date su u Prilogu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Metode ispitivanja svojstava hemikalija koja utiču na životnu sredinu date su u Prilogu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Prilozi 1, 2. i 3. čine sastavni deo ovog pravilnika. </w:t>
      </w:r>
    </w:p>
    <w:p w:rsidR="00984859" w:rsidRPr="00984859" w:rsidRDefault="00984859" w:rsidP="00984859">
      <w:pPr>
        <w:spacing w:before="240" w:after="120" w:line="240" w:lineRule="auto"/>
        <w:jc w:val="center"/>
        <w:rPr>
          <w:rFonts w:ascii="Arial" w:eastAsia="Times New Roman" w:hAnsi="Arial" w:cs="Arial"/>
          <w:b/>
          <w:bCs/>
          <w:sz w:val="24"/>
          <w:szCs w:val="24"/>
          <w:lang w:eastAsia="sr-Latn-RS"/>
        </w:rPr>
      </w:pPr>
      <w:bookmarkStart w:id="3" w:name="clan_3"/>
      <w:bookmarkEnd w:id="3"/>
      <w:r w:rsidRPr="00984859">
        <w:rPr>
          <w:rFonts w:ascii="Arial" w:eastAsia="Times New Roman" w:hAnsi="Arial" w:cs="Arial"/>
          <w:b/>
          <w:bCs/>
          <w:sz w:val="24"/>
          <w:szCs w:val="24"/>
          <w:lang w:eastAsia="sr-Latn-RS"/>
        </w:rPr>
        <w:t xml:space="preserve">Član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Danom stupanja na snagu ovog pravilnika prestaje da važi Pravilnik o metodama ispitivanja opasnih svojstava hemikalija ("Službeni glasnik RS", broj 42/11). </w:t>
      </w:r>
    </w:p>
    <w:p w:rsidR="00984859" w:rsidRPr="00984859" w:rsidRDefault="00984859" w:rsidP="00984859">
      <w:pPr>
        <w:spacing w:before="240" w:after="120" w:line="240" w:lineRule="auto"/>
        <w:jc w:val="center"/>
        <w:rPr>
          <w:rFonts w:ascii="Arial" w:eastAsia="Times New Roman" w:hAnsi="Arial" w:cs="Arial"/>
          <w:b/>
          <w:bCs/>
          <w:sz w:val="24"/>
          <w:szCs w:val="24"/>
          <w:lang w:eastAsia="sr-Latn-RS"/>
        </w:rPr>
      </w:pPr>
      <w:bookmarkStart w:id="4" w:name="clan_4"/>
      <w:bookmarkEnd w:id="4"/>
      <w:r w:rsidRPr="00984859">
        <w:rPr>
          <w:rFonts w:ascii="Arial" w:eastAsia="Times New Roman" w:hAnsi="Arial" w:cs="Arial"/>
          <w:b/>
          <w:bCs/>
          <w:sz w:val="24"/>
          <w:szCs w:val="24"/>
          <w:lang w:eastAsia="sr-Latn-RS"/>
        </w:rPr>
        <w:t xml:space="preserve">Član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Ovaj pravilnik stupa na snagu osmog dana od dana objavljivanja u "Službenom glasniku Republike Srbije". </w:t>
      </w:r>
    </w:p>
    <w:p w:rsidR="00984859" w:rsidRPr="00984859" w:rsidRDefault="00984859" w:rsidP="00984859">
      <w:pPr>
        <w:spacing w:after="0" w:line="240" w:lineRule="auto"/>
        <w:jc w:val="center"/>
        <w:rPr>
          <w:rFonts w:ascii="Arial" w:eastAsia="Times New Roman" w:hAnsi="Arial" w:cs="Arial"/>
          <w:b/>
          <w:bCs/>
          <w:sz w:val="31"/>
          <w:szCs w:val="31"/>
          <w:lang w:eastAsia="sr-Latn-RS"/>
        </w:rPr>
      </w:pPr>
      <w:bookmarkStart w:id="5" w:name="str_1"/>
      <w:bookmarkEnd w:id="5"/>
      <w:r w:rsidRPr="00984859">
        <w:rPr>
          <w:rFonts w:ascii="Arial" w:eastAsia="Times New Roman" w:hAnsi="Arial" w:cs="Arial"/>
          <w:b/>
          <w:bCs/>
          <w:sz w:val="31"/>
          <w:szCs w:val="31"/>
          <w:lang w:eastAsia="sr-Latn-RS"/>
        </w:rPr>
        <w:t xml:space="preserve">Prilog 1. </w:t>
      </w:r>
    </w:p>
    <w:p w:rsidR="00984859" w:rsidRPr="00984859" w:rsidRDefault="00984859" w:rsidP="00984859">
      <w:pPr>
        <w:spacing w:after="0" w:line="240" w:lineRule="auto"/>
        <w:jc w:val="center"/>
        <w:rPr>
          <w:rFonts w:ascii="Arial" w:eastAsia="Times New Roman" w:hAnsi="Arial" w:cs="Arial"/>
          <w:b/>
          <w:bCs/>
          <w:sz w:val="31"/>
          <w:szCs w:val="31"/>
          <w:lang w:eastAsia="sr-Latn-RS"/>
        </w:rPr>
      </w:pPr>
      <w:r w:rsidRPr="00984859">
        <w:rPr>
          <w:rFonts w:ascii="Arial" w:eastAsia="Times New Roman" w:hAnsi="Arial" w:cs="Arial"/>
          <w:b/>
          <w:bCs/>
          <w:sz w:val="31"/>
          <w:szCs w:val="31"/>
          <w:lang w:eastAsia="sr-Latn-RS"/>
        </w:rPr>
        <w:t xml:space="preserve">Metode ispitivanja fizičkih i hemijskih svojstava hemikalija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A.1. TEMPERATURA TOPLJENJA / MRŽNJENJA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Većina opisanih metoda zasniva se na Uputstvu za ispitivanje OECD</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Osnovni principi metode dati su u literaturi</w:t>
      </w:r>
      <w:r w:rsidRPr="00984859">
        <w:rPr>
          <w:rFonts w:ascii="Arial" w:eastAsia="Times New Roman" w:hAnsi="Arial" w:cs="Arial"/>
          <w:b/>
          <w:bCs/>
          <w:sz w:val="15"/>
          <w:szCs w:val="15"/>
          <w:vertAlign w:val="superscript"/>
          <w:lang w:eastAsia="sr-Latn-RS"/>
        </w:rPr>
        <w:t>2, 3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Opisane metode i uređaji primenjuju se za određivanje temperature topljenja supstanci, bez ograničenja u pogledu stepena 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Izbor metode zavisi od prirode supstance koja se ispituje. Posledica toga je da je ograničavajući faktor da li se supstanca sprašuje lako, teško ili se ne može sprašiti.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neke supstance više odgovara određivanje temperature mržnjenja ili temperature očvršćavanja, a standardi za ova određivanja dati su u ovoj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zbog određenih svojstava supstance ne može izmeriti nijedan od navedenih parametara, odgovarajućom se smatra temperatura tečenja.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topljenja jeste temperatura na kojoj se odvija fazni prelaz iz čvrstog u tečno stanje na atmosferskom pritisku, a ta temperatura idealno odgovara temperaturi mržnjenja.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Fazni prelaz mnogih supstanci dešava se u temperaturnom opsegu, pa se on često opisuje kao opseg topljenja.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Prevođenje jedinica (K u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 T - 273,15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temperatura u stepenima Celzijusa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termodinamička temperatura u stepenima kelvina (K).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se ne koriste svaki put kada se ispituje nova supstanca. One prvenstveno služe za povremenu proveru metode i da omoguće poređenje sa rezultatima dobijenim drugim metodama.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Neke supstance koje se koriste za kalibraciju date su u literaturi</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Određuje se temperatura (temperaturni opseg) faznog prelaza iz čvrstog u tečno stanje ili iz tečnog u čvrsto stanje. U praksi se određuju temperature početne i finalne faze topljenja/mržnjenja, zagrevanjem/hlađenjem uzorka supstance koja se ispituje na atmosferskom pritisku. Dato je pet tipova metoda: metoda određivanja temperature topljenja u kapilari, metoda grejne ploče sa postepenim zagrevanjem, metoda određivanja temperature mržnjenja, metoda termalne analize i metoda određivanja temperature tečenja (razvijena za naftna ulja).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određenim slučajevima, umesto merenja temperature topljenja, pogodno je merenje temperature mržnjenja.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Metoda određivanja temperature topljenja u kapilari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1.4.1.1. Uređaji za određivanje temperature topljenja u kupatilu sa tečnošću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Mala količina fino sprašene supstance stavlja se u kapilaru i sabije se. Kapilara se zagreva, zajedno sa termometrom, a porast temperature se podešava na manje od oko 1 K/min za vreme topljenja. Određuju se početna i završna temperatura topljenja.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Temperatura topljenja u uređajima sa metalnim blokom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Postupak je isti kao postupak opisan u odeljku 1.4.1.1. ove metode, osim što se kapilarna cev i termometar stavljaju u metalni blok koji se zagreva i mogu da se posmatraju kroz otvore u bloku.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Fotoćelijska detekcija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se nalazi u kapilari i zagreva se automatski u metalnom cilindru. Zrak svetlosti se usmerava kroz supstancu kroz otvor na cilindru, na precizno kalibrisanu fotoćeliju. Optička svojstva većine supstanci se prilikom topljenja menjaju od neprovidnosti do providnosti. Intenzitet svetlosti koja dolazi do fotoćelije raste i šalje signal za zaustavljanje na digitalni indikator gde se očitava temperatura sa rezistentnog (otpornog) termometra od platine koji je smešten u komori za zagrevanje. Ova metoda nije pogodna za neke jako obojene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Metoda grejne ploče sa postepenim zagrevanjem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Određivanje temperature topljenja po Kofleru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ovom postupku koriste se dve metalne šipke različite termičke provodljivosti, koje se zagrevaju pomoću električne struje. Poluga je izvedena na način da je temperaturni gradijent uglavnom linearan na celoj njenoj dužini. Temperatura vrele poluge je između 283 K i 573 K sa specijalnim uređajem za očitavanje temperature, koji uključuje i klizač sa pokazivačem i indikatorom napravljenim specijalno za tu polugu. Da bi se odredila temperatura topljenja, supstanca se u tankom sloju nanosi direktno na površinu vrele poluge. U roku od nekoliko sekundi pojavljuje se oštra linija razdvajanja između tečnosti i čvrste faze. Temperatura na liniji razdvajanja očitava se na način da se pokazivač podesi na liniju u mirnom položaju.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Mikroskop za određivanje temperature topljenja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upotrebi se nalazi nekoliko tipova mikroskopa sa grejnim pločama sa postepenim zagrevanjem. Koriste se naročito kada se određuju temperature topljenja malih količina supstanci. Kod većine grejnih ploča temperatura se meri osetljivim termoelementom, a ponekad se koriste i termometri sa živom. Tipičan uređaj za određivanje temperature topljenja na grejnoj ploči sa postepenim zagrevanjem sa mikroskopom ima komoru za zagrevanje unutar koje se nalazi metalna ploča na koju se nanosi uzorak na pokrivnoj (kliznoj) staklenoj pločici. U centru metalne ploče nalazi se otvor kroz koji prolazi svetlost sa osvetljenog ogledala mikroskopa. Kada se koristi, komora je zatvorena staklenom pločom koja sprečava prodor vazduha do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Zagrevanje uzorka se reguliše reostatom. Za veoma precizna merenja optički anizotropnih supstanci koristi se polarizovano svetlo.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1.4.2.3. Menisk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se naročito koristi za poliamide.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Temperatura na kojoj se istiskuje menisk silikonskog ulja, koje je zatvoreno između grejne ploče i staklenog poklopca i uz pomoć uzorka poliamida koji se ispituje, određuje se vizuelno.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Metoda određivanja temperature mržnjenja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se stavlja u posebnu cev (epruvetu) za ispitivanje i smešta se u aparat za određivanje temperature mržnjenja. Uzorak se polako i neprestano meša za vreme hlađenja, a temperatura se meri u odgovarajućim intervalima. Kada temperatura postane konstantna u nekoliko očitavanja, ta temperatura (korigovana za vrednost greške termometra) beleži se kao temperatura mržnjenja.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Prehlađivanje se izbegava održavanjem ravnoteže između čvrste i tečne faze.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1.4.4. Metoda termalne analize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1.4.4.1 Diferencijalna termalna analiza (DTA)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beleže se razlike u temperaturama supstance i referentnog materijala, u funkciji od temperature, kada se supstanca i referentni materijal podvrgavaju istom kontrolisanom temperaturnom programu. Kada uzorak prolazi fazni prelaz, dolazi do promene entalpije, a ta promena se očitava putem endotermnog (za topljenje) ili egzotermnog (za mržnjenje) odstupanja zabeležene temperature od bazne linije.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1.4.4.2. Diferencijalna skenirajuća kalorimetrija (DSC)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beleži se razlika u unetoj energiji (toploti) supstance i referentnog materijala, u funkciji od temperature, kada se supstanca i referentni materijal podvrgavaju istom kontrolisanom temperaturnom programu. Ova energija jeste energija neophodna za uspostavljanje nulte temperaturne razlike između supstance i referentnog materijala. Kada uzorak prolazi fazni prelaz, dolazi do promene entalpije, a ta promena se očitava putem endotermnog (za topljenje) ili egzotermnog (za mržnjenje) odstupanja zabeleženog protoka toplote od bazne linije.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1.4.5. Metoda određivanja temperature tečenja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je razvijena za naftna ulja i pogodna je za korišćenje kod uljastih supstanci koje imaju niske temperature topljenja.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Posle pripremnog zagrevanja, uzorak se hladi po specifičnom režimu i u intervalima od 3 K ispituju se karakteristike protoka. Najniža temperatura pri kojoj se uočava kretanje supstance beleži se kao temperatura tečenja.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Primenljivost i preciznost različitih metoda koje se koriste za određivanje temperature topljenja/opsega topljenja navedene su u tabelama.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Metoda određivanja temperature topljenja u kapilari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23"/>
        <w:gridCol w:w="2030"/>
        <w:gridCol w:w="1824"/>
        <w:gridCol w:w="1621"/>
        <w:gridCol w:w="1634"/>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merenja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Supstance koje se mogu fino prašiti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Supstance koje nisu </w:t>
            </w:r>
            <w:r w:rsidRPr="00984859">
              <w:rPr>
                <w:rFonts w:ascii="Arial" w:eastAsia="Times New Roman" w:hAnsi="Arial" w:cs="Arial"/>
                <w:lang w:eastAsia="sr-Latn-RS"/>
              </w:rPr>
              <w:br/>
              <w:t xml:space="preserve">fino sprašene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Temperaturni opseg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Procenjena preciznost</w:t>
            </w:r>
            <w:r w:rsidRPr="00984859">
              <w:rPr>
                <w:rFonts w:ascii="Arial" w:eastAsia="Times New Roman" w:hAnsi="Arial" w:cs="Arial"/>
                <w:b/>
                <w:bCs/>
                <w:sz w:val="15"/>
                <w:szCs w:val="15"/>
                <w:vertAlign w:val="superscript"/>
                <w:lang w:eastAsia="sr-Latn-RS"/>
              </w:rPr>
              <w:t>(1)</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Uređaji sa </w:t>
            </w:r>
            <w:r w:rsidRPr="00984859">
              <w:rPr>
                <w:rFonts w:ascii="Arial" w:eastAsia="Times New Roman" w:hAnsi="Arial" w:cs="Arial"/>
                <w:lang w:eastAsia="sr-Latn-RS"/>
              </w:rPr>
              <w:lastRenderedPageBreak/>
              <w:t>kupatilom sa tečnošću</w:t>
            </w:r>
            <w:r w:rsidRPr="00984859">
              <w:rPr>
                <w:rFonts w:ascii="Arial" w:eastAsia="Times New Roman" w:hAnsi="Arial" w:cs="Arial"/>
                <w:b/>
                <w:bCs/>
                <w:sz w:val="15"/>
                <w:szCs w:val="15"/>
                <w:vertAlign w:val="super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mali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273 K do 573 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0,3 K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Uređaji sa metalnim blokom</w:t>
            </w:r>
            <w:r w:rsidRPr="00984859">
              <w:rPr>
                <w:rFonts w:ascii="Arial" w:eastAsia="Times New Roman" w:hAnsi="Arial" w:cs="Arial"/>
                <w:b/>
                <w:bCs/>
                <w:sz w:val="15"/>
                <w:szCs w:val="15"/>
                <w:vertAlign w:val="superscript"/>
                <w:lang w:eastAsia="sr-Latn-RS"/>
              </w:rPr>
              <w:t>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mali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293 K do &gt; 573 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0,5 K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Fotoćelijska detekcija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veći broj uz uređaj za primenu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253 K do 573 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0,5 K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Zavisi od vrste instrumenta i od stepena čistoće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2. Metoda grejne ploče sa postepenim zagrevanjem i metoda određivanja temperature mržnjenja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51"/>
        <w:gridCol w:w="2061"/>
        <w:gridCol w:w="1973"/>
        <w:gridCol w:w="1618"/>
        <w:gridCol w:w="162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merenja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Supstance koje se mogu fino sprašiti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Supstance koje nisu fino sprašene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Temperaturni opseg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Procenjena preciznost</w:t>
            </w:r>
            <w:r w:rsidRPr="00984859">
              <w:rPr>
                <w:rFonts w:ascii="Arial" w:eastAsia="Times New Roman" w:hAnsi="Arial" w:cs="Arial"/>
                <w:b/>
                <w:bCs/>
                <w:sz w:val="15"/>
                <w:szCs w:val="15"/>
                <w:vertAlign w:val="superscript"/>
                <w:lang w:eastAsia="sr-Latn-RS"/>
              </w:rPr>
              <w:t>(1)</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Koflerova</w:t>
            </w:r>
            <w:r w:rsidRPr="00984859">
              <w:rPr>
                <w:rFonts w:ascii="Arial" w:eastAsia="Times New Roman" w:hAnsi="Arial" w:cs="Arial"/>
                <w:b/>
                <w:bCs/>
                <w:sz w:val="15"/>
                <w:szCs w:val="15"/>
                <w:vertAlign w:val="superscript"/>
                <w:lang w:eastAsia="sr-Latn-RS"/>
              </w:rPr>
              <w:t>III</w:t>
            </w:r>
            <w:r w:rsidRPr="00984859">
              <w:rPr>
                <w:rFonts w:ascii="Arial" w:eastAsia="Times New Roman" w:hAnsi="Arial" w:cs="Arial"/>
                <w:lang w:eastAsia="sr-Latn-RS"/>
              </w:rPr>
              <w:t xml:space="preserve"> metoda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283 K do &gt; 573 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 K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Mikroskopske</w:t>
            </w:r>
            <w:r w:rsidRPr="00984859">
              <w:rPr>
                <w:rFonts w:ascii="Arial" w:eastAsia="Times New Roman" w:hAnsi="Arial" w:cs="Arial"/>
                <w:b/>
                <w:bCs/>
                <w:sz w:val="15"/>
                <w:szCs w:val="15"/>
                <w:vertAlign w:val="superscript"/>
                <w:lang w:eastAsia="sr-Latn-RS"/>
              </w:rPr>
              <w:t xml:space="preserve">IV </w:t>
            </w:r>
            <w:r w:rsidRPr="00984859">
              <w:rPr>
                <w:rFonts w:ascii="Arial" w:eastAsia="Times New Roman" w:hAnsi="Arial" w:cs="Arial"/>
                <w:lang w:eastAsia="sr-Latn-RS"/>
              </w:rPr>
              <w:t xml:space="preserve">metode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mali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293 K do &gt; 573 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0,5 K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Menisk metoda</w:t>
            </w:r>
            <w:r w:rsidRPr="00984859">
              <w:rPr>
                <w:rFonts w:ascii="Arial" w:eastAsia="Times New Roman" w:hAnsi="Arial" w:cs="Arial"/>
                <w:b/>
                <w:bCs/>
                <w:sz w:val="15"/>
                <w:szCs w:val="15"/>
                <w:vertAlign w:val="superscript"/>
                <w:lang w:eastAsia="sr-Latn-RS"/>
              </w:rPr>
              <w:t>V</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specifična za poliamide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293 K do &gt; 573 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0,5 K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Temperatura mržnjenja</w:t>
            </w:r>
            <w:r w:rsidRPr="00984859">
              <w:rPr>
                <w:rFonts w:ascii="Arial" w:eastAsia="Times New Roman" w:hAnsi="Arial" w:cs="Arial"/>
                <w:b/>
                <w:bCs/>
                <w:sz w:val="15"/>
                <w:szCs w:val="15"/>
                <w:vertAlign w:val="superscript"/>
                <w:lang w:eastAsia="sr-Latn-RS"/>
              </w:rPr>
              <w:t>VI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223 K do 573 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0,5 K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Zavisi od vrste instrumenta i od stepena čistoće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3: Metoda termalne analize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82"/>
        <w:gridCol w:w="1888"/>
        <w:gridCol w:w="1816"/>
        <w:gridCol w:w="1573"/>
        <w:gridCol w:w="1673"/>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merenja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Supstance koje se mogu fino sprašiti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Supstance koje nisu fino sprašene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Temperaturni opseg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Procenjena preciznost</w:t>
            </w:r>
            <w:r w:rsidRPr="00984859">
              <w:rPr>
                <w:rFonts w:ascii="Arial" w:eastAsia="Times New Roman" w:hAnsi="Arial" w:cs="Arial"/>
                <w:b/>
                <w:bCs/>
                <w:sz w:val="15"/>
                <w:szCs w:val="15"/>
                <w:vertAlign w:val="superscript"/>
                <w:lang w:eastAsia="sr-Latn-RS"/>
              </w:rPr>
              <w:t>(1)</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Diferencijalna termalna analiza</w:t>
            </w:r>
            <w:r w:rsidRPr="00984859">
              <w:rPr>
                <w:rFonts w:ascii="Arial" w:eastAsia="Times New Roman" w:hAnsi="Arial" w:cs="Arial"/>
                <w:b/>
                <w:bCs/>
                <w:sz w:val="15"/>
                <w:szCs w:val="15"/>
                <w:vertAlign w:val="superscript"/>
                <w:lang w:eastAsia="sr-Latn-RS"/>
              </w:rPr>
              <w:t>VII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173 K do 1273 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 600 K ± 0,5 K</w:t>
            </w:r>
            <w:r w:rsidRPr="00984859">
              <w:rPr>
                <w:rFonts w:ascii="Arial" w:eastAsia="Times New Roman" w:hAnsi="Arial" w:cs="Arial"/>
                <w:lang w:eastAsia="sr-Latn-RS"/>
              </w:rPr>
              <w:br/>
              <w:t xml:space="preserve">od 600 K do 1273 K ± 2,0 K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Diferencijalna skenirajuća kalorimetrija</w:t>
            </w:r>
            <w:r w:rsidRPr="00984859">
              <w:rPr>
                <w:rFonts w:ascii="Arial" w:eastAsia="Times New Roman" w:hAnsi="Arial" w:cs="Arial"/>
                <w:b/>
                <w:bCs/>
                <w:sz w:val="15"/>
                <w:szCs w:val="15"/>
                <w:vertAlign w:val="superscript"/>
                <w:lang w:eastAsia="sr-Latn-RS"/>
              </w:rPr>
              <w:t>VII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173 K do 1273 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 600 K ± 0,5 K</w:t>
            </w:r>
            <w:r w:rsidRPr="00984859">
              <w:rPr>
                <w:rFonts w:ascii="Arial" w:eastAsia="Times New Roman" w:hAnsi="Arial" w:cs="Arial"/>
                <w:lang w:eastAsia="sr-Latn-RS"/>
              </w:rPr>
              <w:br/>
              <w:t xml:space="preserve">od 600 K do 1273 K ± 2,0 K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Zavisi od vrste instrumenta i od stepena čistoće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4: Metoda određivanja temperature tečenja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29"/>
        <w:gridCol w:w="2131"/>
        <w:gridCol w:w="2131"/>
        <w:gridCol w:w="1616"/>
        <w:gridCol w:w="1625"/>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merenja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Supstance koje se mogu fino sprašiti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Supstance koje nisu fino </w:t>
            </w:r>
            <w:r w:rsidRPr="00984859">
              <w:rPr>
                <w:rFonts w:ascii="Arial" w:eastAsia="Times New Roman" w:hAnsi="Arial" w:cs="Arial"/>
                <w:lang w:eastAsia="sr-Latn-RS"/>
              </w:rPr>
              <w:br/>
              <w:t xml:space="preserve">sprašene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Temperaturni opseg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Procenjena preciznost</w:t>
            </w:r>
            <w:r w:rsidRPr="00984859">
              <w:rPr>
                <w:rFonts w:ascii="Arial" w:eastAsia="Times New Roman" w:hAnsi="Arial" w:cs="Arial"/>
                <w:b/>
                <w:bCs/>
                <w:sz w:val="15"/>
                <w:szCs w:val="15"/>
                <w:vertAlign w:val="superscript"/>
                <w:lang w:eastAsia="sr-Latn-RS"/>
              </w:rPr>
              <w:t>(1)</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Temperatura tečenja</w:t>
            </w:r>
            <w:r w:rsidRPr="00984859">
              <w:rPr>
                <w:rFonts w:ascii="Arial" w:eastAsia="Times New Roman" w:hAnsi="Arial" w:cs="Arial"/>
                <w:b/>
                <w:bCs/>
                <w:sz w:val="15"/>
                <w:szCs w:val="15"/>
                <w:vertAlign w:val="superscript"/>
                <w:lang w:eastAsia="sr-Latn-RS"/>
              </w:rPr>
              <w:t>8</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naftne proizvode i uljaste supstance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naftne proizvode i uljaste supstance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223 K do 323 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0,3 K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Zavisi od vrste instrumenta i od stepena čistoće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w:t>
      </w:r>
      <w:r w:rsidRPr="00984859">
        <w:rPr>
          <w:rFonts w:ascii="Arial" w:eastAsia="Times New Roman" w:hAnsi="Arial" w:cs="Arial"/>
          <w:lang w:eastAsia="sr-Latn-RS"/>
        </w:rPr>
        <w:t xml:space="preserve"> JIS K 0064</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II</w:t>
      </w:r>
      <w:r w:rsidRPr="00984859">
        <w:rPr>
          <w:rFonts w:ascii="Arial" w:eastAsia="Times New Roman" w:hAnsi="Arial" w:cs="Arial"/>
          <w:lang w:eastAsia="sr-Latn-RS"/>
        </w:rPr>
        <w:t xml:space="preserve"> ISO 1218 (E)</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III</w:t>
      </w:r>
      <w:r w:rsidRPr="00984859">
        <w:rPr>
          <w:rFonts w:ascii="Arial" w:eastAsia="Times New Roman" w:hAnsi="Arial" w:cs="Arial"/>
          <w:lang w:eastAsia="sr-Latn-RS"/>
        </w:rPr>
        <w:t xml:space="preserve"> ANSI/ASTM D 3451-76</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IV</w:t>
      </w:r>
      <w:r w:rsidRPr="00984859">
        <w:rPr>
          <w:rFonts w:ascii="Arial" w:eastAsia="Times New Roman" w:hAnsi="Arial" w:cs="Arial"/>
          <w:lang w:eastAsia="sr-Latn-RS"/>
        </w:rPr>
        <w:t xml:space="preserve"> DIN 5 3736</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V</w:t>
      </w:r>
      <w:r w:rsidRPr="00984859">
        <w:rPr>
          <w:rFonts w:ascii="Arial" w:eastAsia="Times New Roman" w:hAnsi="Arial" w:cs="Arial"/>
          <w:lang w:eastAsia="sr-Latn-RS"/>
        </w:rPr>
        <w:t xml:space="preserve"> ISO 1218 (E)</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VI</w:t>
      </w:r>
      <w:r w:rsidRPr="00984859">
        <w:rPr>
          <w:rFonts w:ascii="Arial" w:eastAsia="Times New Roman" w:hAnsi="Arial" w:cs="Arial"/>
          <w:lang w:eastAsia="sr-Latn-RS"/>
        </w:rPr>
        <w:t xml:space="preserve"> BS 4695</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VII</w:t>
      </w:r>
      <w:r w:rsidRPr="00984859">
        <w:rPr>
          <w:rFonts w:ascii="Arial" w:eastAsia="Times New Roman" w:hAnsi="Arial" w:cs="Arial"/>
          <w:lang w:eastAsia="sr-Latn-RS"/>
        </w:rPr>
        <w:t xml:space="preserve"> ASTM E 537-76</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VIII</w:t>
      </w:r>
      <w:r w:rsidRPr="00984859">
        <w:rPr>
          <w:rFonts w:ascii="Arial" w:eastAsia="Times New Roman" w:hAnsi="Arial" w:cs="Arial"/>
          <w:lang w:eastAsia="sr-Latn-RS"/>
        </w:rPr>
        <w:t xml:space="preserve"> ASTM D 97-66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Postupci skoro svih metoda ispitivanja opisani su u međunarodnim i nacionalnim standardima (videti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Metoda određivanja temperature topljenja u kapilari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Sprašene supstance kada se izlože sporijem rastu temperature obično prolaze kroz faze topljenja prikazane na Slici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74822A30" wp14:editId="40997BBB">
            <wp:extent cx="5162550" cy="1933575"/>
            <wp:effectExtent l="0" t="0" r="0" b="9525"/>
            <wp:docPr id="61" name="Picture 61" descr="C:\Program Files (x86)\ParagrafLex\browser\Files\Old\t\t2013_12\t12_0570_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ParagrafLex\browser\Files\Old\t\t2013_12\t12_0570_s00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2550" cy="19335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A (početak topljenja) jeste faza u kojoj sitne kapljice jednolično prianjaju na unutrašnji zid kapilarne cevi;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B jeste faza u kojoj se javlja prostor između uzorka i unutrašnjeg zida usled sakupljanja istopljene materije;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C jeste faza u kojoj sakupljeni uzorak počinje da pada naniže i da prelazi u tečno stanje;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D jeste faza u kojoj se na površini formira menisk, iako izvesna količina uzorka i dalje ostaje u čvrstom stanju;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E jeste završna faza topljenja u kojoj nema čvrstih čestica.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određivanja temperature topljenja, temperature se beleže na početku topljenja (faza A) i u završnoj fazi (faza 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1.6.1.1. Uređaji za određivanje temperature topljenja u kupatilu sa tečnošću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Slici 2. prikazan je standardni aparat od stakla za određivanje temperature topljenja</w:t>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xml:space="preserve">. Sve dimenzije date su u milimetrima.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xml:space="preserve"> JIS K 0064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2.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5B2C9E5B" wp14:editId="59C3F8B3">
            <wp:extent cx="2771775" cy="4019550"/>
            <wp:effectExtent l="0" t="0" r="9525" b="0"/>
            <wp:docPr id="60" name="Picture 60" descr="C:\Program Files (x86)\ParagrafLex\browser\Files\Old\t\t2013_12\t12_0570_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ParagrafLex\browser\Files\Old\t\t2013_12\t12_0570_s0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1775" cy="40195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jeste sud za 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jeste zapušač;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 jeste oduška;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 jeste termometar</w:t>
      </w:r>
      <w:r w:rsidRPr="00984859">
        <w:rPr>
          <w:rFonts w:ascii="Arial" w:eastAsia="Times New Roman" w:hAnsi="Arial" w:cs="Arial"/>
          <w:b/>
          <w:bCs/>
          <w:sz w:val="15"/>
          <w:szCs w:val="15"/>
          <w:vertAlign w:val="superscript"/>
          <w:lang w:eastAsia="sr-Latn-RS"/>
        </w:rPr>
        <w:t>X</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 jeste pomoćni termometar;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 jeste kupatilo sa tečnošću;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jeste staklena kapilara dužine 80 mm do 100 mm, unutrašnjeg prečnika 1,0 mm ± 0,2 mm, debljine zida 0,2 mm do 0,3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H jeste bočna cev.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w:t>
      </w:r>
      <w:r w:rsidRPr="00984859">
        <w:rPr>
          <w:rFonts w:ascii="Arial" w:eastAsia="Times New Roman" w:hAnsi="Arial" w:cs="Arial"/>
          <w:lang w:eastAsia="sr-Latn-RS"/>
        </w:rPr>
        <w:t xml:space="preserve"> Mogu se koristiti samo termometri koji ispunjavaju uslove standarda: ASTM E 1-71, DIN 12770, JIS K 8001 ili uslove ekvivalentnih standarda.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Kupatilo sa tečnošću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izabrati odgovarajuću tečnost. Izbor tečnosti zavisi od temperature topljenja koja se određuje, npr. tečni parafin za temperature topljenja ispod 473 K, silikonsko ulje za temperature topljenja ispod 573 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temperature topljenja iznad 523 K koristi se smeša koja se sastoji od tri dela sumporne kiseline i dva dela kalijum-sulfata (maseni odnosi). Pri korišćenju ovakve smeše potrebno je preduzeti sve mere predostrožnosti.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Suva supstanca se fino spraši u posudi i ubacuje se u kapilaru, zatvorenu na jednom kraju, tako da nivo punjenja bude oko 3 mm nakon što se čvrsto napakuje. Da se dobije homogeno spakovani uzorak, kapilarna cev se ispušta vertikalno kroz staklenu cev, sa visine od oko 700 mm, na sahatno staklo.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Napunjena kapilara se stavlja u kupatilo tako da srednji deo rezervoara sa živom termometra dodiruje kapilaru u delu u kom je smešten uzorak. Obično se kapilara stavlja u aparat na oko 10 K ispod temperature topljenja.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Kupatilo sa tečnošću se zagreva tako da temperatura raste približno 3 K/min. Tečnost se meša. Na oko 10 K ispod očekivane temperature topljenja brzina rasta temperature se podešava na maksimalno 1 K/min.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Izračunavanje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Izračunavanje temperature topljenja vrši se na sledeći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 = T</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+ 0,00016 (T</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korigovana temperatura topljenja u 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jeste temperatura očitana na termometru D u 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jeste temperatura očitana na termometru E u 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 jeste broj podeoka živinog stuba na termometru D sa Slike 2. čije je stablo uronjeno u kupatilo.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Uređaji za određivanje temperature topljenja sa metalnim blokom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se sastoji 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cilindričnog metalnog bloka, čiji je gornji deo šupalj i formira komoru (videti Sliku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metalnog poklopca, sa dva ili više otvora kroz koje se mogu ubaciti cevi u metalni blok;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grejnog sistema metalnog bloka snabdevenim npr. električnim otpornikom smeštenim u bloku;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reostata (otpornika) za regulaciju struje, ukoliko se koristi grejanje na struju;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četiri prozora od stakla otpornog na toplotu na bočnim zidovima komore, koji su međusobno postavljeni pod pravim uglom. Ispred jednog od prozora postavljen je okular za posmatranje kapilarne cevi. Ostala tri prozora su postavljena radi osvetljavanja unutrašnjosti pomoću lampi;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kapilarne cevi od stakla otpornog na toplotu, zatvorene na jednom kraju (videti odeljak 1.6.1.1. ove metode).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Termometar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standarde navedene u odeljku 1.6.1.1. ove metode. Mogu se primeniti i termo-električni merni uređaji sa uporedivom (sličnom) tačnošću.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3.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4E28DD98" wp14:editId="10C9DFA5">
            <wp:extent cx="5162550" cy="4933950"/>
            <wp:effectExtent l="0" t="0" r="0" b="0"/>
            <wp:docPr id="59" name="Picture 59" descr="C:\Program Files (x86)\ParagrafLex\browser\Files\Old\t\t2013_12\t12_0570_s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ParagrafLex\browser\Files\Old\t\t2013_12\t12_0570_s00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2550" cy="49339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Fotoćelijska detekcija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Aparatura i procedura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se sastoji od metalne komore sa automatskim sistemom grejanja. Tri kapilare se pripremaju u skladu sa odeljkom 1.6.1.1. ove metode i stavljaju se u peć.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kalibraciju aparata na raspolaganju je nekoliko linearnih povećanja temperature (temperaturnih programa). Odgovarajući porast temperature se električno podešava na osnovu prethodno izabrane konstantne i linearne brzine. Pokazivači beleže i pokazuju trenutnu temperaturu u peći i temperaturu supstance u kapilarima.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Metoda grejne ploče sa postepenim zagrevanjem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Određivanje temperature topljenja po Kofleru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Mikroskop za određivanje temperature topljenja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1.6.2.3. Menisk metoda (za poliamide)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Brzina zagrevanja oko temperature topljenja treba da je manja od 1 K/min.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Metoda određivanja temperature mržnjenja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Metoda termalne analize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1.6.4.1. Diferencijalna termalna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1.6.4.2. Diferencijalna skenirajuća kalorimetrija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Metoda određivanja temperature tečenja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nekim slučajevima neophodno je izvršiti korekciju termometra.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preciznom opisu supstance (identitet i nečistoće) i koracima prethodnih prečišćavanja, ukoliko ih je bilo;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proceni preciznosti.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vrednost najmanje dva merenja koja su u opsegu procenjene preciznosti (videti tabele) navodi se kao temperatura topljenja.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je razlika između temperature na početku i na kraju završne faze topljenja u granicama preciznosti metode, temperatura u završnoj fazi topljenja se uzima kao temperatura topljenja. Ukoliko navedena razlika nije u granicama preciznosti metode, u izveštaju se navode dve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supstanca razloži ili sublimuje pre postizanja temperature topljenja, navodi se temperatura na kojoj je uočen efekat.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se navode svi podaci i primedbe važne za tumačenje rezultata, naročito podaci o nečistoćama i fizičkom stanju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102, Decision of the Council C(81) 30 final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IUPAC, B. Le Neindre, B. Vodar, eds. Experimental thermodynamics, Butterworths, London 1975, vol. II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 Weissberger ed.: Technique of organic Chemistry, Physical Methods of Organic Chemistry, 3rd ed.,Interscience Publ., New York, 1959, vol. I, Deo I, Odeljak VII p. 803-834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IUPAC, Physicochemical measurements: Catalogue of reference materials from national laboratories, Pure and applied chemistry, 1976, vol. 48, p. 505-515.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drugi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DODATNI TEHNIČKI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Dodatni tehnički podaci mogu se pronaći u sledećim standardima: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određivanja temperature topljenja u kapilari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Uređaji za određivanje temperature topljenja u kupatilu sa tečnošću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31"/>
        <w:gridCol w:w="7381"/>
      </w:tblGrid>
      <w:tr w:rsidR="00984859" w:rsidRPr="00984859" w:rsidTr="00984859">
        <w:trPr>
          <w:tblCellSpacing w:w="0" w:type="dxa"/>
        </w:trPr>
        <w:tc>
          <w:tcPr>
            <w:tcW w:w="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E 324-69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test method for relative initial and final melting points and the melting range of organic chemicals </w:t>
            </w:r>
          </w:p>
        </w:tc>
      </w:tr>
      <w:tr w:rsidR="00984859" w:rsidRPr="00984859" w:rsidTr="00984859">
        <w:trPr>
          <w:tblCellSpacing w:w="0" w:type="dxa"/>
        </w:trPr>
        <w:tc>
          <w:tcPr>
            <w:tcW w:w="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BS 4634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Method for the determination of melting point and/or melting range </w:t>
            </w:r>
          </w:p>
        </w:tc>
      </w:tr>
      <w:tr w:rsidR="00984859" w:rsidRPr="00984859" w:rsidTr="00984859">
        <w:trPr>
          <w:tblCellSpacing w:w="0" w:type="dxa"/>
        </w:trPr>
        <w:tc>
          <w:tcPr>
            <w:tcW w:w="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53181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Bestimmung des Schmelzintervalles von Harzen nach Kapillarverfarehn </w:t>
            </w:r>
          </w:p>
        </w:tc>
      </w:tr>
      <w:tr w:rsidR="00984859" w:rsidRPr="00984859" w:rsidTr="00984859">
        <w:trPr>
          <w:tblCellSpacing w:w="0" w:type="dxa"/>
        </w:trPr>
        <w:tc>
          <w:tcPr>
            <w:tcW w:w="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JIS K 00-64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Testing methods for melting point of chemical products </w:t>
            </w:r>
          </w:p>
        </w:tc>
      </w:tr>
    </w:tbl>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Uređaji sa metalnim blokom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31"/>
        <w:gridCol w:w="7381"/>
      </w:tblGrid>
      <w:tr w:rsidR="00984859" w:rsidRPr="00984859" w:rsidTr="00984859">
        <w:trPr>
          <w:tblCellSpacing w:w="0" w:type="dxa"/>
        </w:trPr>
        <w:tc>
          <w:tcPr>
            <w:tcW w:w="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53736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Visuelle Bestimmung der Schmelztemperatur von teilkristallinen Kunststoffen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1218 (E)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Plastics - polyamides - determination of "melting point"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Metoda grejne ploče sa postepenim zagrevanjem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Određivanje temperature topljenja po Kofleru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31"/>
        <w:gridCol w:w="7381"/>
      </w:tblGrid>
      <w:tr w:rsidR="00984859" w:rsidRPr="00984859" w:rsidTr="00984859">
        <w:trPr>
          <w:tblCellSpacing w:w="0" w:type="dxa"/>
        </w:trPr>
        <w:tc>
          <w:tcPr>
            <w:tcW w:w="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ANSI/ASTM D 3451-76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recommended practices for testing polymeric powder Coatings </w:t>
            </w:r>
          </w:p>
        </w:tc>
      </w:tr>
    </w:tbl>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Mikroskop za određivanje temperature topljenja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31"/>
        <w:gridCol w:w="7381"/>
      </w:tblGrid>
      <w:tr w:rsidR="00984859" w:rsidRPr="00984859" w:rsidTr="00984859">
        <w:trPr>
          <w:tblCellSpacing w:w="0" w:type="dxa"/>
        </w:trPr>
        <w:tc>
          <w:tcPr>
            <w:tcW w:w="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53736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Visuelle Bestimmung der Schmelztemperatur von teilkristallinen Kunststoffen </w:t>
            </w:r>
          </w:p>
        </w:tc>
      </w:tr>
    </w:tbl>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2.3. Menisk metoda (poliamidi)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31"/>
        <w:gridCol w:w="7381"/>
      </w:tblGrid>
      <w:tr w:rsidR="00984859" w:rsidRPr="00984859" w:rsidTr="00984859">
        <w:trPr>
          <w:tblCellSpacing w:w="0" w:type="dxa"/>
        </w:trPr>
        <w:tc>
          <w:tcPr>
            <w:tcW w:w="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1218 (E)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Plastics - polyamides - determination of "melting point"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ANSI/ASTM D </w:t>
            </w:r>
            <w:r w:rsidRPr="00984859">
              <w:rPr>
                <w:rFonts w:ascii="Arial" w:eastAsia="Times New Roman" w:hAnsi="Arial" w:cs="Arial"/>
                <w:lang w:eastAsia="sr-Latn-RS"/>
              </w:rPr>
              <w:lastRenderedPageBreak/>
              <w:t xml:space="preserve">2133-66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Standard specification for acetal resin injection moulding and extrusion </w:t>
            </w:r>
            <w:r w:rsidRPr="00984859">
              <w:rPr>
                <w:rFonts w:ascii="Arial" w:eastAsia="Times New Roman" w:hAnsi="Arial" w:cs="Arial"/>
                <w:lang w:eastAsia="sr-Latn-RS"/>
              </w:rPr>
              <w:lastRenderedPageBreak/>
              <w:t xml:space="preserve">materials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NF T 51-050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Résines de polyamides. Détermination du "point de fusion" méthode du ménisque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Metoda određivanja temperature mržnjenja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31"/>
        <w:gridCol w:w="7381"/>
      </w:tblGrid>
      <w:tr w:rsidR="00984859" w:rsidRPr="00984859" w:rsidTr="00984859">
        <w:trPr>
          <w:tblCellSpacing w:w="0" w:type="dxa"/>
        </w:trPr>
        <w:tc>
          <w:tcPr>
            <w:tcW w:w="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BS 4633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Method for the determination of crystallising point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BS 4695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Method for Determination of Melting Point of petroleum wax (Cooling Curve)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51421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Bestimmung des Gefrierpunktes von Flugkraftstoffen, Ottokraftstoffen und Motorenbenzolen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2207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Cires de pétrole: détermination de la température de figeage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53175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Bestimmung des Erstarrungspunktes von Fettsäuren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NF T 60-114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Point de fusion des paraffines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NF T 20-051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Méthode de détermination du point de cristallisation (point de congélation)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1392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Method for the determination of the freezing point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Metoda termalne analize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4.1. Diferencijalna termalna analiza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31"/>
        <w:gridCol w:w="7381"/>
      </w:tblGrid>
      <w:tr w:rsidR="00984859" w:rsidRPr="00984859" w:rsidTr="00984859">
        <w:trPr>
          <w:tblCellSpacing w:w="0" w:type="dxa"/>
        </w:trPr>
        <w:tc>
          <w:tcPr>
            <w:tcW w:w="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E 537-76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method for assessing the thermal stability of chemicals by methods of differential thermal analysis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E 473-85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definitions of terms relating to thermal analysis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E 472-86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practice for reporting thermoanalytical data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51005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Thermische Analyse, Begriffe </w:t>
            </w:r>
          </w:p>
        </w:tc>
      </w:tr>
    </w:tbl>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4.2. Diferencijalna skenirajuća kalorimetrija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657"/>
        <w:gridCol w:w="7455"/>
      </w:tblGrid>
      <w:tr w:rsidR="00984859" w:rsidRPr="00984859" w:rsidTr="00984859">
        <w:trPr>
          <w:tblCellSpacing w:w="0" w:type="dxa"/>
        </w:trPr>
        <w:tc>
          <w:tcPr>
            <w:tcW w:w="90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E 537-76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method for assessing the thermal stability of chemicals by methods of differential thermal analysis </w:t>
            </w:r>
          </w:p>
        </w:tc>
      </w:tr>
      <w:tr w:rsidR="00984859" w:rsidRPr="00984859" w:rsidTr="00984859">
        <w:trPr>
          <w:tblCellSpacing w:w="0" w:type="dxa"/>
        </w:trPr>
        <w:tc>
          <w:tcPr>
            <w:tcW w:w="90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E 473-85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definitions of terms relating to thermal analysis </w:t>
            </w:r>
          </w:p>
        </w:tc>
      </w:tr>
      <w:tr w:rsidR="00984859" w:rsidRPr="00984859" w:rsidTr="00984859">
        <w:trPr>
          <w:tblCellSpacing w:w="0" w:type="dxa"/>
        </w:trPr>
        <w:tc>
          <w:tcPr>
            <w:tcW w:w="90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E 472-86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practice for reporting thermoanalytical data </w:t>
            </w:r>
          </w:p>
        </w:tc>
      </w:tr>
      <w:tr w:rsidR="00984859" w:rsidRPr="00984859" w:rsidTr="00984859">
        <w:trPr>
          <w:tblCellSpacing w:w="0" w:type="dxa"/>
        </w:trPr>
        <w:tc>
          <w:tcPr>
            <w:tcW w:w="90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51005 </w:t>
            </w:r>
          </w:p>
        </w:tc>
        <w:tc>
          <w:tcPr>
            <w:tcW w:w="40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Thermische Analyse, Begriffe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 Metoda određivanje temperature tečenja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735"/>
        <w:gridCol w:w="7397"/>
      </w:tblGrid>
      <w:tr w:rsidR="00984859" w:rsidRPr="00984859" w:rsidTr="00984859">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NBN 52014 </w:t>
            </w:r>
          </w:p>
        </w:tc>
        <w:tc>
          <w:tcPr>
            <w:tcW w:w="40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Echantillonnage et analyse des produits du pétrole: Point de trouble et point d’écoulement limite - Monsterneming en ontleding van aardolieproducten: Troebelingspunt en vloeipunt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D 97-66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test method for pour point of petroleum oils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3016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Petroleum oils - Determination of pour point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A.2. TEMPERATURA KLJUČANJA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Ova metoda zasniva se na Uputstvu za ispitivanje OECD</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Osnovni principi metode dati su u literaturi</w:t>
      </w:r>
      <w:r w:rsidRPr="00984859">
        <w:rPr>
          <w:rFonts w:ascii="Arial" w:eastAsia="Times New Roman" w:hAnsi="Arial" w:cs="Arial"/>
          <w:b/>
          <w:bCs/>
          <w:sz w:val="15"/>
          <w:szCs w:val="15"/>
          <w:vertAlign w:val="superscript"/>
          <w:lang w:eastAsia="sr-Latn-RS"/>
        </w:rPr>
        <w:t>2, 3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Opisane metode i uređaji mogu se primenjivati na tečne supstance i supstance sa niskom temperaturom topljenja, ako ne podležu hemijskoj reakciji na temperaturama ispod temperature ključanja (npr. autooksidacija, premeštanja, razlaganje itd). Metode se primenjuju na tečne supstance koje su čiste, kao i na one koje sadrže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Naglasak je na metodama koje koriste fotoćelijsku detekciju i termalnu analizu, jer metode omogućavaju određivanje temperatura topljenja, kao i temperatura ključanja. Merenja mogu da se vrše automatski.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Dinamička metoda koja je data u ovom prilogu ima tu prednost da primenjuje i za određivanje napona pare i nije neophodno vršiti korekciju temperature ključanja na normalni pritisak (101,325 kPa), jer se normalan pritisak podešava pomoću manostata za vreme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Napomene: Uticaj nečistoća na određivanje temperature ključanja u velikoj meri zavisi od prirode nečistoće. Kada su u uzorku prisutne isparljive nečistoće koje mogu uticati na rezultat, supstanca se može prečistiti.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Normalna temperatura ključanja jeste temperatura pri kojoj je napon pare tečnosti 101,325 kPa.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temperatura ključanja ne meri pri normalnom atmosferskom pritisku, zavisnost temperature od pritiska pare opisuje se preko Klauzijus - Klapejronove jednačine: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75"/>
        <w:gridCol w:w="1064"/>
        <w:gridCol w:w="1560"/>
        <w:gridCol w:w="5613"/>
      </w:tblGrid>
      <w:tr w:rsidR="00984859" w:rsidRPr="00984859" w:rsidTr="00984859">
        <w:trPr>
          <w:tblCellSpacing w:w="0" w:type="dxa"/>
        </w:trPr>
        <w:tc>
          <w:tcPr>
            <w:tcW w:w="870" w:type="dxa"/>
            <w:vMerge w:val="restart"/>
            <w:noWrap/>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log p = </w:t>
            </w:r>
          </w:p>
        </w:tc>
        <w:tc>
          <w:tcPr>
            <w:tcW w:w="150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Symbol" w:eastAsia="Times New Roman" w:hAnsi="Symbol" w:cs="Arial"/>
                <w:b/>
                <w:bCs/>
                <w:sz w:val="20"/>
                <w:szCs w:val="20"/>
                <w:lang w:eastAsia="sr-Latn-RS"/>
              </w:rPr>
              <w:t></w:t>
            </w:r>
            <w:r w:rsidRPr="00984859">
              <w:rPr>
                <w:rFonts w:ascii="Arial" w:eastAsia="Times New Roman" w:hAnsi="Arial" w:cs="Arial"/>
                <w:b/>
                <w:bCs/>
                <w:i/>
                <w:iCs/>
                <w:lang w:eastAsia="sr-Latn-RS"/>
              </w:rPr>
              <w:t>H</w:t>
            </w:r>
            <w:r w:rsidRPr="00984859">
              <w:rPr>
                <w:rFonts w:ascii="Arial" w:eastAsia="Times New Roman" w:hAnsi="Arial" w:cs="Arial"/>
                <w:b/>
                <w:bCs/>
                <w:i/>
                <w:iCs/>
                <w:sz w:val="15"/>
                <w:szCs w:val="15"/>
                <w:vertAlign w:val="subscript"/>
                <w:lang w:eastAsia="sr-Latn-RS"/>
              </w:rPr>
              <w:t>v</w:t>
            </w:r>
          </w:p>
        </w:tc>
        <w:tc>
          <w:tcPr>
            <w:tcW w:w="156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 </w:t>
            </w:r>
            <w:r w:rsidRPr="00984859">
              <w:rPr>
                <w:rFonts w:ascii="Arial" w:eastAsia="Times New Roman" w:hAnsi="Arial" w:cs="Arial"/>
                <w:b/>
                <w:bCs/>
                <w:i/>
                <w:iCs/>
                <w:lang w:eastAsia="sr-Latn-RS"/>
              </w:rPr>
              <w:t>konst.</w:t>
            </w:r>
          </w:p>
        </w:tc>
        <w:tc>
          <w:tcPr>
            <w:tcW w:w="11220" w:type="dxa"/>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150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2,3</w:t>
            </w:r>
            <w:r w:rsidRPr="00984859">
              <w:rPr>
                <w:rFonts w:ascii="Arial" w:eastAsia="Times New Roman" w:hAnsi="Arial" w:cs="Arial"/>
                <w:b/>
                <w:bCs/>
                <w:i/>
                <w:iCs/>
                <w:lang w:eastAsia="sr-Latn-RS"/>
              </w:rPr>
              <w:t>RT</w:t>
            </w:r>
          </w:p>
        </w:tc>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p</w:t>
      </w:r>
      <w:r w:rsidRPr="00984859">
        <w:rPr>
          <w:rFonts w:ascii="Arial" w:eastAsia="Times New Roman" w:hAnsi="Arial" w:cs="Arial"/>
          <w:lang w:eastAsia="sr-Latn-RS"/>
        </w:rPr>
        <w:t xml:space="preserve"> jeste pritisak pare supstance u Paskalima;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DH</w:t>
      </w:r>
      <w:r w:rsidRPr="00984859">
        <w:rPr>
          <w:rFonts w:ascii="Arial" w:eastAsia="Times New Roman" w:hAnsi="Arial" w:cs="Arial"/>
          <w:sz w:val="15"/>
          <w:szCs w:val="15"/>
          <w:vertAlign w:val="subscript"/>
          <w:lang w:eastAsia="sr-Latn-RS"/>
        </w:rPr>
        <w:t xml:space="preserve">v </w:t>
      </w:r>
      <w:r w:rsidRPr="00984859">
        <w:rPr>
          <w:rFonts w:ascii="Arial" w:eastAsia="Times New Roman" w:hAnsi="Arial" w:cs="Arial"/>
          <w:lang w:eastAsia="sr-Latn-RS"/>
        </w:rPr>
        <w:t>jeste toplota isparenja u J mol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R</w:t>
      </w:r>
      <w:r w:rsidRPr="00984859">
        <w:rPr>
          <w:rFonts w:ascii="Arial" w:eastAsia="Times New Roman" w:hAnsi="Arial" w:cs="Arial"/>
          <w:lang w:eastAsia="sr-Latn-RS"/>
        </w:rPr>
        <w:t xml:space="preserve"> jeste univerzalna gasna konstanta koja iznosi 8,314 J mol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K</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lang w:eastAsia="sr-Latn-RS"/>
        </w:rPr>
        <w:t xml:space="preserve"> jeste termodinamička temperatura u stepenima kelvina (K);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ključanja se navodi uz uzimanje u obzir ambijentalnog pritiska za vreme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Prevođenje jedinica: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Pritisak (merna jedinica: kPa): 100 kPa = 1; bar = 0,1 MPa (Dozvoljava se korišćenje merne jedinice "bar", ali se ne preporučuje).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133 Pa = 1 mm; Hg = 1 Torr (Ne dozvoljava se korišćenje merne jedinice "mm Hg" i "Torr").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 atm = standardna atmosfera = 101 325 Pa (Ne dozvoljava se korišćenje merne jedinice "atm").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(merna jedinica: K): t = T - 273,15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lang w:eastAsia="sr-Latn-RS"/>
        </w:rPr>
        <w:t xml:space="preserve"> jeste temperatura u stepenima Celzijusa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termodinamička temperatura u stepenima kelvina (K).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se ne koriste svaki put kada se ispituje nova supstanca. One prvenstveno služe za povremenu proveru metode i da omoguće poređenje sa rezultatima dobijenim drugim metodama.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Neke supstance koje se koriste za kalibraciju date su u metodama u Delu drugom.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Dato je sedam tipova metoda za određivanje temperature ključanja (opsega ključanja). Pet metoda zasniva se na merenjima temperatura ključanja, dok se dve metode zasnivaju na termalnoj analizi.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Merenje temperature ključanja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Određivanje temperature ključanja upotrebom ebuliometra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Ebuliometri su izvorno razvijeni za određivanje molekulske težine na osnovu povećanja tačke ključanja, ali su pogodni i za merenja tačne tačke ključanja</w:t>
      </w:r>
      <w:r w:rsidRPr="00984859">
        <w:rPr>
          <w:rFonts w:ascii="Arial" w:eastAsia="Times New Roman" w:hAnsi="Arial" w:cs="Arial"/>
          <w:b/>
          <w:bCs/>
          <w:sz w:val="15"/>
          <w:szCs w:val="15"/>
          <w:vertAlign w:val="superscript"/>
          <w:lang w:eastAsia="sr-Latn-RS"/>
        </w:rPr>
        <w:t>XI</w:t>
      </w:r>
      <w:r w:rsidRPr="00984859">
        <w:rPr>
          <w:rFonts w:ascii="Arial" w:eastAsia="Times New Roman" w:hAnsi="Arial" w:cs="Arial"/>
          <w:lang w:eastAsia="sr-Latn-RS"/>
        </w:rPr>
        <w:t xml:space="preserve">. Tečnost se zagreva u ovom aparatu, pri ravnotežnim uslovima, na atmosferskom pritisku sve do ključanja.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w:t>
      </w:r>
      <w:r w:rsidRPr="00984859">
        <w:rPr>
          <w:rFonts w:ascii="Arial" w:eastAsia="Times New Roman" w:hAnsi="Arial" w:cs="Arial"/>
          <w:lang w:eastAsia="sr-Latn-RS"/>
        </w:rPr>
        <w:t xml:space="preserve"> Veoma jednostavan aparat opisan je u standardu ASTM D 1120-72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Dinamička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obuhvata merenje temperature pri kojoj dolazi do ponovne kondenzacije pare pomoću odgovarajućeg termometra u povratnom toku za vreme ključanja. Kod ove metode može biti varijacija u pritisku.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Metoda destilacije za određivanje temperature ključanja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obuhvata destilaciju tečnosti i merenje temperature pri kojoj dolazi do ponovne kondenzacije pare i određivanje količine destilata.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1.4.1.4. Metoda određivanja temperature ključanja po Sivolobofu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se zagreva u cevi (epruveti) za uzorak, koja je uronjena u tečnost kupatila za grejanje. Zatopljena kapilara, koja ima vazdušni mehur u donjem delu, spušta se u cev (epruveti) za uzorke.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1.4.1.5. Fotoćelijska detekcija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Radi na principu metode određivanja temperature ključanja po Sivolobofu, uz automatsko foto-električno merenje rastućih mehura.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Termalna analiza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Diferencijalna termalna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tehnikom beleži se temperaturna razlika između supstance i referentnog materijala kao funkcije temperature, dok se supstanca i referentni materijal izlažu istom kontrolisanom temperaturnom programu. Kada uzorak prolazi fazni prelaz, dolazi do promene entalpije, a ta promena se očitava putem endotermnog odstupanja (ključanje) zabeležene temperature od bazne linije.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Diferencijalna skenirajuća kalorimetrija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tehnikom beleži se razlika u promeni energije (toplote) u supstanci i referentnom materijalu u funkciji od temperature, dok se supstanca i referentni materijal izlažu istom kontrolisanom temperaturnom programu. Ova energija jeste energija neophodna za uspostavljanje nulte temperaturne razlike između supstance i referentnog materijala. Kada uzorak prođe fazni prelaz, praćen promenom entalpije, takva promena se prikazuje endotermnim odstupanjem (ključanje) zabeleženog protoka toplote od bazne linije.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Primenljivost i preciznost različitih metoda koje se koriste za određivanje temperature ključanja/opsega ključanja navedeni su u Tabeli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Poređenje metoda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475"/>
        <w:gridCol w:w="4657"/>
      </w:tblGrid>
      <w:tr w:rsidR="00984859" w:rsidRPr="00984859" w:rsidTr="00984859">
        <w:trPr>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merenja </w:t>
            </w:r>
          </w:p>
        </w:tc>
        <w:tc>
          <w:tcPr>
            <w:tcW w:w="25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Procenjena tačnost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Ebuliometar</w:t>
            </w:r>
            <w:r w:rsidRPr="00984859">
              <w:rPr>
                <w:rFonts w:ascii="Arial" w:eastAsia="Times New Roman" w:hAnsi="Arial" w:cs="Arial"/>
                <w:b/>
                <w:bCs/>
                <w:sz w:val="15"/>
                <w:szCs w:val="15"/>
                <w:vertAlign w:val="superscript"/>
                <w:lang w:eastAsia="sr-Latn-RS"/>
              </w:rPr>
              <w:t>XII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1,4 K (do 373 K)</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br/>
              <w:t>± 2,5 K (do 600 K)</w:t>
            </w:r>
            <w:r w:rsidRPr="00984859">
              <w:rPr>
                <w:rFonts w:ascii="Arial" w:eastAsia="Times New Roman" w:hAnsi="Arial" w:cs="Arial"/>
                <w:b/>
                <w:bCs/>
                <w:sz w:val="15"/>
                <w:szCs w:val="15"/>
                <w:vertAlign w:val="superscript"/>
                <w:lang w:eastAsia="sr-Latn-RS"/>
              </w:rPr>
              <w:t>(1)(2)</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Dinamička metoda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0,5 K (do 600 K)</w:t>
            </w:r>
            <w:r w:rsidRPr="00984859">
              <w:rPr>
                <w:rFonts w:ascii="Arial" w:eastAsia="Times New Roman" w:hAnsi="Arial" w:cs="Arial"/>
                <w:b/>
                <w:bCs/>
                <w:sz w:val="15"/>
                <w:szCs w:val="15"/>
                <w:vertAlign w:val="superscript"/>
                <w:lang w:eastAsia="sr-Latn-RS"/>
              </w:rPr>
              <w:t>(2)</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Destilacija</w:t>
            </w:r>
            <w:r w:rsidRPr="00984859">
              <w:rPr>
                <w:rFonts w:ascii="Arial" w:eastAsia="Times New Roman" w:hAnsi="Arial" w:cs="Arial"/>
                <w:b/>
                <w:bCs/>
                <w:sz w:val="15"/>
                <w:szCs w:val="15"/>
                <w:vertAlign w:val="superscript"/>
                <w:lang w:eastAsia="sr-Latn-RS"/>
              </w:rPr>
              <w:t>XIII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0,5 K (do 600 K)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po Sivolobofu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 K (do 600 K)</w:t>
            </w:r>
            <w:r w:rsidRPr="00984859">
              <w:rPr>
                <w:rFonts w:ascii="Arial" w:eastAsia="Times New Roman" w:hAnsi="Arial" w:cs="Arial"/>
                <w:b/>
                <w:bCs/>
                <w:sz w:val="15"/>
                <w:szCs w:val="15"/>
                <w:vertAlign w:val="superscript"/>
                <w:lang w:eastAsia="sr-Latn-RS"/>
              </w:rPr>
              <w:t>(2)</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Fotoćelijska detekcija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0,3 K (do 373 K)</w:t>
            </w:r>
            <w:r w:rsidRPr="00984859">
              <w:rPr>
                <w:rFonts w:ascii="Arial" w:eastAsia="Times New Roman" w:hAnsi="Arial" w:cs="Arial"/>
                <w:b/>
                <w:bCs/>
                <w:sz w:val="15"/>
                <w:szCs w:val="15"/>
                <w:vertAlign w:val="superscript"/>
                <w:lang w:eastAsia="sr-Latn-RS"/>
              </w:rPr>
              <w:t>(2)</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Diferencijalna termalna analiza</w:t>
            </w:r>
            <w:r w:rsidRPr="00984859">
              <w:rPr>
                <w:rFonts w:ascii="Arial" w:eastAsia="Times New Roman" w:hAnsi="Arial" w:cs="Arial"/>
                <w:b/>
                <w:bCs/>
                <w:sz w:val="15"/>
                <w:szCs w:val="15"/>
                <w:vertAlign w:val="superscript"/>
                <w:lang w:eastAsia="sr-Latn-RS"/>
              </w:rPr>
              <w:t>XIV</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0,5 K (do 600 K)</w:t>
            </w:r>
            <w:r w:rsidRPr="00984859">
              <w:rPr>
                <w:rFonts w:ascii="Arial" w:eastAsia="Times New Roman" w:hAnsi="Arial" w:cs="Arial"/>
                <w:lang w:eastAsia="sr-Latn-RS"/>
              </w:rPr>
              <w:br/>
              <w:t xml:space="preserve">± 2,0 K (do 1273 K)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Diferencijalna skenirajuća kalorimetrija</w:t>
            </w:r>
            <w:r w:rsidRPr="00984859">
              <w:rPr>
                <w:rFonts w:ascii="Arial" w:eastAsia="Times New Roman" w:hAnsi="Arial" w:cs="Arial"/>
                <w:b/>
                <w:bCs/>
                <w:sz w:val="15"/>
                <w:szCs w:val="15"/>
                <w:vertAlign w:val="superscript"/>
                <w:lang w:eastAsia="sr-Latn-RS"/>
              </w:rPr>
              <w:t>XV</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0,5 K (do 600 K)</w:t>
            </w:r>
            <w:r w:rsidRPr="00984859">
              <w:rPr>
                <w:rFonts w:ascii="Arial" w:eastAsia="Times New Roman" w:hAnsi="Arial" w:cs="Arial"/>
                <w:lang w:eastAsia="sr-Latn-RS"/>
              </w:rPr>
              <w:br/>
              <w:t xml:space="preserve">± 2,0 K (do 1273 K)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Ova preciznost je validna samo za jednostavne uređaje kao što su uređaji opisani npr. u standardu ASTM D 1120-72. Preciznost se poboljšava primenom modernijih ebuliometara.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Ova preciznost je validna samo za čiste supstance. Upotreba u drugim slučajevima se opravdava. Određuje se procenjena tačnost.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XII</w:t>
      </w:r>
      <w:r w:rsidRPr="00984859">
        <w:rPr>
          <w:rFonts w:ascii="Arial" w:eastAsia="Times New Roman" w:hAnsi="Arial" w:cs="Arial"/>
          <w:lang w:eastAsia="sr-Latn-RS"/>
        </w:rPr>
        <w:t xml:space="preserve"> ASTM D 1120-72</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lastRenderedPageBreak/>
        <w:t>XIII</w:t>
      </w:r>
      <w:r w:rsidRPr="00984859">
        <w:rPr>
          <w:rFonts w:ascii="Arial" w:eastAsia="Times New Roman" w:hAnsi="Arial" w:cs="Arial"/>
          <w:lang w:eastAsia="sr-Latn-RS"/>
        </w:rPr>
        <w:t xml:space="preserve"> ISO/R 918, DIN 53171, BS 4591/71</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XIV</w:t>
      </w:r>
      <w:r w:rsidRPr="00984859">
        <w:rPr>
          <w:rFonts w:ascii="Arial" w:eastAsia="Times New Roman" w:hAnsi="Arial" w:cs="Arial"/>
          <w:lang w:eastAsia="sr-Latn-RS"/>
        </w:rPr>
        <w:t xml:space="preserve"> ASTM E 537-76</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XV</w:t>
      </w:r>
      <w:r w:rsidRPr="00984859">
        <w:rPr>
          <w:rFonts w:ascii="Arial" w:eastAsia="Times New Roman" w:hAnsi="Arial" w:cs="Arial"/>
          <w:lang w:eastAsia="sr-Latn-RS"/>
        </w:rPr>
        <w:t xml:space="preserve"> ASTM E 537-76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 OPIS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Postupci nekih metoda ispitivanja opisani su u međunarodnim i nacionalnim standardima (videti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Merenje temperature ključanja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Određivanje temperature ključanja upotrebom ebuliometra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Dinamička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metodu ispitivanja A.4. za određivanje napona pare koja je data u ovom prilogu.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Beleži se temperatura ključanja uočena na primenjenom pritisku od 101,325 kPa.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Metoda destilacije za određivanje temperature ključanja (opsega ključanja)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2B958519" wp14:editId="221FE6DA">
            <wp:extent cx="2733675" cy="3200400"/>
            <wp:effectExtent l="0" t="0" r="9525" b="0"/>
            <wp:docPr id="58" name="Picture 58" descr="C:\Program Files (x86)\ParagrafLex\browser\Files\Old\t\t2013_12\t12_0570_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ParagrafLex\browser\Files\Old\t\t2013_12\t12_0570_s00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32004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jeste sud za 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jeste zapušač;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C jeste oduška;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jeste termometar;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 jeste pomoćni termometar;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 jeste kupatilo sa tečnošću;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jeste staklena kapilara za uzorak spoljnjeg prečnika maksimalno 5 mm, dužine približno 100 mm, unutrašnjeg prečnika 1 mm i debljine zida 0,2 mm do 0,3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 jeste bočna cev.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Metoda određivanja temperature ključanja po Sivolobofu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se zagreva u aparatu za određivanje tačke topljenja u staklenoj kapilari za uzorke, prečnika oko 5 mm (videti Sliku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Slika 1. prikazuje tip standardizovanih aparata za određivanje temperatura topljenja i ključanja</w:t>
      </w:r>
      <w:r w:rsidRPr="00984859">
        <w:rPr>
          <w:rFonts w:ascii="Arial" w:eastAsia="Times New Roman" w:hAnsi="Arial" w:cs="Arial"/>
          <w:b/>
          <w:bCs/>
          <w:sz w:val="15"/>
          <w:szCs w:val="15"/>
          <w:vertAlign w:val="superscript"/>
          <w:lang w:eastAsia="sr-Latn-RS"/>
        </w:rPr>
        <w:t>XVI</w:t>
      </w:r>
      <w:r w:rsidRPr="00984859">
        <w:rPr>
          <w:rFonts w:ascii="Arial" w:eastAsia="Times New Roman" w:hAnsi="Arial" w:cs="Arial"/>
          <w:lang w:eastAsia="sr-Latn-RS"/>
        </w:rPr>
        <w:t xml:space="preserve">. Aparati su napravljeni od stakla. Sve dimenzije na Slici 1. date su u milimetrima.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Kapilara (za kapilarno ključanje) zatopljena na oko 1 cm iznad donjeg dela stavlja se u kapilaru za uzorak. Nivo do kojeg se dodaje supstanca koja se ispituje je takav da je zatopljeni deo unutrašnje kapilare ispod površine tečnosti. Kapilara za uzorke koja sadrži kapilaru za ključanje pričvršćuje se za termometar gumenim kaišem ili se fiksira držačima sa strane (videti Sliku 2).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223"/>
        <w:gridCol w:w="4889"/>
      </w:tblGrid>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2 </w:t>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3 </w:t>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Postupak prema Sivolobofu </w:t>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Modifikovani postupak </w:t>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3CE7F9B6" wp14:editId="2A637DA8">
                  <wp:extent cx="1571625" cy="2743200"/>
                  <wp:effectExtent l="0" t="0" r="9525" b="0"/>
                  <wp:docPr id="57" name="Picture 57" descr="C:\Program Files (x86)\ParagrafLex\browser\Files\Old\t\t2013_12\t12_0570_s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ParagrafLex\browser\Files\Old\t\t2013_12\t12_0570_s00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2743200"/>
                          </a:xfrm>
                          <a:prstGeom prst="rect">
                            <a:avLst/>
                          </a:prstGeom>
                          <a:noFill/>
                          <a:ln>
                            <a:noFill/>
                          </a:ln>
                        </pic:spPr>
                      </pic:pic>
                    </a:graphicData>
                  </a:graphic>
                </wp:inline>
              </w:drawing>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45D854E5" wp14:editId="173DBE3E">
                  <wp:extent cx="2562225" cy="2781300"/>
                  <wp:effectExtent l="0" t="0" r="9525" b="0"/>
                  <wp:docPr id="56" name="Picture 56" descr="C:\Program Files (x86)\ParagrafLex\browser\Files\Old\t\t2013_12\t12_0570_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ParagrafLex\browser\Files\Old\t\t2013_12\t12_0570_s00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2781300"/>
                          </a:xfrm>
                          <a:prstGeom prst="rect">
                            <a:avLst/>
                          </a:prstGeom>
                          <a:noFill/>
                          <a:ln>
                            <a:noFill/>
                          </a:ln>
                        </pic:spPr>
                      </pic:pic>
                    </a:graphicData>
                  </a:graphic>
                </wp:inline>
              </w:drawing>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Tečnost za kupatilo bira se u skladu sa temperaturom ključanja. Za temperature do 573 K koristi se silikonsko ulje. Tečni parafin se koristi samo do 473 K. Grejanje kupatila sa tečnošću se podešava na početku na porast temperature od 3 K/min. Tečnost u kupatilu se meša. Na oko 10 K ispod očekivane temperature ključanja grejanje se smanjuje, tako da porast temperature bude manji od 1 K/min. Po postizanju temperature ključanja, iz kapilare za ključanje brzo se pojavljuju mehurići.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Temperatura ključanja je ona temperatura pri kojoj uz momentalno hlađenje niz mehurića se prekida i tečnost počne da se penje u kapilaru. Odgovarajuća očitana temperatura na termometru predstavlja tačku ključanja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modifikovanog principa (videti Sliku 3) temperatura ključanja se određuje u kapilari za određivanje temperature topljenja. Kapilara se sužava do završne tačke u dužini od oko 2 cm (a) i unosi se mala količina uzorka. Otvoreni kraj kapilare je zatopljen tako da na dnu zaostaje mali mehur vazduha. Zagrevanjem uzorka mehur vazduha se širi (b). Temperatura ključanja je ona temperatura na kojoj supstanca dostigne nivo tečnosti u kupatilu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XVI</w:t>
      </w:r>
      <w:r w:rsidRPr="00984859">
        <w:rPr>
          <w:rFonts w:ascii="Arial" w:eastAsia="Times New Roman" w:hAnsi="Arial" w:cs="Arial"/>
          <w:lang w:eastAsia="sr-Latn-RS"/>
        </w:rPr>
        <w:t xml:space="preserve"> JIS K 0064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1.6.1.5. Fotoćelijska detekcija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se zagreva u kapilarnoj cevi unutar zagrejanog metalnog bloka.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Snop svetlosti se usmerava kroz supstancu, kroz odgovarajuće otvore u bloku, na precizno kalibrisanu fotoćeliju.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toku porasta temperature uzorka pojavljuju se pojedinačni mehurići iz kapilare za ključanje. Kada se postigne temperatura ključanja, broj mehurića naglo raste. Ovo uzrokuje promenu u intenzitetu svetlosti, što beleži fotoćelija i indikatoru daje signal za zaustavljanje, uz očitavanje temperature na platinskom otpornom termometru koji se nalazi u bloku.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je korisna jer omogućava određivanja temperature ključanja ispod sobne temperature i do 253,15 K (-20° C) bez promena u aparatu. Samo je potrebno instrument smestiti u kupatilo za hlađenje.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Termalna analiza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Diferencijalna termalna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Diferencijalna skenirajuća kalorimetrija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 malim odstupanjima od normalnog pritiska (maksimalno ± 5 kPa), temperature ključanja se normalizuju do 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pomoću sledeće Sidni Jangove jednačine sa vrednošću brojeva: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 xml:space="preserve">n </w:t>
      </w:r>
      <w:r w:rsidRPr="00984859">
        <w:rPr>
          <w:rFonts w:ascii="Arial" w:eastAsia="Times New Roman" w:hAnsi="Arial" w:cs="Arial"/>
          <w:lang w:eastAsia="sr-Latn-RS"/>
        </w:rPr>
        <w:t>= T + (f</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x Δp)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Δp jeste razlika: 101,325 - </w:t>
      </w:r>
      <w:r w:rsidRPr="00984859">
        <w:rPr>
          <w:rFonts w:ascii="Arial" w:eastAsia="Times New Roman" w:hAnsi="Arial" w:cs="Arial"/>
          <w:i/>
          <w:iCs/>
          <w:lang w:eastAsia="sr-Latn-RS"/>
        </w:rPr>
        <w:t>p</w:t>
      </w:r>
      <w:r w:rsidRPr="00984859">
        <w:rPr>
          <w:rFonts w:ascii="Arial" w:eastAsia="Times New Roman" w:hAnsi="Arial" w:cs="Arial"/>
          <w:lang w:eastAsia="sr-Latn-RS"/>
        </w:rPr>
        <w:t xml:space="preserve"> (obratiti pažnju na znak +/-);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p</w:t>
      </w:r>
      <w:r w:rsidRPr="00984859">
        <w:rPr>
          <w:rFonts w:ascii="Arial" w:eastAsia="Times New Roman" w:hAnsi="Arial" w:cs="Arial"/>
          <w:lang w:eastAsia="sr-Latn-RS"/>
        </w:rPr>
        <w:t xml:space="preserve"> jeste izmereni pritisak u kPa;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jeste brzina promene temperature ključanja sa pritiskom u K/kPa;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T jeste izmerena temperatura ključanja u stepenima kelvina (K);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jeste temperatura ključanja korigovana na normalan pritisak u stepenima kelvina (K).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Faktori korekcije temperature (f</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i jednačine za njihovu aproksimaciju uključeni su u međunarodne i nacionalne standarde za mnoge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Tabela 2: Faktori korekcije temperature f</w:t>
      </w:r>
      <w:r w:rsidRPr="00984859">
        <w:rPr>
          <w:rFonts w:ascii="Arial" w:eastAsia="Times New Roman" w:hAnsi="Arial" w:cs="Arial"/>
          <w:sz w:val="15"/>
          <w:szCs w:val="15"/>
          <w:vertAlign w:val="subscript"/>
          <w:lang w:eastAsia="sr-Latn-RS"/>
        </w:rPr>
        <w:t>t</w:t>
      </w:r>
      <w:r w:rsidRPr="00984859">
        <w:rPr>
          <w:rFonts w:ascii="Arial" w:eastAsia="Times New Roman" w:hAnsi="Arial" w:cs="Arial"/>
          <w:b/>
          <w:bCs/>
          <w:sz w:val="15"/>
          <w:szCs w:val="15"/>
          <w:vertAlign w:val="superscript"/>
          <w:lang w:eastAsia="sr-Latn-RS"/>
        </w:rPr>
        <w:t>XVII</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475"/>
        <w:gridCol w:w="4657"/>
      </w:tblGrid>
      <w:tr w:rsidR="00984859" w:rsidRPr="00984859" w:rsidTr="00984859">
        <w:trPr>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Temperatura T (K) </w:t>
            </w:r>
          </w:p>
        </w:tc>
        <w:tc>
          <w:tcPr>
            <w:tcW w:w="25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Faktor korekcije f</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(K/kPa)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323,15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0,26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348,15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0,28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373,15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0,31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398,15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0,33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423,15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0,35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448,15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0,37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473,15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0,39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498,15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0,41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523,15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0,43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548,15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0,45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573,15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0,47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XVII</w:t>
      </w:r>
      <w:r w:rsidRPr="00984859">
        <w:rPr>
          <w:rFonts w:ascii="Arial" w:eastAsia="Times New Roman" w:hAnsi="Arial" w:cs="Arial"/>
          <w:lang w:eastAsia="sr-Latn-RS"/>
        </w:rPr>
        <w:t xml:space="preserve"> U metodi DIN 53171 date su grube korekcije za rastvarače koji se koriste u industriji boja i lakova.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preciznom opisu supstance (identitet i nečistoće) i koracima prethodnih prečišćavanja, ukoliko ih je bilo;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proceni preciznosti.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vrednost najmanje dva merenja koja su u opsegu procenjene tačnosti (videti Tabelu 1) navodi se kao temperatura ključanja.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Navode se izmerene temperature ključanja i njihove srednje vrednosti, a pritisak, odnosno pritisci pri kojima su izvršena merenja navode se u kPa. Poželjno je da pritisak bude blizu normalnog atmosferskog pritiska.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se navode svi podaci i napomene relevantne za tumačenje rezultata, naročito one koje se odnose na nečistoće i fizičko stanje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103, Decision of the Council C (81) 30 final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 IUPAC, B. Le Neindre, B. Vodar, editions. Experimental thermodynamics, Butterworths, London, 1975, vol. II.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 Weissberger edition: Technique of organic chemistry, Physical methods of organic chemistry, Third Edition, Interscience Publications, New York, 1959, vol. I, Part I, Chapter VIII.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drugi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DODATNI TEHNIČKI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Dodatni tehnički podaci mogu se pronaći u sledećim standardima: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Određivanje temperature ključanja upotrebom ebuliometra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49"/>
        <w:gridCol w:w="7563"/>
      </w:tblGrid>
      <w:tr w:rsidR="00984859" w:rsidRPr="00984859" w:rsidTr="00984859">
        <w:trPr>
          <w:tblCellSpacing w:w="0" w:type="dxa"/>
        </w:trPr>
        <w:tc>
          <w:tcPr>
            <w:tcW w:w="8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D 1120-72 </w:t>
            </w:r>
          </w:p>
        </w:tc>
        <w:tc>
          <w:tcPr>
            <w:tcW w:w="41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test method for boiling point of engine anti-freezes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Metoda destilacije za određivanje temperature ključanja (opsega ključanja)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49"/>
        <w:gridCol w:w="7563"/>
      </w:tblGrid>
      <w:tr w:rsidR="00984859" w:rsidRPr="00984859" w:rsidTr="00984859">
        <w:trPr>
          <w:tblCellSpacing w:w="0" w:type="dxa"/>
        </w:trPr>
        <w:tc>
          <w:tcPr>
            <w:tcW w:w="8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ISO/R 918 </w:t>
            </w:r>
          </w:p>
        </w:tc>
        <w:tc>
          <w:tcPr>
            <w:tcW w:w="41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Test Method for Distillation (Distillation Yield and Distillation Range)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BS 4349/68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Method for determination of distillation of petroleum products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BS 4591/71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Method for the determination of distillation characteristics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53171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Losungsmittel für Anstrichstoffe, Bestimmung des Siedeverlaufes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NF T 20-608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Distillation: détermination du rendement et de l‘intervalle de distillation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Diferencijalna termalna analiza i diferencijalna skenirajuća kalorimetrija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49"/>
        <w:gridCol w:w="7563"/>
      </w:tblGrid>
      <w:tr w:rsidR="00984859" w:rsidRPr="00984859" w:rsidTr="00984859">
        <w:trPr>
          <w:tblCellSpacing w:w="0" w:type="dxa"/>
        </w:trPr>
        <w:tc>
          <w:tcPr>
            <w:tcW w:w="8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E 537-76 </w:t>
            </w:r>
          </w:p>
        </w:tc>
        <w:tc>
          <w:tcPr>
            <w:tcW w:w="41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method for assessing the thermal stability of chemicals by methods of differential thermal analysis </w:t>
            </w:r>
          </w:p>
        </w:tc>
      </w:tr>
      <w:tr w:rsidR="00984859" w:rsidRPr="00984859" w:rsidTr="00984859">
        <w:trPr>
          <w:tblCellSpacing w:w="0" w:type="dxa"/>
        </w:trPr>
        <w:tc>
          <w:tcPr>
            <w:tcW w:w="8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E 473-85 </w:t>
            </w:r>
          </w:p>
        </w:tc>
        <w:tc>
          <w:tcPr>
            <w:tcW w:w="41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definitions of terms relating to thermal analysis </w:t>
            </w:r>
          </w:p>
        </w:tc>
      </w:tr>
      <w:tr w:rsidR="00984859" w:rsidRPr="00984859" w:rsidTr="00984859">
        <w:trPr>
          <w:tblCellSpacing w:w="0" w:type="dxa"/>
        </w:trPr>
        <w:tc>
          <w:tcPr>
            <w:tcW w:w="8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E 472-86 </w:t>
            </w:r>
          </w:p>
        </w:tc>
        <w:tc>
          <w:tcPr>
            <w:tcW w:w="41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 practice for reporting thermoanalytical data </w:t>
            </w:r>
          </w:p>
        </w:tc>
      </w:tr>
      <w:tr w:rsidR="00984859" w:rsidRPr="00984859" w:rsidTr="00984859">
        <w:trPr>
          <w:tblCellSpacing w:w="0" w:type="dxa"/>
        </w:trPr>
        <w:tc>
          <w:tcPr>
            <w:tcW w:w="8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51005 </w:t>
            </w:r>
          </w:p>
        </w:tc>
        <w:tc>
          <w:tcPr>
            <w:tcW w:w="41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Thermische Analyse, Begriffe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A.3. RELATIVNA GUSTINA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zasniva se na Uputstvu za ispitivanje OECD</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Osnovni principi metode dati su u literaturi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Opisane metode za određivanje relativne gustine mogu se primenjivati na čvrste i tečne supstance, bez ograničenja u pogledu njihovog stepena čistoće. Različite metode koje se koriste date su u Tabeli 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Relativna gustina D</w:t>
      </w:r>
      <w:r w:rsidRPr="00984859">
        <w:rPr>
          <w:rFonts w:ascii="Arial" w:eastAsia="Times New Roman" w:hAnsi="Arial" w:cs="Arial"/>
          <w:sz w:val="15"/>
          <w:szCs w:val="15"/>
          <w:vertAlign w:val="superscript"/>
          <w:lang w:eastAsia="sr-Latn-RS"/>
        </w:rPr>
        <w:t>20</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za čvrste ili tečne supstance jeste odnos između mase, zapremine supstance koja se ispituje (određene na 20° C) i mase iste zapremine vode (određene na 4° C). Relativna gustina nema dimenziju.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Gustina (</w:t>
      </w:r>
      <w:r w:rsidRPr="00984859">
        <w:rPr>
          <w:rFonts w:ascii="Arial" w:eastAsia="Times New Roman" w:hAnsi="Arial" w:cs="Arial"/>
          <w:i/>
          <w:iCs/>
          <w:lang w:eastAsia="sr-Latn-RS"/>
        </w:rPr>
        <w:t>r</w:t>
      </w:r>
      <w:r w:rsidRPr="00984859">
        <w:rPr>
          <w:rFonts w:ascii="Arial" w:eastAsia="Times New Roman" w:hAnsi="Arial" w:cs="Arial"/>
          <w:lang w:eastAsia="sr-Latn-RS"/>
        </w:rPr>
        <w:t>) supstance jeste količnik mase (</w:t>
      </w:r>
      <w:r w:rsidRPr="00984859">
        <w:rPr>
          <w:rFonts w:ascii="Arial" w:eastAsia="Times New Roman" w:hAnsi="Arial" w:cs="Arial"/>
          <w:i/>
          <w:iCs/>
          <w:lang w:eastAsia="sr-Latn-RS"/>
        </w:rPr>
        <w:t>m</w:t>
      </w:r>
      <w:r w:rsidRPr="00984859">
        <w:rPr>
          <w:rFonts w:ascii="Arial" w:eastAsia="Times New Roman" w:hAnsi="Arial" w:cs="Arial"/>
          <w:lang w:eastAsia="sr-Latn-RS"/>
        </w:rPr>
        <w:t>) i zapremine (</w:t>
      </w:r>
      <w:r w:rsidRPr="00984859">
        <w:rPr>
          <w:rFonts w:ascii="Arial" w:eastAsia="Times New Roman" w:hAnsi="Arial" w:cs="Arial"/>
          <w:i/>
          <w:iCs/>
          <w:lang w:eastAsia="sr-Latn-RS"/>
        </w:rPr>
        <w:t>v</w:t>
      </w:r>
      <w:r w:rsidRPr="00984859">
        <w:rPr>
          <w:rFonts w:ascii="Arial" w:eastAsia="Times New Roman" w:hAnsi="Arial" w:cs="Arial"/>
          <w:lang w:eastAsia="sr-Latn-RS"/>
        </w:rPr>
        <w:t xml:space="preserv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Gustina (</w:t>
      </w:r>
      <w:r w:rsidRPr="00984859">
        <w:rPr>
          <w:rFonts w:ascii="Arial" w:eastAsia="Times New Roman" w:hAnsi="Arial" w:cs="Arial"/>
          <w:i/>
          <w:iCs/>
          <w:lang w:eastAsia="sr-Latn-RS"/>
        </w:rPr>
        <w:t>r</w:t>
      </w:r>
      <w:r w:rsidRPr="00984859">
        <w:rPr>
          <w:rFonts w:ascii="Arial" w:eastAsia="Times New Roman" w:hAnsi="Arial" w:cs="Arial"/>
          <w:lang w:eastAsia="sr-Latn-RS"/>
        </w:rPr>
        <w:t>) supstance se u Međunarodnom sistemu jedinica (SI) izražava u kg/m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1.3. REFERENTNE SUPSTANCE</w:t>
      </w:r>
      <w:r w:rsidRPr="00984859">
        <w:rPr>
          <w:rFonts w:ascii="Arial" w:eastAsia="Times New Roman" w:hAnsi="Arial" w:cs="Arial"/>
          <w:b/>
          <w:bCs/>
          <w:i/>
          <w:iCs/>
          <w:sz w:val="15"/>
          <w:szCs w:val="15"/>
          <w:vertAlign w:val="superscript"/>
          <w:lang w:eastAsia="sr-Latn-RS"/>
        </w:rPr>
        <w:t>1, 3</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se ne koriste svaki put kada se ispituje nova supstanca. One prvenstveno služe za povremenu proveru metode i da omoguće poređenje sa rezultatima dobijenim drugim metodama.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četiri tipa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Metoda potiska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Areometar (za tečne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Dovoljno tačno i brzo određivanje gustine dobija se pomoću plutajućih areometara, kod kojih se gustina tečnosti utvrđuje na osnovu dubine potapanja koja se očitava na graduisanoj skali.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Hidrostatička vaga (za tečne i čvrste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Razlika između težine ispitivanog uzorka merenog u vazduhu i merenog u odgovarajućoj tečnosti (npr. u vodi) koristi se za određivanje gustine ispitivanog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određivanje gustine čvrste supstance izmerena gustina jeste reprezentativna gustina samo za ispitivani uzorak. Za određivanje gustine tečnosti prvo se meri masa tela poznate zapremine (V) u vazduhu, a zatim u tečnosti.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1.4.1.3. Metoda uranjanja tela (za tečne supstance)</w:t>
      </w:r>
      <w:r w:rsidRPr="00984859">
        <w:rPr>
          <w:rFonts w:ascii="Arial" w:eastAsia="Times New Roman" w:hAnsi="Arial" w:cs="Arial"/>
          <w:b/>
          <w:bCs/>
          <w:i/>
          <w:iCs/>
          <w:sz w:val="15"/>
          <w:szCs w:val="15"/>
          <w:vertAlign w:val="superscript"/>
          <w:lang w:eastAsia="sr-Latn-RS"/>
        </w:rPr>
        <w:t>4</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 ovoj metodi gustina tečnosti određuje se iz razlike rezultata merenja mase tečnosti pre i posle zaranjanja tela poznate zapremine u tečnost koja se ispituje.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Metoda piknometra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čvrste ili tečne supstance mogu se koristiti piknometri različitih oblika sa poznatim zapreminama. Gustina se određuje iz razlike u masi između punog i praznog piknometra i njegove poznate zapremine.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Vazdušni uporedni piknometar (za čvrste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Gustina čvrste supstance u bilo kom obliku meri se na sobnoj temperaturi sa gasnim uporednim piknometrom. Zapremina supstance meri se u vazduhu ili u inertnom gasu u cilindru promenljive kalibrisane zapremine. Za proračun gustine uzima se jedno merenje mase, nakon merenja zapremine.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1.4.4. Oscilujući merač gustine</w:t>
      </w:r>
      <w:r w:rsidRPr="00984859">
        <w:rPr>
          <w:rFonts w:ascii="Arial" w:eastAsia="Times New Roman" w:hAnsi="Arial" w:cs="Arial"/>
          <w:b/>
          <w:bCs/>
          <w:sz w:val="15"/>
          <w:szCs w:val="15"/>
          <w:vertAlign w:val="superscript"/>
          <w:lang w:eastAsia="sr-Latn-RS"/>
        </w:rPr>
        <w:t>5, 6, 7</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Gustina tečnosti meri se pomoću oscilujućeg merača gustine. Mehanički oscilator, napravljen u obliku cevi latiničnog slova U (U), vibrira na frekvenciji rezonance oscilatora koja zavisi od njegove mase. Unošenje uzorka menja frekvenciju rezonance oscilatora. Aparat se kalibriše pomoću dve tečne supstance poznate gustine. Ove supstance se biraju na način da njihove gustine obuhvataju opseg koji se meri.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Primenljivost različitih metoda koje se koriste za određivanje relativne gustine data je u Tabeli.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Delu drugom ove metode dati su standardi kao primer koji se konsultuju za dodatne tehničke podatke.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Izvode se najmanje dva merenja na temperaturi od 20° 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standarde date u Delu drugom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preciznom opisu supstance (identitet i nečistoće) i koracima prethodnih prečišćavanja, ukoliko ih je bilo.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Relativna gustina (D</w:t>
      </w:r>
      <w:r w:rsidRPr="00984859">
        <w:rPr>
          <w:rFonts w:ascii="Arial" w:eastAsia="Times New Roman" w:hAnsi="Arial" w:cs="Arial"/>
          <w:sz w:val="15"/>
          <w:szCs w:val="15"/>
          <w:vertAlign w:val="superscript"/>
          <w:lang w:eastAsia="sr-Latn-RS"/>
        </w:rPr>
        <w:t>20</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se u izveštaju navodi u skladu sa definicijom datom u odeljku 1.2. ove metode, zajedno sa fizičkim stanjem merene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se navode svi podaci i primedbe važne za tumačenje rezultata, naročito podaci o nečistoćama i fizičkom stanju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Primenljivost metoda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496"/>
        <w:gridCol w:w="702"/>
        <w:gridCol w:w="650"/>
        <w:gridCol w:w="4284"/>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merenja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Gustina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Maksimalan mogući dinamički viskozitet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Areometar</w:t>
            </w:r>
            <w:r w:rsidRPr="00984859">
              <w:rPr>
                <w:rFonts w:ascii="Arial" w:eastAsia="Times New Roman" w:hAnsi="Arial" w:cs="Arial"/>
                <w:b/>
                <w:bCs/>
                <w:sz w:val="15"/>
                <w:szCs w:val="15"/>
                <w:vertAlign w:val="superscript"/>
                <w:lang w:eastAsia="sr-Latn-RS"/>
              </w:rPr>
              <w:t>XVIII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Pa s </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Hidrostatička vaga</w:t>
            </w:r>
            <w:r w:rsidRPr="00984859">
              <w:rPr>
                <w:rFonts w:ascii="Arial" w:eastAsia="Times New Roman" w:hAnsi="Arial" w:cs="Arial"/>
                <w:b/>
                <w:bCs/>
                <w:sz w:val="15"/>
                <w:szCs w:val="15"/>
                <w:vertAlign w:val="superscript"/>
                <w:lang w:eastAsia="sr-Latn-RS"/>
              </w:rPr>
              <w:t>XIX</w:t>
            </w:r>
            <w:r w:rsidRPr="00984859">
              <w:rPr>
                <w:rFonts w:ascii="Arial" w:eastAsia="Times New Roman" w:hAnsi="Arial" w:cs="Arial"/>
                <w:lang w:eastAsia="sr-Latn-RS"/>
              </w:rPr>
              <w:br/>
              <w:t>a) hemikalije u čvrstom stanju</w:t>
            </w:r>
            <w:r w:rsidRPr="00984859">
              <w:rPr>
                <w:rFonts w:ascii="Arial" w:eastAsia="Times New Roman" w:hAnsi="Arial" w:cs="Arial"/>
                <w:lang w:eastAsia="sr-Latn-RS"/>
              </w:rPr>
              <w:br/>
              <w:t xml:space="preserve">b) tečnosti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Pa s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uranjanja tela</w:t>
            </w:r>
            <w:r w:rsidRPr="00984859">
              <w:rPr>
                <w:rFonts w:ascii="Arial" w:eastAsia="Times New Roman" w:hAnsi="Arial" w:cs="Arial"/>
                <w:b/>
                <w:bCs/>
                <w:sz w:val="15"/>
                <w:szCs w:val="15"/>
                <w:vertAlign w:val="superscript"/>
                <w:lang w:eastAsia="sr-Latn-RS"/>
              </w:rPr>
              <w:t>XX</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Pa s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piknometra</w:t>
            </w:r>
            <w:r w:rsidRPr="00984859">
              <w:rPr>
                <w:rFonts w:ascii="Arial" w:eastAsia="Times New Roman" w:hAnsi="Arial" w:cs="Arial"/>
                <w:b/>
                <w:bCs/>
                <w:sz w:val="15"/>
                <w:szCs w:val="15"/>
                <w:vertAlign w:val="superscript"/>
                <w:lang w:eastAsia="sr-Latn-RS"/>
              </w:rPr>
              <w:t>XXI</w:t>
            </w:r>
            <w:r w:rsidRPr="00984859">
              <w:rPr>
                <w:rFonts w:ascii="Arial" w:eastAsia="Times New Roman" w:hAnsi="Arial" w:cs="Arial"/>
                <w:lang w:eastAsia="sr-Latn-RS"/>
              </w:rPr>
              <w:br/>
              <w:t>a) hemikalije u čvrstom stanju</w:t>
            </w:r>
            <w:r w:rsidRPr="00984859">
              <w:rPr>
                <w:rFonts w:ascii="Arial" w:eastAsia="Times New Roman" w:hAnsi="Arial" w:cs="Arial"/>
                <w:lang w:eastAsia="sr-Latn-RS"/>
              </w:rPr>
              <w:br/>
              <w:t xml:space="preserve">b) tečnosti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500 Pa s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Vazdušni uporedni piknometar</w:t>
            </w:r>
            <w:r w:rsidRPr="00984859">
              <w:rPr>
                <w:rFonts w:ascii="Arial" w:eastAsia="Times New Roman" w:hAnsi="Arial" w:cs="Arial"/>
                <w:b/>
                <w:bCs/>
                <w:sz w:val="15"/>
                <w:szCs w:val="15"/>
                <w:vertAlign w:val="superscript"/>
                <w:lang w:eastAsia="sr-Latn-RS"/>
              </w:rPr>
              <w:t>XXII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Oscilujući merač gustine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Pa s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XVIII</w:t>
      </w:r>
      <w:r w:rsidRPr="00984859">
        <w:rPr>
          <w:rFonts w:ascii="Arial" w:eastAsia="Times New Roman" w:hAnsi="Arial" w:cs="Arial"/>
          <w:lang w:eastAsia="sr-Latn-RS"/>
        </w:rPr>
        <w:t xml:space="preserve"> ISO 387, ISO 649-2, NF T 20-050</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XIX</w:t>
      </w:r>
      <w:r w:rsidRPr="00984859">
        <w:rPr>
          <w:rFonts w:ascii="Arial" w:eastAsia="Times New Roman" w:hAnsi="Arial" w:cs="Arial"/>
          <w:lang w:eastAsia="sr-Latn-RS"/>
        </w:rPr>
        <w:t xml:space="preserve"> ISO 1183 (A), ISO 901 i 758</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w:t>
      </w:r>
      <w:r w:rsidRPr="00984859">
        <w:rPr>
          <w:rFonts w:ascii="Arial" w:eastAsia="Times New Roman" w:hAnsi="Arial" w:cs="Arial"/>
          <w:lang w:eastAsia="sr-Latn-RS"/>
        </w:rPr>
        <w:t xml:space="preserve"> DIN 53217</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XXI</w:t>
      </w:r>
      <w:r w:rsidRPr="00984859">
        <w:rPr>
          <w:rFonts w:ascii="Arial" w:eastAsia="Times New Roman" w:hAnsi="Arial" w:cs="Arial"/>
          <w:lang w:eastAsia="sr-Latn-RS"/>
        </w:rPr>
        <w:t xml:space="preserve"> ISO 3507, ISO 1183 (B), NF T 20-053, ISO 758</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XXII</w:t>
      </w:r>
      <w:r w:rsidRPr="00984859">
        <w:rPr>
          <w:rFonts w:ascii="Arial" w:eastAsia="Times New Roman" w:hAnsi="Arial" w:cs="Arial"/>
          <w:lang w:eastAsia="sr-Latn-RS"/>
        </w:rPr>
        <w:t xml:space="preserve"> DIN 55990, DIN 53243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109, Decision of the Council C(81) 30 final.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 Weissberger ed., Technique of Organic Chemistry, Physical Methods of Organic Chemistry, 3rd ed.,Chapter IV, Interscience Publ., New York, 1959, vol. I, Part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IUPAC, Recommended reference materials for realization of physico-chemical properties, Pure and applied chemistry, 1976, vol. 48, p. 508.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Wagenbreth, H., Die Tauchkugel zur Bestimmung der Dichte von Flüssigkeiten, Technisches Messen tm, 1979, vol. II, p. 427-430.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Leopold, H., Die digitale Messung von Flüssigkeiten, Elektronik, 1970, vol. 19, p. 297-302.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Baumgarten, D., Füllmengenkontrolle bei vorgepackten Erzeugnissen-Verfahren zur Dichtebestimmung bei flüssigen Produkten und ihre praktische Anwendung, Die Pharmazeutische Industrie, 1975, vol. 37, p. 717-726.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Riemann, J., Der Einsatz der digitalen Dichtemessung im Brauereilaboratorium, Brauwissenschaft, 1976, vol. 9, p. 253-255.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DODATNI TEHNIČKI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Dodatni tehnički podaci mogu se pronaći u sledećim standardima: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potiska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Areometar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843"/>
        <w:gridCol w:w="7269"/>
      </w:tblGrid>
      <w:tr w:rsidR="00984859" w:rsidRPr="00984859" w:rsidTr="00984859">
        <w:trPr>
          <w:tblCellSpacing w:w="0" w:type="dxa"/>
        </w:trPr>
        <w:tc>
          <w:tcPr>
            <w:tcW w:w="282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12790, ISO 387 </w:t>
            </w:r>
          </w:p>
        </w:tc>
        <w:tc>
          <w:tcPr>
            <w:tcW w:w="123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Hydrometer; general instructions </w:t>
            </w:r>
          </w:p>
        </w:tc>
      </w:tr>
      <w:tr w:rsidR="00984859" w:rsidRPr="00984859" w:rsidTr="00984859">
        <w:trPr>
          <w:tblCellSpacing w:w="0" w:type="dxa"/>
        </w:trPr>
        <w:tc>
          <w:tcPr>
            <w:tcW w:w="282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12791 </w:t>
            </w:r>
          </w:p>
        </w:tc>
        <w:tc>
          <w:tcPr>
            <w:tcW w:w="123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Part I: Density hydrometers; construction, adjustment and use </w:t>
            </w:r>
          </w:p>
        </w:tc>
      </w:tr>
      <w:tr w:rsidR="00984859" w:rsidRPr="00984859" w:rsidTr="00984859">
        <w:trPr>
          <w:tblCellSpacing w:w="0" w:type="dxa"/>
        </w:trPr>
        <w:tc>
          <w:tcPr>
            <w:tcW w:w="282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3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Part II: Density hydrometers; standardised sizes, designation </w:t>
            </w:r>
          </w:p>
        </w:tc>
      </w:tr>
      <w:tr w:rsidR="00984859" w:rsidRPr="00984859" w:rsidTr="00984859">
        <w:trPr>
          <w:tblCellSpacing w:w="0" w:type="dxa"/>
        </w:trPr>
        <w:tc>
          <w:tcPr>
            <w:tcW w:w="282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3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Part III: Use and test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649-2 Laboratory glassware: Density hydrometers for general purpose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NF T 20-050 Chemical products for industrial use - Determination of density of liquids - Areometric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DIN 12793 Laboratory glassware: range find hydrometers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Hidrostatička vaga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 Za čvrste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1183 Method A: Methods for determining the density and relative density of plastics excluding cellular plastics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NF T 20-049 Chemical products for industrial use - Determination of the density of solids other than powders and cellular products - Hydrostatic balance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ASTM-D-792 Specific gravity and density of plastics by displacement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53479 Testing of plastics and elastomers; determination of density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1.2.2 Za tečne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901 ISO 758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51757 Testing of mineral oils and related materials; determination of density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D 941-55, ASTM D 1296-67 and ASTM D 1481-62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D 1298 Density, specific gravity or API gravity of crude petroleum and liquid petroleum products by hydrometer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BS 4714 Density, specific gravity or API gravity of crude petroleum and liquid petroleum products by hydrometer method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Metoda uranjanja tela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53217 Testing of paints, varnishes and similar coating materials; determination of density; immersed body method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Metoda piknometra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Za tečne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3507 Pycnometers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758 Liquid chemical products; determination of density at 20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12797 Gay-Lussac pycnometer (for non-volatile liquids which are not too viscous)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DIN 12798 Lipkin pycnometer (for liquids with a kinematic viscosity of less than 100 10</w:t>
      </w:r>
      <w:r w:rsidRPr="00984859">
        <w:rPr>
          <w:rFonts w:ascii="Arial" w:eastAsia="Times New Roman" w:hAnsi="Arial" w:cs="Arial"/>
          <w:sz w:val="15"/>
          <w:szCs w:val="15"/>
          <w:vertAlign w:val="superscript"/>
          <w:lang w:eastAsia="sr-Latn-RS"/>
        </w:rPr>
        <w:t>-6</w:t>
      </w:r>
      <w:r w:rsidRPr="00984859">
        <w:rPr>
          <w:rFonts w:ascii="Arial" w:eastAsia="Times New Roman" w:hAnsi="Arial" w:cs="Arial"/>
          <w:lang w:eastAsia="sr-Latn-RS"/>
        </w:rPr>
        <w:t xml:space="preserve"> 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at 15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12800 Sprengel pycnometer (for liquids as DIN 12798)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DIN 12801 Reischauer pycnometer (for liquids with a kinematic viscosity of less than 100. 10</w:t>
      </w:r>
      <w:r w:rsidRPr="00984859">
        <w:rPr>
          <w:rFonts w:ascii="Arial" w:eastAsia="Times New Roman" w:hAnsi="Arial" w:cs="Arial"/>
          <w:sz w:val="15"/>
          <w:szCs w:val="15"/>
          <w:vertAlign w:val="superscript"/>
          <w:lang w:eastAsia="sr-Latn-RS"/>
        </w:rPr>
        <w:t>-6</w:t>
      </w:r>
      <w:r w:rsidRPr="00984859">
        <w:rPr>
          <w:rFonts w:ascii="Arial" w:eastAsia="Times New Roman" w:hAnsi="Arial" w:cs="Arial"/>
          <w:lang w:eastAsia="sr-Latn-RS"/>
        </w:rPr>
        <w:t xml:space="preserve"> 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at 20 °C, applicable in particular also to hydrocarbons and aqueous solutions as well as to liquids with higher vapour pressure, approximately 1 bar at 90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DIN 12806 Hubbard pycnometer (for viscous liquids of all types which do not have too high a vapour pressure, in particular also for paints, varnishes and bitumen)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12807 Bingham pycnometer (for liquids, as in DIN 12801)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12808 Jaulmes pycnometer (in particular for ethanol - water mixture)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12809 Pycnometer with ground-in thermometer and capillary side tube (for liquids which are not too viscous)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53217 Testing of paints, varnishes and similar products; determination of density by pycnometer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51757 Point 7: Testing of mineral oils and related materials; determination of density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D 297 Section 15: Rubber products - chemical analysis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ASTM D 2111 Method C: Halogenated organic compounds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BS 4699 Method for determination of specific gravity and density of petroleum products (graduated bicapillary pycnometer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BS 5903 Method for determination of relative density and density of petroleum products by the capillary - stoppered pycnometer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NF T 20-053 Chemical products for industrial use - Determination of density of solids in powder and liquids - Pyknometric method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Za čvrste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ISO 1183 Method B: Methods for determining the density and relative density of plastics excluding cellular plastics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NF T 20-053 Chemical products for industrial use - Determination of density of solids in powder and liquids - Pyknometric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19683 Determination of the density of soils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Vazdušni uporedni piknometar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55990 Part 3: Prüfung von Anstrichstoffen und ähnlichen Beschichtungsstoffen; Pulverlack; Bestimmung der Dichte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 53243 Anstrichstoffe; chlorhaltige Polymere; Prüfung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A.4. NAPON PARE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104 (2004).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A.4.</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u odnosu na raniju verziju, sadrži dodatnu metodu, Metodu efuzije: izotermalne termogravimetrije, koja je namenjena za supstance sa vrlo niskim naponom pare (do 10</w:t>
      </w:r>
      <w:r w:rsidRPr="00984859">
        <w:rPr>
          <w:rFonts w:ascii="Arial" w:eastAsia="Times New Roman" w:hAnsi="Arial" w:cs="Arial"/>
          <w:sz w:val="15"/>
          <w:szCs w:val="15"/>
          <w:vertAlign w:val="superscript"/>
          <w:lang w:eastAsia="sr-Latn-RS"/>
        </w:rPr>
        <w:t>-10</w:t>
      </w:r>
      <w:r w:rsidRPr="00984859">
        <w:rPr>
          <w:rFonts w:ascii="Arial" w:eastAsia="Times New Roman" w:hAnsi="Arial" w:cs="Arial"/>
          <w:lang w:eastAsia="sr-Latn-RS"/>
        </w:rPr>
        <w:t xml:space="preserve"> Pa). Usled potreba za postupcima, posebno kad se radi o određivanju napona pare za supstance sa niskim naponom pare, ponovo se ocenjuju i drugi postupci u okviru ove metode u odnosu na druge opsege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termodinamičkoj ravnoteži napon pare čiste supstance zavisi isključivo od temperature. Osnovni principi dati su u literaturi</w:t>
      </w:r>
      <w:r w:rsidRPr="00984859">
        <w:rPr>
          <w:rFonts w:ascii="Arial" w:eastAsia="Times New Roman" w:hAnsi="Arial" w:cs="Arial"/>
          <w:b/>
          <w:bCs/>
          <w:sz w:val="15"/>
          <w:szCs w:val="15"/>
          <w:vertAlign w:val="superscript"/>
          <w:lang w:eastAsia="sr-Latn-RS"/>
        </w:rPr>
        <w:t>2, 3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 postoji jedinstveni postupak merenja koji se primenjuje na celokupni opseg napona pare, koji se kreće od ispod 10</w:t>
      </w:r>
      <w:r w:rsidRPr="00984859">
        <w:rPr>
          <w:rFonts w:ascii="Arial" w:eastAsia="Times New Roman" w:hAnsi="Arial" w:cs="Arial"/>
          <w:sz w:val="15"/>
          <w:szCs w:val="15"/>
          <w:vertAlign w:val="superscript"/>
          <w:lang w:eastAsia="sr-Latn-RS"/>
        </w:rPr>
        <w:t>-10</w:t>
      </w:r>
      <w:r w:rsidRPr="00984859">
        <w:rPr>
          <w:rFonts w:ascii="Arial" w:eastAsia="Times New Roman" w:hAnsi="Arial" w:cs="Arial"/>
          <w:lang w:eastAsia="sr-Latn-RS"/>
        </w:rPr>
        <w:t xml:space="preserve"> Pa do 10</w:t>
      </w:r>
      <w:r w:rsidRPr="00984859">
        <w:rPr>
          <w:rFonts w:ascii="Arial" w:eastAsia="Times New Roman" w:hAnsi="Arial" w:cs="Arial"/>
          <w:sz w:val="15"/>
          <w:szCs w:val="15"/>
          <w:vertAlign w:val="superscript"/>
          <w:lang w:eastAsia="sr-Latn-RS"/>
        </w:rPr>
        <w:t xml:space="preserve">5 </w:t>
      </w:r>
      <w:r w:rsidRPr="00984859">
        <w:rPr>
          <w:rFonts w:ascii="Arial" w:eastAsia="Times New Roman" w:hAnsi="Arial" w:cs="Arial"/>
          <w:lang w:eastAsia="sr-Latn-RS"/>
        </w:rPr>
        <w:t xml:space="preserve">Pa. Ova metoda obuhvata osam metoda za merenje napona pare, koje se mogu primeniti u različitim rasponima napona pare. U Tabeli 1. koja je data u ovoj metodi dato je poređenje različitih metoda u odnosu na njihovu primenu i merni opseg. Ove metode mogu se primeniti samo na jedinjenja koja se ne razgrađuju u uslovima ispitivanja. Ako se napon pare iz tehničkih razloga ne može odrediti nekom od eksperimentalnih metoda, on se procenjuje, a preporučena metoda procene navedena je u Dodatku koji je dat u Delu drugom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Napon pare supstance jeste pritisak zasićene pare iznad čvrste ili tečne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Međunarodnom sistemu jedinica SI jedinica za pritisak koja se koristi za ove potrebe jeste paskal (Pa).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Merne jedinice koje su se ranije koristile, zajedno sa faktorima njihove konverzije, su: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195"/>
        <w:gridCol w:w="6917"/>
      </w:tblGrid>
      <w:tr w:rsidR="00984859" w:rsidRPr="00984859" w:rsidTr="00984859">
        <w:trPr>
          <w:tblCellSpacing w:w="0" w:type="dxa"/>
        </w:trPr>
        <w:tc>
          <w:tcPr>
            <w:tcW w:w="2190" w:type="dxa"/>
            <w:noWrap/>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Torr = 1 mm Hg </w:t>
            </w:r>
          </w:p>
        </w:tc>
        <w:tc>
          <w:tcPr>
            <w:tcW w:w="1302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1,333 × 10</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Pa </w:t>
            </w:r>
          </w:p>
        </w:tc>
      </w:tr>
      <w:tr w:rsidR="00984859" w:rsidRPr="00984859" w:rsidTr="00984859">
        <w:trPr>
          <w:tblCellSpacing w:w="0" w:type="dxa"/>
        </w:trPr>
        <w:tc>
          <w:tcPr>
            <w:tcW w:w="21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atmosfera </w:t>
            </w:r>
          </w:p>
        </w:tc>
        <w:tc>
          <w:tcPr>
            <w:tcW w:w="1302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1,013 ×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w:t>
            </w:r>
          </w:p>
        </w:tc>
      </w:tr>
      <w:tr w:rsidR="00984859" w:rsidRPr="00984859" w:rsidTr="00984859">
        <w:trPr>
          <w:tblCellSpacing w:w="0" w:type="dxa"/>
        </w:trPr>
        <w:tc>
          <w:tcPr>
            <w:tcW w:w="21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bar </w:t>
            </w:r>
          </w:p>
        </w:tc>
        <w:tc>
          <w:tcPr>
            <w:tcW w:w="1302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 jedinica za temperaturu jeste kelvin (K). Za konverziju Celzijusovih stepeni u kelvine koristi se formula: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 = </w:t>
      </w:r>
      <w:r w:rsidRPr="00984859">
        <w:rPr>
          <w:rFonts w:ascii="Arial" w:eastAsia="Times New Roman" w:hAnsi="Arial" w:cs="Arial"/>
          <w:i/>
          <w:iCs/>
          <w:lang w:eastAsia="sr-Latn-RS"/>
        </w:rPr>
        <w:t xml:space="preserve">t </w:t>
      </w:r>
      <w:r w:rsidRPr="00984859">
        <w:rPr>
          <w:rFonts w:ascii="Arial" w:eastAsia="Times New Roman" w:hAnsi="Arial" w:cs="Arial"/>
          <w:lang w:eastAsia="sr-Latn-RS"/>
        </w:rPr>
        <w:t xml:space="preserve">+ 273,15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temperatura u kelvinima ili termodinamička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lang w:eastAsia="sr-Latn-RS"/>
        </w:rPr>
        <w:t xml:space="preserve"> jeste temperatura u Celzijusovim stepenima.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12"/>
        <w:gridCol w:w="1260"/>
        <w:gridCol w:w="843"/>
        <w:gridCol w:w="1446"/>
        <w:gridCol w:w="1801"/>
        <w:gridCol w:w="1470"/>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merenja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Procenjena ponovljivost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Procenjena reproduktivnost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Preporučeni opseg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Čvrsta supstanca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Tečnost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Dinamička metoda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niska tačka topljenja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 25% </w:t>
            </w:r>
            <w:r w:rsidRPr="00984859">
              <w:rPr>
                <w:rFonts w:ascii="Arial" w:eastAsia="Times New Roman" w:hAnsi="Arial" w:cs="Arial"/>
                <w:lang w:eastAsia="sr-Latn-RS"/>
              </w:rPr>
              <w:br/>
              <w:t xml:space="preserve">1% do 5%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 25% </w:t>
            </w:r>
            <w:r w:rsidRPr="00984859">
              <w:rPr>
                <w:rFonts w:ascii="Arial" w:eastAsia="Times New Roman" w:hAnsi="Arial" w:cs="Arial"/>
                <w:lang w:eastAsia="sr-Latn-RS"/>
              </w:rPr>
              <w:br/>
              <w:t xml:space="preserve">1% do 5%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Pa </w:t>
            </w:r>
            <w:r w:rsidRPr="00984859">
              <w:rPr>
                <w:rFonts w:ascii="Arial" w:eastAsia="Times New Roman" w:hAnsi="Arial" w:cs="Arial"/>
                <w:lang w:eastAsia="sr-Latn-RS"/>
              </w:rPr>
              <w:br/>
              <w:t>do 2 x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Pa </w:t>
            </w:r>
            <w:r w:rsidRPr="00984859">
              <w:rPr>
                <w:rFonts w:ascii="Arial" w:eastAsia="Times New Roman" w:hAnsi="Arial" w:cs="Arial"/>
                <w:lang w:eastAsia="sr-Latn-RS"/>
              </w:rPr>
              <w:br/>
              <w:t>2 x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Pa </w:t>
            </w:r>
            <w:r w:rsidRPr="00984859">
              <w:rPr>
                <w:rFonts w:ascii="Arial" w:eastAsia="Times New Roman" w:hAnsi="Arial" w:cs="Arial"/>
                <w:lang w:eastAsia="sr-Latn-RS"/>
              </w:rPr>
              <w:br/>
            </w:r>
            <w:r w:rsidRPr="00984859">
              <w:rPr>
                <w:rFonts w:ascii="Arial" w:eastAsia="Times New Roman" w:hAnsi="Arial" w:cs="Arial"/>
                <w:lang w:eastAsia="sr-Latn-RS"/>
              </w:rPr>
              <w:lastRenderedPageBreak/>
              <w:t>do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Statička metoda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do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do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 Pa do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10</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Pa </w:t>
            </w:r>
            <w:r w:rsidRPr="00984859">
              <w:rPr>
                <w:rFonts w:ascii="Arial" w:eastAsia="Times New Roman" w:hAnsi="Arial" w:cs="Arial"/>
                <w:lang w:eastAsia="sr-Latn-RS"/>
              </w:rPr>
              <w:br/>
              <w:t>do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sa izotenzioskopom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do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do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Pa do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efuzije: merenje napona pare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do 20%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 50%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Pa do 1 Pa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efuzije: Knudsenova ćelija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do 30%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-10</w:t>
            </w:r>
            <w:r w:rsidRPr="00984859">
              <w:rPr>
                <w:rFonts w:ascii="Arial" w:eastAsia="Times New Roman" w:hAnsi="Arial" w:cs="Arial"/>
                <w:lang w:eastAsia="sr-Latn-RS"/>
              </w:rPr>
              <w:t xml:space="preserve"> Pa do 1 P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efuzije: izotermalna termogravimetrija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do 30%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 50%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-10</w:t>
            </w:r>
            <w:r w:rsidRPr="00984859">
              <w:rPr>
                <w:rFonts w:ascii="Arial" w:eastAsia="Times New Roman" w:hAnsi="Arial" w:cs="Arial"/>
                <w:lang w:eastAsia="sr-Latn-RS"/>
              </w:rPr>
              <w:t xml:space="preserve"> Pa do 1 Pa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zasićenja gasa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do 30%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 50%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-10</w:t>
            </w:r>
            <w:r w:rsidRPr="00984859">
              <w:rPr>
                <w:rFonts w:ascii="Arial" w:eastAsia="Times New Roman" w:hAnsi="Arial" w:cs="Arial"/>
                <w:lang w:eastAsia="sr-Latn-RS"/>
              </w:rPr>
              <w:t xml:space="preserve"> Pa do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sa rotirajućom kuglicom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do 20%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Pa do 0,5 Pa </w:t>
            </w:r>
          </w:p>
        </w:tc>
      </w:tr>
      <w:tr w:rsidR="00984859" w:rsidRPr="00984859" w:rsidTr="00984859">
        <w:trPr>
          <w:tblCellSpacing w:w="0" w:type="dxa"/>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sz w:val="15"/>
                <w:szCs w:val="15"/>
                <w:vertAlign w:val="superscript"/>
                <w:lang w:eastAsia="sr-Latn-RS"/>
              </w:rPr>
              <w:t xml:space="preserve">[1] </w:t>
            </w:r>
            <w:r w:rsidRPr="00984859">
              <w:rPr>
                <w:rFonts w:ascii="Arial" w:eastAsia="Times New Roman" w:hAnsi="Arial" w:cs="Arial"/>
                <w:lang w:eastAsia="sr-Latn-RS"/>
              </w:rPr>
              <w:t xml:space="preserve">Ako se koristi kapacitivni manometar. </w:t>
            </w:r>
          </w:p>
        </w:tc>
      </w:tr>
    </w:tbl>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Napon pare se, uglavnom, određuje pri različitim temperaturama. U ograničenom rasponu temperature, logaritam napona pare čiste supstance jeste linearna funkcija recipročne termodinamičke temperature, u skladu sa pojednostavljenom Klapejron - Klauzijusovom jednačinom: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25"/>
        <w:gridCol w:w="1036"/>
        <w:gridCol w:w="3074"/>
        <w:gridCol w:w="4277"/>
      </w:tblGrid>
      <w:tr w:rsidR="00984859" w:rsidRPr="00984859" w:rsidTr="00984859">
        <w:trPr>
          <w:tblCellSpacing w:w="0" w:type="dxa"/>
        </w:trPr>
        <w:tc>
          <w:tcPr>
            <w:tcW w:w="72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i/>
                <w:iCs/>
                <w:lang w:eastAsia="sr-Latn-RS"/>
              </w:rPr>
              <w:t>log p</w:t>
            </w:r>
            <w:r w:rsidRPr="00984859">
              <w:rPr>
                <w:rFonts w:ascii="Arial" w:eastAsia="Times New Roman" w:hAnsi="Arial" w:cs="Arial"/>
                <w:b/>
                <w:bCs/>
                <w:lang w:eastAsia="sr-Latn-RS"/>
              </w:rPr>
              <w:t xml:space="preserve"> = </w:t>
            </w:r>
          </w:p>
        </w:tc>
        <w:tc>
          <w:tcPr>
            <w:tcW w:w="1380" w:type="dxa"/>
            <w:tcBorders>
              <w:top w:val="single" w:sz="2" w:space="0" w:color="000000"/>
              <w:left w:val="single" w:sz="2" w:space="0" w:color="000000"/>
              <w:bottom w:val="single" w:sz="6" w:space="0" w:color="000000"/>
              <w:right w:val="single" w:sz="2" w:space="0" w:color="000000"/>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b/>
                <w:bCs/>
                <w:sz w:val="20"/>
                <w:szCs w:val="20"/>
                <w:lang w:eastAsia="sr-Latn-RS"/>
              </w:rPr>
              <w:t></w:t>
            </w:r>
            <w:r w:rsidRPr="00984859">
              <w:rPr>
                <w:rFonts w:ascii="Arial" w:eastAsia="Times New Roman" w:hAnsi="Arial" w:cs="Arial"/>
                <w:b/>
                <w:bCs/>
                <w:lang w:eastAsia="sr-Latn-RS"/>
              </w:rPr>
              <w:t>H</w:t>
            </w:r>
            <w:r w:rsidRPr="00984859">
              <w:rPr>
                <w:rFonts w:ascii="Arial" w:eastAsia="Times New Roman" w:hAnsi="Arial" w:cs="Arial"/>
                <w:b/>
                <w:bCs/>
                <w:sz w:val="15"/>
                <w:szCs w:val="15"/>
                <w:vertAlign w:val="subscript"/>
                <w:lang w:eastAsia="sr-Latn-RS"/>
              </w:rPr>
              <w:t>v</w:t>
            </w:r>
          </w:p>
        </w:tc>
        <w:tc>
          <w:tcPr>
            <w:tcW w:w="510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 </w:t>
            </w:r>
            <w:r w:rsidRPr="00984859">
              <w:rPr>
                <w:rFonts w:ascii="Arial" w:eastAsia="Times New Roman" w:hAnsi="Arial" w:cs="Arial"/>
                <w:b/>
                <w:bCs/>
                <w:i/>
                <w:iCs/>
                <w:lang w:eastAsia="sr-Latn-RS"/>
              </w:rPr>
              <w:t>konst.</w:t>
            </w:r>
          </w:p>
        </w:tc>
        <w:tc>
          <w:tcPr>
            <w:tcW w:w="7860" w:type="dxa"/>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13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b/>
                <w:bCs/>
                <w:lang w:eastAsia="sr-Latn-RS"/>
              </w:rPr>
              <w:t xml:space="preserve">2,3RT </w:t>
            </w:r>
          </w:p>
        </w:tc>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p</w:t>
      </w:r>
      <w:r w:rsidRPr="00984859">
        <w:rPr>
          <w:rFonts w:ascii="Arial" w:eastAsia="Times New Roman" w:hAnsi="Arial" w:cs="Arial"/>
          <w:lang w:eastAsia="sr-Latn-RS"/>
        </w:rPr>
        <w:t xml:space="preserve"> jeste napon pare u paskalima;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ΔHv jeste toplota isparavanja u J mol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 jeste univerzalna gasna konstanta koja iznosi 8,314 J mol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K</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temperatura u 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Nije potrebno koristiti referentne supstance. One prvenstveno služe za povremenu proveru učinka metode i omogućavaju poređenje sa rezultatima dobijenim drugim metodama.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Dinamička metoda (Kotrelova metoda)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1.5.1.1.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Napon pare određuje se merenjem temperature ključanja supstance pri različitim zadatim pritiscima između oko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Pa i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Ova metoda preporučuje se i za određivanje temperature ključanja. U tu svrhu se koristi do temperature od 600 K. Temperatura ključanja tečnosti je za približno 0,1 °C viša na dubini od 3 cm do 4 cm nego na površini zbog hidrostatičkog pritiska tečnosti u koloni. Kod Kotrelove metode</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termometar se nalazi u pari iznad površine tečnosti, a tečnost koja ključa neprekidno se pumpa preko glave termometra. Glava termometra prekriva se tankim slojem tečnosti koja je u ravnoteži sa parom pri atmosferskom pritisku. Termometar tako pokazuje stvarnu tačku ključanja bez grešaka usled pregrevanja ili hidrostatičkog pritiska. Originalna Kotrel pumpa prikazana je na Slici 1. koja je data u ovoj metodi. Cev A sadrži tečnost koja ključa. Platinasta žica B utisnuta u dno omogućava ravnomerno ključanje. Bočna cevčica C vodi do kondenzatora, dok poklopac D onemogućava da hladni kondenzat dođe do termometra E. Kad tečnost u cevi A ključa, mehurići i tečnost koji dospeju u levak prolaze kroz dva kraka pumpe F i prelivaju se preko glave termometra.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899"/>
        <w:gridCol w:w="5213"/>
      </w:tblGrid>
      <w:tr w:rsidR="00984859" w:rsidRPr="00984859" w:rsidTr="00984859">
        <w:trPr>
          <w:tblCellSpacing w:w="0" w:type="dxa"/>
        </w:trPr>
        <w:tc>
          <w:tcPr>
            <w:tcW w:w="532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1. </w:t>
            </w:r>
          </w:p>
        </w:tc>
        <w:tc>
          <w:tcPr>
            <w:tcW w:w="56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2. </w:t>
            </w:r>
          </w:p>
        </w:tc>
      </w:tr>
      <w:tr w:rsidR="00984859" w:rsidRPr="00984859" w:rsidTr="00984859">
        <w:trPr>
          <w:tblCellSpacing w:w="0" w:type="dxa"/>
        </w:trPr>
        <w:tc>
          <w:tcPr>
            <w:tcW w:w="532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36B81D53" wp14:editId="5049D9F6">
                  <wp:extent cx="1914525" cy="4371975"/>
                  <wp:effectExtent l="0" t="0" r="9525" b="9525"/>
                  <wp:docPr id="55" name="Picture 55" descr="C:\Program Files (x86)\ParagrafLex\browser\Files\Old\t\t2013_12\t12_0570_s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ParagrafLex\browser\Files\Old\t\t2013_12\t12_0570_s00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4371975"/>
                          </a:xfrm>
                          <a:prstGeom prst="rect">
                            <a:avLst/>
                          </a:prstGeom>
                          <a:noFill/>
                          <a:ln>
                            <a:noFill/>
                          </a:ln>
                        </pic:spPr>
                      </pic:pic>
                    </a:graphicData>
                  </a:graphic>
                </wp:inline>
              </w:drawing>
            </w:r>
          </w:p>
        </w:tc>
        <w:tc>
          <w:tcPr>
            <w:tcW w:w="56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3C3B7FEB" wp14:editId="51A73422">
                  <wp:extent cx="3114675" cy="4743450"/>
                  <wp:effectExtent l="0" t="0" r="9525" b="0"/>
                  <wp:docPr id="54" name="Picture 54" descr="C:\Program Files (x86)\ParagrafLex\browser\Files\Old\t\t2013_12\t12_0570_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ParagrafLex\browser\Files\Old\t\t2013_12\t12_0570_s00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4743450"/>
                          </a:xfrm>
                          <a:prstGeom prst="rect">
                            <a:avLst/>
                          </a:prstGeom>
                          <a:noFill/>
                          <a:ln>
                            <a:noFill/>
                          </a:ln>
                        </pic:spPr>
                      </pic:pic>
                    </a:graphicData>
                  </a:graphic>
                </wp:inline>
              </w:drawing>
            </w:r>
          </w:p>
        </w:tc>
      </w:tr>
      <w:tr w:rsidR="00984859" w:rsidRPr="00984859" w:rsidTr="00984859">
        <w:trPr>
          <w:tblCellSpacing w:w="0" w:type="dxa"/>
        </w:trPr>
        <w:tc>
          <w:tcPr>
            <w:tcW w:w="532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Kotrelova pumpa (4) </w:t>
            </w:r>
          </w:p>
        </w:tc>
        <w:tc>
          <w:tcPr>
            <w:tcW w:w="565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 Termopar</w:t>
      </w:r>
      <w:r w:rsidRPr="00984859">
        <w:rPr>
          <w:rFonts w:ascii="Arial" w:eastAsia="Times New Roman" w:hAnsi="Arial" w:cs="Arial"/>
          <w:lang w:eastAsia="sr-Latn-RS"/>
        </w:rPr>
        <w:br/>
        <w:t>B: Vakuumska puferska zapremina</w:t>
      </w:r>
      <w:r w:rsidRPr="00984859">
        <w:rPr>
          <w:rFonts w:ascii="Arial" w:eastAsia="Times New Roman" w:hAnsi="Arial" w:cs="Arial"/>
          <w:lang w:eastAsia="sr-Latn-RS"/>
        </w:rPr>
        <w:br/>
        <w:t>C: merač pritiska</w:t>
      </w:r>
      <w:r w:rsidRPr="00984859">
        <w:rPr>
          <w:rFonts w:ascii="Arial" w:eastAsia="Times New Roman" w:hAnsi="Arial" w:cs="Arial"/>
          <w:lang w:eastAsia="sr-Latn-RS"/>
        </w:rPr>
        <w:br/>
        <w:t>D: Vakuum</w:t>
      </w:r>
      <w:r w:rsidRPr="00984859">
        <w:rPr>
          <w:rFonts w:ascii="Arial" w:eastAsia="Times New Roman" w:hAnsi="Arial" w:cs="Arial"/>
          <w:lang w:eastAsia="sr-Latn-RS"/>
        </w:rPr>
        <w:br/>
        <w:t>E: Merna tačka</w:t>
      </w:r>
      <w:r w:rsidRPr="00984859">
        <w:rPr>
          <w:rFonts w:ascii="Arial" w:eastAsia="Times New Roman" w:hAnsi="Arial" w:cs="Arial"/>
          <w:lang w:eastAsia="sr-Latn-RS"/>
        </w:rPr>
        <w:br/>
        <w:t xml:space="preserve">F: Grejni element oko 150 W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1.5.1.2.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Slici 2. koja je data u ovoj metodi prikazana je aparatura koja radi prema Kotrelovom principu. Sastoji se od cevi sa prostorom za ključanje u donjem delu, hladnjakom u srednjem delu i ispustom i prirubnicom u gornjem delu. Kotrelova pumpa smeštena je u prostoru za ključanje, koji se zagreva električnim grejačem. Temperatura se meri termoparom ili otpornim termometrom, koji se umeće kroz prirubnicu na vrhu. Ispust je spojen na sistem regulacije pritiska. Ovaj poslednji sastoji se od vakuumske pumpe, puferske zapremine, manostata za podešavanje dotoka azota za regulaciju pritiska i manometra.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1.5.1.3. Postupak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se stavlja u prostor za ključanje. Problemi se mogu javiti u slučaju kad čvrste supstance nisu praškaste, ali to je nekad moguće rešiti zagrevanjem obloge hladnjaka. Aparat se pečati kod prirubnice i iz supstance se izvlači vazduh. Ovom metodom ne mogu se meriti supstance koje pene.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Zatim se podešava najniži željeni pritisak i uključuje zagrevanje. Istovremeno se temperaturni senzor priključuje na štampač.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Ravnoteža se postiže kada se pri stalnom pritisku beleži stalna temperatura ključanja. Posebno se vodi računa da se izbegne burno ključanje. Na hladnjaku dolazi do potpune kondenzacije. Kod određivanja pritiska pare čvrstih supstanci s niskom tačkom topljenja vodi se računa da ne dođe do začepljenja kondenzatora.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zabeleži tačka ravnoteže, podešava se viši pritisak. Postupak se nastavlja na isti način dok se ne dođe do 105 Pa (ukupno oko 5 do 10 mernih tačaka). Radi provere, potrebno je ponavljati tačke ravnoteže pri opadajućem pritisku.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Statička metoda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statičke metode</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napon pare u termodinamičkoj ravnoteži određuje se pri zadatoj temperaturi. Ova metoda pogodna je za supstance i za višekomponentne tečnosti i čvrste materijale u rasponu od 10</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Pa do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a uz poseban oprez, i u rasponu od 1 Pa do 10 Pa.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1.5.2.2.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Uređaj se sastoji od kupatila sa stalnom temperaturom (preciznost ± 0,2 K), posude za uzorak spojene sa vakuumskom cevi, manometra i sistema za regulaciju pritiska. Komora sa uzorkom (Slika 3a koja je data u ovoj metodi) povezana je sa vakuumskom cevi preko ventila i diferencijalnog manometra (</w:t>
      </w:r>
      <w:r w:rsidRPr="00984859">
        <w:rPr>
          <w:rFonts w:ascii="Arial" w:eastAsia="Times New Roman" w:hAnsi="Arial" w:cs="Arial"/>
          <w:i/>
          <w:iCs/>
          <w:lang w:eastAsia="sr-Latn-RS"/>
        </w:rPr>
        <w:t>U</w:t>
      </w:r>
      <w:r w:rsidRPr="00984859">
        <w:rPr>
          <w:rFonts w:ascii="Arial" w:eastAsia="Times New Roman" w:hAnsi="Arial" w:cs="Arial"/>
          <w:lang w:eastAsia="sr-Latn-RS"/>
        </w:rPr>
        <w:t>-cev koja sadrži odgovarajuću manometarsku tečnost) koji služi kao nulti pokazatelj. U manometru se mogu koristiti živa, silikoni i ftalati, zavisno od raspona pritiska i hemijskih svojstava ispitivane supstance. Upotreba žive se izbegava kad god je to moguće imajući u vidu njenu štetnost po životnu sredinu. Ispitivana supstanca se ne sme primetno rastvarati u tečnosti</w:t>
      </w:r>
      <w:r w:rsidRPr="00984859">
        <w:rPr>
          <w:rFonts w:ascii="Arial" w:eastAsia="Times New Roman" w:hAnsi="Arial" w:cs="Arial"/>
          <w:i/>
          <w:iCs/>
          <w:lang w:eastAsia="sr-Latn-RS"/>
        </w:rPr>
        <w:t xml:space="preserve"> U</w:t>
      </w:r>
      <w:r w:rsidRPr="00984859">
        <w:rPr>
          <w:rFonts w:ascii="Arial" w:eastAsia="Times New Roman" w:hAnsi="Arial" w:cs="Arial"/>
          <w:lang w:eastAsia="sr-Latn-RS"/>
        </w:rPr>
        <w:t xml:space="preserve">-cevi niti sa njom reagovati. Umesto </w:t>
      </w:r>
      <w:r w:rsidRPr="00984859">
        <w:rPr>
          <w:rFonts w:ascii="Arial" w:eastAsia="Times New Roman" w:hAnsi="Arial" w:cs="Arial"/>
          <w:i/>
          <w:iCs/>
          <w:lang w:eastAsia="sr-Latn-RS"/>
        </w:rPr>
        <w:t>U</w:t>
      </w:r>
      <w:r w:rsidRPr="00984859">
        <w:rPr>
          <w:rFonts w:ascii="Arial" w:eastAsia="Times New Roman" w:hAnsi="Arial" w:cs="Arial"/>
          <w:lang w:eastAsia="sr-Latn-RS"/>
        </w:rPr>
        <w:t>-cevi koristi se manometar (Slika 3b koja je data u ovoj metodi). Živa se u manometru koristi u rasponu od normalnog pritiska do 10</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Pa, dok su silikonske tečnosti i ftalati pogodni za pritiske ispod 10</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Pa do 10 Pa. Postoje i drugi merači pritiska koji se mogu koristiti ispod 10</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Pa, a manometri sa membranom pogodni za zagrevanje mogu se koristiti čak i ispod 10</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Pa. Temperatura se meri na spoljnom zidu posude sa uzorkom ili u samoj posudi.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1.5.2.3. Postupak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Koristeći aparat prikazan na Slici 3a, </w:t>
      </w:r>
      <w:r w:rsidRPr="00984859">
        <w:rPr>
          <w:rFonts w:ascii="Arial" w:eastAsia="Times New Roman" w:hAnsi="Arial" w:cs="Arial"/>
          <w:i/>
          <w:iCs/>
          <w:lang w:eastAsia="sr-Latn-RS"/>
        </w:rPr>
        <w:t>U</w:t>
      </w:r>
      <w:r w:rsidRPr="00984859">
        <w:rPr>
          <w:rFonts w:ascii="Arial" w:eastAsia="Times New Roman" w:hAnsi="Arial" w:cs="Arial"/>
          <w:lang w:eastAsia="sr-Latn-RS"/>
        </w:rPr>
        <w:t xml:space="preserve">-cev se napuni odabranom tečnošću iz koje je pre očitavanja potrebno odstraniti gasove na povišenoj temperaturi. Ispitivana supstanca stavi se u aparaturu i iz nje se izvuče vazduh na sniženoj temperaturi. U slučaju višekomponentnih uzoraka temperatura treba da bude dovoljno niska da ne dođe do promene sastava materijala. Uspostavljanje ravnoteže ubrzava se mešanjem. Uzorak se hladi tečnim azotom ili suvim ledom, ali se pazi da ne dođe do kondenzacije vazduha ili tečnosti u pumpi. Otvori se ventil iznad posude s uzorkom i nekoliko minuta vrši vakumiranje kako bi se uklonio vazduh. Postupak izvlačenja vazduha se, prema potrebi, ponavlja više puta.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629"/>
        <w:gridCol w:w="4483"/>
      </w:tblGrid>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3a </w:t>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3b </w:t>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1687ED6C" wp14:editId="77ABFF61">
                  <wp:extent cx="2457450" cy="4267200"/>
                  <wp:effectExtent l="0" t="0" r="0" b="0"/>
                  <wp:docPr id="53" name="Picture 53" descr="C:\Program Files (x86)\ParagrafLex\browser\Files\Old\t\t2013_12\t12_0570_s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ParagrafLex\browser\Files\Old\t\t2013_12\t12_0570_s00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4267200"/>
                          </a:xfrm>
                          <a:prstGeom prst="rect">
                            <a:avLst/>
                          </a:prstGeom>
                          <a:noFill/>
                          <a:ln>
                            <a:noFill/>
                          </a:ln>
                        </pic:spPr>
                      </pic:pic>
                    </a:graphicData>
                  </a:graphic>
                </wp:inline>
              </w:drawing>
            </w:r>
          </w:p>
        </w:tc>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1C712074" wp14:editId="3AF6D17E">
                  <wp:extent cx="2286000" cy="4181475"/>
                  <wp:effectExtent l="0" t="0" r="0" b="9525"/>
                  <wp:docPr id="52" name="Picture 52" descr="C:\Program Files (x86)\ParagrafLex\browser\Files\Old\t\t2013_12\t12_0570_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ParagrafLex\browser\Files\Old\t\t2013_12\t12_0570_s01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4181475"/>
                          </a:xfrm>
                          <a:prstGeom prst="rect">
                            <a:avLst/>
                          </a:prstGeom>
                          <a:noFill/>
                          <a:ln>
                            <a:noFill/>
                          </a:ln>
                        </pic:spPr>
                      </pic:pic>
                    </a:graphicData>
                  </a:graphic>
                </wp:inline>
              </w:drawing>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Ispitivana supstanca</w:t>
            </w:r>
            <w:r w:rsidRPr="00984859">
              <w:rPr>
                <w:rFonts w:ascii="Arial" w:eastAsia="Times New Roman" w:hAnsi="Arial" w:cs="Arial"/>
                <w:lang w:eastAsia="sr-Latn-RS"/>
              </w:rPr>
              <w:br/>
              <w:t>2: Parna faza</w:t>
            </w:r>
            <w:r w:rsidRPr="00984859">
              <w:rPr>
                <w:rFonts w:ascii="Arial" w:eastAsia="Times New Roman" w:hAnsi="Arial" w:cs="Arial"/>
                <w:lang w:eastAsia="sr-Latn-RS"/>
              </w:rPr>
              <w:br/>
              <w:t>3: Visokovakuumski ventil</w:t>
            </w:r>
            <w:r w:rsidRPr="00984859">
              <w:rPr>
                <w:rFonts w:ascii="Arial" w:eastAsia="Times New Roman" w:hAnsi="Arial" w:cs="Arial"/>
                <w:lang w:eastAsia="sr-Latn-RS"/>
              </w:rPr>
              <w:br/>
              <w:t>4: U-cev (pomoćni manometar)</w:t>
            </w:r>
            <w:r w:rsidRPr="00984859">
              <w:rPr>
                <w:rFonts w:ascii="Arial" w:eastAsia="Times New Roman" w:hAnsi="Arial" w:cs="Arial"/>
                <w:lang w:eastAsia="sr-Latn-RS"/>
              </w:rPr>
              <w:br/>
              <w:t>5: Manometar</w:t>
            </w:r>
            <w:r w:rsidRPr="00984859">
              <w:rPr>
                <w:rFonts w:ascii="Arial" w:eastAsia="Times New Roman" w:hAnsi="Arial" w:cs="Arial"/>
                <w:lang w:eastAsia="sr-Latn-RS"/>
              </w:rPr>
              <w:br/>
              <w:t>6: Termostatsko kupatilo</w:t>
            </w:r>
            <w:r w:rsidRPr="00984859">
              <w:rPr>
                <w:rFonts w:ascii="Arial" w:eastAsia="Times New Roman" w:hAnsi="Arial" w:cs="Arial"/>
                <w:lang w:eastAsia="sr-Latn-RS"/>
              </w:rPr>
              <w:br/>
              <w:t>7: Uređaj za merenje temperature</w:t>
            </w:r>
            <w:r w:rsidRPr="00984859">
              <w:rPr>
                <w:rFonts w:ascii="Arial" w:eastAsia="Times New Roman" w:hAnsi="Arial" w:cs="Arial"/>
                <w:lang w:eastAsia="sr-Latn-RS"/>
              </w:rPr>
              <w:br/>
              <w:t>8: Vod do vakuumske pumpe</w:t>
            </w:r>
            <w:r w:rsidRPr="00984859">
              <w:rPr>
                <w:rFonts w:ascii="Arial" w:eastAsia="Times New Roman" w:hAnsi="Arial" w:cs="Arial"/>
                <w:lang w:eastAsia="sr-Latn-RS"/>
              </w:rPr>
              <w:br/>
              <w:t xml:space="preserve">9: Ventilacija/azot </w:t>
            </w:r>
          </w:p>
        </w:tc>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Ispitivana supstanca</w:t>
            </w:r>
            <w:r w:rsidRPr="00984859">
              <w:rPr>
                <w:rFonts w:ascii="Arial" w:eastAsia="Times New Roman" w:hAnsi="Arial" w:cs="Arial"/>
                <w:lang w:eastAsia="sr-Latn-RS"/>
              </w:rPr>
              <w:br/>
              <w:t>2: Parna faza</w:t>
            </w:r>
            <w:r w:rsidRPr="00984859">
              <w:rPr>
                <w:rFonts w:ascii="Arial" w:eastAsia="Times New Roman" w:hAnsi="Arial" w:cs="Arial"/>
                <w:lang w:eastAsia="sr-Latn-RS"/>
              </w:rPr>
              <w:br/>
              <w:t>3: Visokovakuumski ventil</w:t>
            </w:r>
            <w:r w:rsidRPr="00984859">
              <w:rPr>
                <w:rFonts w:ascii="Arial" w:eastAsia="Times New Roman" w:hAnsi="Arial" w:cs="Arial"/>
                <w:lang w:eastAsia="sr-Latn-RS"/>
              </w:rPr>
              <w:br/>
              <w:t>4: Manometar</w:t>
            </w:r>
            <w:r w:rsidRPr="00984859">
              <w:rPr>
                <w:rFonts w:ascii="Arial" w:eastAsia="Times New Roman" w:hAnsi="Arial" w:cs="Arial"/>
                <w:lang w:eastAsia="sr-Latn-RS"/>
              </w:rPr>
              <w:br/>
              <w:t>5: Pokazivač pritiska</w:t>
            </w:r>
            <w:r w:rsidRPr="00984859">
              <w:rPr>
                <w:rFonts w:ascii="Arial" w:eastAsia="Times New Roman" w:hAnsi="Arial" w:cs="Arial"/>
                <w:lang w:eastAsia="sr-Latn-RS"/>
              </w:rPr>
              <w:br/>
              <w:t>6: Termostatsko kupatilo</w:t>
            </w:r>
            <w:r w:rsidRPr="00984859">
              <w:rPr>
                <w:rFonts w:ascii="Arial" w:eastAsia="Times New Roman" w:hAnsi="Arial" w:cs="Arial"/>
                <w:lang w:eastAsia="sr-Latn-RS"/>
              </w:rPr>
              <w:br/>
              <w:t xml:space="preserve">7: Uređaj za merenje temperature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uzorak zagreva sa zatvorenim ventilom, napon pare se povećava. Time se menja ravnoteža tečnosti u </w:t>
      </w:r>
      <w:r w:rsidRPr="00984859">
        <w:rPr>
          <w:rFonts w:ascii="Arial" w:eastAsia="Times New Roman" w:hAnsi="Arial" w:cs="Arial"/>
          <w:i/>
          <w:iCs/>
          <w:lang w:eastAsia="sr-Latn-RS"/>
        </w:rPr>
        <w:t>U</w:t>
      </w:r>
      <w:r w:rsidRPr="00984859">
        <w:rPr>
          <w:rFonts w:ascii="Arial" w:eastAsia="Times New Roman" w:hAnsi="Arial" w:cs="Arial"/>
          <w:lang w:eastAsia="sr-Latn-RS"/>
        </w:rPr>
        <w:t xml:space="preserve">-cevi. Da bi se povratila ravnoteža, u aparaturu se dovodi azot ili vazduh dok se indikator diferencijalnog pritiska ne vrati na nulu. Pritisak koji je za to potreban očitava se na preciznom manometru. Taj pritisak odgovara naponu pare supstance na temperaturi merenja. Ako se koristi aparatura opisana na Slici 3b, napon pare se direktno očitava.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Napon pare se određuje u odgovarajuće malim temperaturnim intervalima (ukupno oko 5 do 10 mernih tačaka) do željene maksimalne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Radi provere, ponavljaju se očitavanja na niskim temperaturama. Ako se vrednosti dobijene pri ponovljenim očitavanjima ne podudaraju sa krivom za rastuću temperaturu, mogući razlozi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u uzorku još ima vazduha (npr. u slučaju jako viskoznih materijala) ili supstanci sa niskom tačkom ključanja koji se oslobađaju prilikom zagrevanja;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supstanca hemijski reaguje u temperaturnom opsegu koje se ispituje (npr. razlaganje, polimerizacija).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Izotenzioskop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Izotenzioskop</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se zasniva na principu statičke metode. Ova metoda podrazumeva stavljanje uzorka u balon koji se održava na stalnoj temperaturi i koji je spojen na manometar i vakuumsku pumpu. Nečistoće koje su isparljivije od ispitivane supstance uklanjaju se vakumiranjem vazduha na smanjenom pritisku. Napon pare uzorka pri odabranim temperaturama izjednačava se s poznatim pritiskom inertnog gasa. Izotenzioskop je prvobitno izrađen za merenje napona pare nekih tečnih ugljovodonika, ali je pogodan i za ispitivanje čvrstih supstanci. Metoda po pravilu nije pogodna za višekomponentne sisteme. Male greške u rezultatima moguće su kod uzoraka koji sadrže neisparljive nečistoće. Preporučeni raspon je od 10</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Pa do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1.5.3.2.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Primer mernog uređaja prikazan je na Slici 4. koja je data u ovoj metodi. Detaljan opis dat je u literaturi</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1.5.3.3. Postupak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ispituju tečnosti, sama supstanca služi kao tečnost pomoćnog manometra. U izotenzioskop stavi se količina tečnosti koja je potrebna da se napuni balon i kraći krak manometra. Izotenzioskop se spaja na vakuumski sistem kako bi se uklonio vazduh, a zatim se napuni azotom. Uklanjanje i ispiranje sistema ponavlja se dva puta kako bi se uklonio preostali kiseonik. Izotenzioskop se postavlja u vodoravan položaj tako da se uzorak u tankom sloju raširi po balonu i manometru. Pritisak sistema smanji se na 133 Pa i uzorak polako zagreva do ključanja (uklanjanje rastvorenih gasova). Izotenzioskop se zatim položi tako da se uzorak vrati u balon i napuni kraći krak manometra. Pritisak se održava na 133 Pa. Izduženi vrh balona s uzorkom zagreva se na malom plamenu dok se para koja se oslobađa iz uzorka ne raširi dovoljno da potisne deo uzorka iz gornjeg dela balona i kraka manometra u manometar, stvarajući prostor ispunjen parom u kome nema azota. Izotenzioskop se zatim stavlja u kupatilo sa stalnom temperaturom i pritisak azota podešava dok se ne izjednači s pritiskom pare uzorka. U ravnoteži je pritisak azota jednak pritisku pare supstance.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112"/>
      </w:tblGrid>
      <w:tr w:rsidR="00984859" w:rsidRPr="00984859" w:rsidTr="00984859">
        <w:trPr>
          <w:tblCellSpacing w:w="0" w:type="dxa"/>
        </w:trPr>
        <w:tc>
          <w:tcPr>
            <w:tcW w:w="886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4. </w:t>
            </w:r>
          </w:p>
        </w:tc>
      </w:tr>
      <w:tr w:rsidR="00984859" w:rsidRPr="00984859" w:rsidTr="00984859">
        <w:trPr>
          <w:tblCellSpacing w:w="0" w:type="dxa"/>
        </w:trPr>
        <w:tc>
          <w:tcPr>
            <w:tcW w:w="8865" w:type="dxa"/>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147"/>
              <w:gridCol w:w="3919"/>
            </w:tblGrid>
            <w:tr w:rsidR="00984859" w:rsidRPr="00984859">
              <w:trPr>
                <w:tblCellSpacing w:w="0" w:type="dxa"/>
              </w:trPr>
              <w:tc>
                <w:tcPr>
                  <w:tcW w:w="490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29CF8FF6" wp14:editId="1AD2AB42">
                        <wp:extent cx="2971800" cy="3314700"/>
                        <wp:effectExtent l="0" t="0" r="0" b="0"/>
                        <wp:docPr id="51" name="Picture 51" descr="C:\Program Files (x86)\ParagrafLex\browser\Files\Old\t\t2013_12\t12_0570_s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ParagrafLex\browser\Files\Old\t\t2013_12\t12_0570_s01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314700"/>
                                </a:xfrm>
                                <a:prstGeom prst="rect">
                                  <a:avLst/>
                                </a:prstGeom>
                                <a:noFill/>
                                <a:ln>
                                  <a:noFill/>
                                </a:ln>
                              </pic:spPr>
                            </pic:pic>
                          </a:graphicData>
                        </a:graphic>
                      </wp:inline>
                    </w:drawing>
                  </w:r>
                </w:p>
              </w:tc>
              <w:tc>
                <w:tcPr>
                  <w:tcW w:w="373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 Regulacija pritiska</w:t>
                  </w:r>
                  <w:r w:rsidRPr="00984859">
                    <w:rPr>
                      <w:rFonts w:ascii="Arial" w:eastAsia="Times New Roman" w:hAnsi="Arial" w:cs="Arial"/>
                      <w:lang w:eastAsia="sr-Latn-RS"/>
                    </w:rPr>
                    <w:br/>
                    <w:t>B: Cev spoljnog prečnika 8 mm</w:t>
                  </w:r>
                  <w:r w:rsidRPr="00984859">
                    <w:rPr>
                      <w:rFonts w:ascii="Arial" w:eastAsia="Times New Roman" w:hAnsi="Arial" w:cs="Arial"/>
                      <w:lang w:eastAsia="sr-Latn-RS"/>
                    </w:rPr>
                    <w:br/>
                    <w:t>C: Suvi azot u potisnom sistemu</w:t>
                  </w:r>
                  <w:r w:rsidRPr="00984859">
                    <w:rPr>
                      <w:rFonts w:ascii="Arial" w:eastAsia="Times New Roman" w:hAnsi="Arial" w:cs="Arial"/>
                      <w:lang w:eastAsia="sr-Latn-RS"/>
                    </w:rPr>
                    <w:br/>
                    <w:t>D: Para uzorka</w:t>
                  </w:r>
                  <w:r w:rsidRPr="00984859">
                    <w:rPr>
                      <w:rFonts w:ascii="Arial" w:eastAsia="Times New Roman" w:hAnsi="Arial" w:cs="Arial"/>
                      <w:lang w:eastAsia="sr-Latn-RS"/>
                    </w:rPr>
                    <w:br/>
                    <w:t>E: Vršak</w:t>
                  </w:r>
                  <w:r w:rsidRPr="00984859">
                    <w:rPr>
                      <w:rFonts w:ascii="Arial" w:eastAsia="Times New Roman" w:hAnsi="Arial" w:cs="Arial"/>
                      <w:lang w:eastAsia="sr-Latn-RS"/>
                    </w:rPr>
                    <w:br/>
                    <w:t xml:space="preserve">F: Tečni uzorak </w:t>
                  </w: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886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(Dimenzije u mm)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čvrstih supstanci, zavisno od opsega pritiska i temperature, koriste se manometarske tečnosti kao što su silikonske tečnosti ili ftalati. Manometarska tečnost iz koje je izvučen vazduh stavlja se u proširenje na dužem kraku izotenzioskopa. Nakon toga čvrsta supstanca koja se ispituje stavlja se u balon za uzorak i iz nje se izvlači vazduh na povišenoj temperaturi. Izotenzioskop se zatim nagne tako da manometarska tečnost otiče u </w:t>
      </w:r>
      <w:r w:rsidRPr="00984859">
        <w:rPr>
          <w:rFonts w:ascii="Arial" w:eastAsia="Times New Roman" w:hAnsi="Arial" w:cs="Arial"/>
          <w:i/>
          <w:iCs/>
          <w:lang w:eastAsia="sr-Latn-RS"/>
        </w:rPr>
        <w:t>U</w:t>
      </w:r>
      <w:r w:rsidRPr="00984859">
        <w:rPr>
          <w:rFonts w:ascii="Arial" w:eastAsia="Times New Roman" w:hAnsi="Arial" w:cs="Arial"/>
          <w:lang w:eastAsia="sr-Latn-RS"/>
        </w:rPr>
        <w:t xml:space="preserve">-cev.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1.5.4. Metoda efuzije: merenje napona pare</w:t>
      </w:r>
      <w:r w:rsidRPr="00984859">
        <w:rPr>
          <w:rFonts w:ascii="Arial" w:eastAsia="Times New Roman" w:hAnsi="Arial" w:cs="Arial"/>
          <w:b/>
          <w:bCs/>
          <w:sz w:val="15"/>
          <w:szCs w:val="15"/>
          <w:vertAlign w:val="superscript"/>
          <w:lang w:eastAsia="sr-Latn-RS"/>
        </w:rPr>
        <w:t>7</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1.5.4.1.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Uzorak ispitivane supstance zagreje se u maloj peći i stavi u zvono pod vakumom. Peć se prekrije poklopcem na kome se nalaze rupice poznatog prečnika. Para supstance koja izlazi kroz jednu od rupica udara o tas vrlo osetljive vage, koja je takođe smeštena u zvonu. Kod nekih konstrukcija tas vage je umetnut u kućište za hlađenje, koje procesom vođenja toplote obezbeđuje rasipanje toplote prema spoljnoj sredini, i hladi se isijavanjem, tako da se izlazeća para na njoj kondenzuje. Moment mlaza pare deluje kao sila na vagu. Napon pare se određuje na dva načina: direktno iz sile koja udara o tas vage ili iz brzine isparavanja pomoću Herc-Knudsenove jednačine</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1F00C31E" wp14:editId="7B4A1BF4">
            <wp:extent cx="1809750" cy="628650"/>
            <wp:effectExtent l="0" t="0" r="0" b="0"/>
            <wp:docPr id="50" name="Picture 50" descr="C:\Program Files (x86)\ParagrafLex\browser\Files\Old\t\t2013_12\t12_0570_s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ParagrafLex\browser\Files\Old\t\t2013_12\t12_0570_s01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 jeste brzina isparavanja (kg 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 jeste molarna masa (g mol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temperatura (K);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R jeste univerzalna gasna konstanta (J mol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K</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 jeste napon pare (Pa).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Preporučeni raspon koji se meri ovom metodom je od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Pa do 1 Pa.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1.5.4.2.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za primenu opšteg principa merenja prikazana je na Slici 5. koja je data u ovoj metodi: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656"/>
        <w:gridCol w:w="3613"/>
        <w:gridCol w:w="3843"/>
      </w:tblGrid>
      <w:tr w:rsidR="00984859" w:rsidRPr="00984859" w:rsidTr="00984859">
        <w:trPr>
          <w:tblCellSpacing w:w="0" w:type="dxa"/>
        </w:trPr>
        <w:tc>
          <w:tcPr>
            <w:tcW w:w="0" w:type="auto"/>
            <w:gridSpan w:val="3"/>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5. </w:t>
            </w:r>
          </w:p>
        </w:tc>
      </w:tr>
      <w:tr w:rsidR="00984859" w:rsidRPr="00984859" w:rsidTr="00984859">
        <w:trPr>
          <w:tblCellSpacing w:w="0" w:type="dxa"/>
        </w:trPr>
        <w:tc>
          <w:tcPr>
            <w:tcW w:w="0" w:type="auto"/>
            <w:gridSpan w:val="3"/>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651F5979" wp14:editId="7EB85E21">
                  <wp:extent cx="4133850" cy="2466975"/>
                  <wp:effectExtent l="0" t="0" r="0" b="9525"/>
                  <wp:docPr id="49" name="Picture 49" descr="C:\Program Files (x86)\ParagrafLex\browser\Files\Old\t\t2013_12\t12_0570_s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ParagrafLex\browser\Files\Old\t\t2013_12\t12_0570_s01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2466975"/>
                          </a:xfrm>
                          <a:prstGeom prst="rect">
                            <a:avLst/>
                          </a:prstGeom>
                          <a:noFill/>
                          <a:ln>
                            <a:noFill/>
                          </a:ln>
                        </pic:spPr>
                      </pic:pic>
                    </a:graphicData>
                  </a:graphic>
                </wp:inline>
              </w:drawing>
            </w:r>
          </w:p>
        </w:tc>
      </w:tr>
      <w:tr w:rsidR="00984859" w:rsidRPr="00984859" w:rsidTr="00984859">
        <w:trPr>
          <w:tblCellSpacing w:w="0" w:type="dxa"/>
        </w:trPr>
        <w:tc>
          <w:tcPr>
            <w:tcW w:w="11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500" w:type="pct"/>
            <w:noWrap/>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 Postolje</w:t>
            </w:r>
            <w:r w:rsidRPr="00984859">
              <w:rPr>
                <w:rFonts w:ascii="Arial" w:eastAsia="Times New Roman" w:hAnsi="Arial" w:cs="Arial"/>
                <w:lang w:eastAsia="sr-Latn-RS"/>
              </w:rPr>
              <w:br/>
              <w:t>B: Instrument sa pokretnim kalemom</w:t>
            </w:r>
            <w:r w:rsidRPr="00984859">
              <w:rPr>
                <w:rFonts w:ascii="Arial" w:eastAsia="Times New Roman" w:hAnsi="Arial" w:cs="Arial"/>
                <w:lang w:eastAsia="sr-Latn-RS"/>
              </w:rPr>
              <w:br/>
              <w:t>C: Zvono</w:t>
            </w:r>
            <w:r w:rsidRPr="00984859">
              <w:rPr>
                <w:rFonts w:ascii="Arial" w:eastAsia="Times New Roman" w:hAnsi="Arial" w:cs="Arial"/>
                <w:lang w:eastAsia="sr-Latn-RS"/>
              </w:rPr>
              <w:br/>
              <w:t>D: Vaga sa tasom</w:t>
            </w:r>
            <w:r w:rsidRPr="00984859">
              <w:rPr>
                <w:rFonts w:ascii="Arial" w:eastAsia="Times New Roman" w:hAnsi="Arial" w:cs="Arial"/>
                <w:lang w:eastAsia="sr-Latn-RS"/>
              </w:rPr>
              <w:br/>
              <w:t xml:space="preserve">E: Vakuum pumpa </w:t>
            </w:r>
          </w:p>
        </w:tc>
        <w:tc>
          <w:tcPr>
            <w:tcW w:w="23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 Kućište za hlađenje i šipka za hlađenje</w:t>
            </w:r>
            <w:r w:rsidRPr="00984859">
              <w:rPr>
                <w:rFonts w:ascii="Arial" w:eastAsia="Times New Roman" w:hAnsi="Arial" w:cs="Arial"/>
                <w:lang w:eastAsia="sr-Latn-RS"/>
              </w:rPr>
              <w:br/>
              <w:t>G: Peć za isparavanje</w:t>
            </w:r>
            <w:r w:rsidRPr="00984859">
              <w:rPr>
                <w:rFonts w:ascii="Arial" w:eastAsia="Times New Roman" w:hAnsi="Arial" w:cs="Arial"/>
                <w:lang w:eastAsia="sr-Latn-RS"/>
              </w:rPr>
              <w:br/>
              <w:t>H: Devar posuda sa tečnim azotom</w:t>
            </w:r>
            <w:r w:rsidRPr="00984859">
              <w:rPr>
                <w:rFonts w:ascii="Arial" w:eastAsia="Times New Roman" w:hAnsi="Arial" w:cs="Arial"/>
                <w:lang w:eastAsia="sr-Latn-RS"/>
              </w:rPr>
              <w:br/>
              <w:t>I: Merenje temperature uzorka</w:t>
            </w:r>
            <w:r w:rsidRPr="00984859">
              <w:rPr>
                <w:rFonts w:ascii="Arial" w:eastAsia="Times New Roman" w:hAnsi="Arial" w:cs="Arial"/>
                <w:lang w:eastAsia="sr-Latn-RS"/>
              </w:rPr>
              <w:br/>
              <w:t xml:space="preserve">J: Ispitivana supstanca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1.5.5. Metoda efuzije: Knudsenova ćelija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1.5.5.1.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zasniva se na proceni mase ispitivane supstance koja u obliku pare ističe kroz mikrootvor Knudsenove ćelije</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u jedinici vremena u uslovima visokog vakuuma. Masa pare se dobija određivanjem gubitka mase ćelije ili kondenzacijom pare na niskoj temperaturi i hromatografskim određivanjem količine supstance koja je prešla u paru. Napon pare izračunava se primenom Herc - Knudsenovog odnosa (videti odeljak 1.5.4.1. ove metode) uz faktore korekcije koji zavise od parametara aparata</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Preporučeni opseg je od 10</w:t>
      </w:r>
      <w:r w:rsidRPr="00984859">
        <w:rPr>
          <w:rFonts w:ascii="Arial" w:eastAsia="Times New Roman" w:hAnsi="Arial" w:cs="Arial"/>
          <w:sz w:val="15"/>
          <w:szCs w:val="15"/>
          <w:vertAlign w:val="superscript"/>
          <w:lang w:eastAsia="sr-Latn-RS"/>
        </w:rPr>
        <w:t>-10</w:t>
      </w:r>
      <w:r w:rsidRPr="00984859">
        <w:rPr>
          <w:rFonts w:ascii="Arial" w:eastAsia="Times New Roman" w:hAnsi="Arial" w:cs="Arial"/>
          <w:lang w:eastAsia="sr-Latn-RS"/>
        </w:rPr>
        <w:t xml:space="preserve"> Pa do 1 Pa</w:t>
      </w:r>
      <w:r w:rsidRPr="00984859">
        <w:rPr>
          <w:rFonts w:ascii="Arial" w:eastAsia="Times New Roman" w:hAnsi="Arial" w:cs="Arial"/>
          <w:b/>
          <w:bCs/>
          <w:sz w:val="15"/>
          <w:szCs w:val="15"/>
          <w:vertAlign w:val="superscript"/>
          <w:lang w:eastAsia="sr-Latn-RS"/>
        </w:rPr>
        <w:t>10, 11, 12, 13, 14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1.5.5.2.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za primenu opšteg principa merenja prikazana je na Slici 6. koja je data u ovoj metodi.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76"/>
        <w:gridCol w:w="3007"/>
        <w:gridCol w:w="4829"/>
      </w:tblGrid>
      <w:tr w:rsidR="00984859" w:rsidRPr="00984859" w:rsidTr="00984859">
        <w:trPr>
          <w:tblCellSpacing w:w="0" w:type="dxa"/>
        </w:trPr>
        <w:tc>
          <w:tcPr>
            <w:tcW w:w="0" w:type="auto"/>
            <w:gridSpan w:val="3"/>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6. </w:t>
            </w:r>
          </w:p>
        </w:tc>
      </w:tr>
      <w:tr w:rsidR="00984859" w:rsidRPr="00984859" w:rsidTr="00984859">
        <w:trPr>
          <w:tblCellSpacing w:w="0" w:type="dxa"/>
        </w:trPr>
        <w:tc>
          <w:tcPr>
            <w:tcW w:w="0" w:type="auto"/>
            <w:gridSpan w:val="3"/>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02001CC4" wp14:editId="595C3995">
                  <wp:extent cx="3295650" cy="3886200"/>
                  <wp:effectExtent l="0" t="0" r="0" b="0"/>
                  <wp:docPr id="48" name="Picture 48" descr="C:\Program Files (x86)\ParagrafLex\browser\Files\Old\t\t2013_12\t12_0570_s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ParagrafLex\browser\Files\Old\t\t2013_12\t12_0570_s01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3886200"/>
                          </a:xfrm>
                          <a:prstGeom prst="rect">
                            <a:avLst/>
                          </a:prstGeom>
                          <a:noFill/>
                          <a:ln>
                            <a:noFill/>
                          </a:ln>
                        </pic:spPr>
                      </pic:pic>
                    </a:graphicData>
                  </a:graphic>
                </wp:inline>
              </w:drawing>
            </w:r>
          </w:p>
        </w:tc>
      </w:tr>
      <w:tr w:rsidR="00984859" w:rsidRPr="00984859" w:rsidTr="00984859">
        <w:trPr>
          <w:tblCellSpacing w:w="0" w:type="dxa"/>
        </w:trPr>
        <w:tc>
          <w:tcPr>
            <w:tcW w:w="70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6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Priključak na vakuum</w:t>
            </w:r>
            <w:r w:rsidRPr="00984859">
              <w:rPr>
                <w:rFonts w:ascii="Arial" w:eastAsia="Times New Roman" w:hAnsi="Arial" w:cs="Arial"/>
                <w:lang w:eastAsia="sr-Latn-RS"/>
              </w:rPr>
              <w:br/>
              <w:t>2: Otvori platinastog otporničkog termometra ili merenje i kontrola temperature</w:t>
            </w:r>
            <w:r w:rsidRPr="00984859">
              <w:rPr>
                <w:rFonts w:ascii="Arial" w:eastAsia="Times New Roman" w:hAnsi="Arial" w:cs="Arial"/>
                <w:lang w:eastAsia="sr-Latn-RS"/>
              </w:rPr>
              <w:br/>
              <w:t>3: Poklopac rezervoara za vakuum</w:t>
            </w:r>
            <w:r w:rsidRPr="00984859">
              <w:rPr>
                <w:rFonts w:ascii="Arial" w:eastAsia="Times New Roman" w:hAnsi="Arial" w:cs="Arial"/>
                <w:lang w:eastAsia="sr-Latn-RS"/>
              </w:rPr>
              <w:br/>
              <w:t>4: O-presek</w:t>
            </w:r>
            <w:r w:rsidRPr="00984859">
              <w:rPr>
                <w:rFonts w:ascii="Arial" w:eastAsia="Times New Roman" w:hAnsi="Arial" w:cs="Arial"/>
                <w:lang w:eastAsia="sr-Latn-RS"/>
              </w:rPr>
              <w:br/>
              <w:t xml:space="preserve">5: Aluminijumski rezervoar za vakuum </w:t>
            </w:r>
          </w:p>
        </w:tc>
        <w:tc>
          <w:tcPr>
            <w:tcW w:w="26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6: Uređaj za postavljanje i skidanje efuzijskih ćelija</w:t>
            </w:r>
            <w:r w:rsidRPr="00984859">
              <w:rPr>
                <w:rFonts w:ascii="Arial" w:eastAsia="Times New Roman" w:hAnsi="Arial" w:cs="Arial"/>
                <w:lang w:eastAsia="sr-Latn-RS"/>
              </w:rPr>
              <w:br/>
              <w:t>7: Poklopac sa navojem</w:t>
            </w:r>
            <w:r w:rsidRPr="00984859">
              <w:rPr>
                <w:rFonts w:ascii="Arial" w:eastAsia="Times New Roman" w:hAnsi="Arial" w:cs="Arial"/>
                <w:lang w:eastAsia="sr-Latn-RS"/>
              </w:rPr>
              <w:br/>
              <w:t>8: Leptir matice</w:t>
            </w:r>
            <w:r w:rsidRPr="00984859">
              <w:rPr>
                <w:rFonts w:ascii="Arial" w:eastAsia="Times New Roman" w:hAnsi="Arial" w:cs="Arial"/>
                <w:lang w:eastAsia="sr-Latn-RS"/>
              </w:rPr>
              <w:br/>
              <w:t>9: Vijci</w:t>
            </w:r>
            <w:r w:rsidRPr="00984859">
              <w:rPr>
                <w:rFonts w:ascii="Arial" w:eastAsia="Times New Roman" w:hAnsi="Arial" w:cs="Arial"/>
                <w:lang w:eastAsia="sr-Latn-RS"/>
              </w:rPr>
              <w:br/>
              <w:t>10: Efuzijske ćelije od nerđajućeg čelika</w:t>
            </w:r>
            <w:r w:rsidRPr="00984859">
              <w:rPr>
                <w:rFonts w:ascii="Arial" w:eastAsia="Times New Roman" w:hAnsi="Arial" w:cs="Arial"/>
                <w:lang w:eastAsia="sr-Latn-RS"/>
              </w:rPr>
              <w:br/>
              <w:t xml:space="preserve">11: Kertridž grejača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1.5.6. Metoda efuzije: izotermalna termogravimetrija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1.5.6.1.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zasniva se na određivanju brzina isparavanja ispitivane supstance pri povišenim temperaturama i atmosferskom pritisku primenom termogravimetrije</w:t>
      </w:r>
      <w:r w:rsidRPr="00984859">
        <w:rPr>
          <w:rFonts w:ascii="Arial" w:eastAsia="Times New Roman" w:hAnsi="Arial" w:cs="Arial"/>
          <w:b/>
          <w:bCs/>
          <w:sz w:val="15"/>
          <w:szCs w:val="15"/>
          <w:vertAlign w:val="superscript"/>
          <w:lang w:eastAsia="sr-Latn-RS"/>
        </w:rPr>
        <w:t>10,15,16,17,18,19,20</w:t>
      </w:r>
      <w:r w:rsidRPr="00984859">
        <w:rPr>
          <w:rFonts w:ascii="Arial" w:eastAsia="Times New Roman" w:hAnsi="Arial" w:cs="Arial"/>
          <w:lang w:eastAsia="sr-Latn-RS"/>
        </w:rPr>
        <w:t>. Brzine isparavanja vT dobijaju se izlaganjem odabranog jedinjenja atmosferi spore struje inertnog gasa i praćenjem gubitka mase pri definisanim izotermalnim temperaturama T u stepenima kelvina u odgovarajućim vremenskim periodima. Naponi pare pT izračunavaju se iz vrednosti vT na osnovu linearnog odnosa između logaritma napona pare i logaritma brzine isparavanja. Ako je potrebno, napravi se ekstrapolacija na temperature od 20° C i 25° C regresionom analizom log pT uzavisnosti od 1/T. Ova metoda je pogodna za supstance sa niskim naponom pare čak do 10</w:t>
      </w:r>
      <w:r w:rsidRPr="00984859">
        <w:rPr>
          <w:rFonts w:ascii="Arial" w:eastAsia="Times New Roman" w:hAnsi="Arial" w:cs="Arial"/>
          <w:sz w:val="15"/>
          <w:szCs w:val="15"/>
          <w:vertAlign w:val="superscript"/>
          <w:lang w:eastAsia="sr-Latn-RS"/>
        </w:rPr>
        <w:t>-10</w:t>
      </w:r>
      <w:r w:rsidRPr="00984859">
        <w:rPr>
          <w:rFonts w:ascii="Arial" w:eastAsia="Times New Roman" w:hAnsi="Arial" w:cs="Arial"/>
          <w:lang w:eastAsia="sr-Latn-RS"/>
        </w:rPr>
        <w:t xml:space="preserve"> Pa (10</w:t>
      </w:r>
      <w:r w:rsidRPr="00984859">
        <w:rPr>
          <w:rFonts w:ascii="Arial" w:eastAsia="Times New Roman" w:hAnsi="Arial" w:cs="Arial"/>
          <w:sz w:val="15"/>
          <w:szCs w:val="15"/>
          <w:vertAlign w:val="superscript"/>
          <w:lang w:eastAsia="sr-Latn-RS"/>
        </w:rPr>
        <w:t>-12</w:t>
      </w:r>
      <w:r w:rsidRPr="00984859">
        <w:rPr>
          <w:rFonts w:ascii="Arial" w:eastAsia="Times New Roman" w:hAnsi="Arial" w:cs="Arial"/>
          <w:lang w:eastAsia="sr-Latn-RS"/>
        </w:rPr>
        <w:t xml:space="preserve"> mbar), s tim da čistoća supstanci treba da bude blizu 100% kako bi se izbeglo pogrešno tumačenje izmerenih gubitaka mase.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1.5.6.2.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za primenu opšteg principa merenja prikazana je na Slici 7. koja je data u ovoj metodi.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Slika 7.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4219F3AE" wp14:editId="78A62FED">
            <wp:extent cx="3981450" cy="4610100"/>
            <wp:effectExtent l="0" t="0" r="0" b="0"/>
            <wp:docPr id="47" name="Picture 47" descr="C:\Program Files (x86)\ParagrafLex\browser\Files\Old\t\t2013_12\t12_0570_s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ParagrafLex\browser\Files\Old\t\t2013_12\t12_0570_s01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1450" cy="46101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Preko nosača uzorka okačenog na mikrovagi u komori sa kontrolisanom temperaturom pušta se struja suvog azota koja sa sobom odnosi molekule pare ispitivane supstance. Gasna struja se po izlasku iz komore pročišćava u sorpcijskoj jedinici.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1.5.6.3. Postupak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ravnomerno se nanese u sloju na površinu hrapave staklene ploče. U slučaju čvrstih supstanci ploča se ravnomerno nakvasi rastvorom supstance u odgovarajućem rastvaraču i osuši u inertnoj atmosferi. Kod merenja, ploča sa slojem ispitivane supstance okači se u termogravimetrijski analizator i nakon toga gubitak mase se neprekidno meri u funkciji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Brzina isparavanja v</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pri određenoj temperaturi izračunava se iz gubitka mase Δm ploče sa uzorkom pomoću formule: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20"/>
        <w:gridCol w:w="755"/>
        <w:gridCol w:w="5318"/>
        <w:gridCol w:w="2419"/>
      </w:tblGrid>
      <w:tr w:rsidR="00984859" w:rsidRPr="00984859" w:rsidTr="00984859">
        <w:trPr>
          <w:tblCellSpacing w:w="0" w:type="dxa"/>
        </w:trPr>
        <w:tc>
          <w:tcPr>
            <w:tcW w:w="61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i/>
                <w:iCs/>
                <w:lang w:eastAsia="sr-Latn-RS"/>
              </w:rPr>
              <w:t>v</w:t>
            </w:r>
            <w:r w:rsidRPr="00984859">
              <w:rPr>
                <w:rFonts w:ascii="Arial" w:eastAsia="Times New Roman" w:hAnsi="Arial" w:cs="Arial"/>
                <w:b/>
                <w:bCs/>
                <w:sz w:val="15"/>
                <w:szCs w:val="15"/>
                <w:vertAlign w:val="subscript"/>
                <w:lang w:eastAsia="sr-Latn-RS"/>
              </w:rPr>
              <w:t>T</w:t>
            </w:r>
            <w:r w:rsidRPr="00984859">
              <w:rPr>
                <w:rFonts w:ascii="Arial" w:eastAsia="Times New Roman" w:hAnsi="Arial" w:cs="Arial"/>
                <w:b/>
                <w:bCs/>
                <w:lang w:eastAsia="sr-Latn-RS"/>
              </w:rPr>
              <w:t xml:space="preserve"> = </w:t>
            </w:r>
          </w:p>
        </w:tc>
        <w:tc>
          <w:tcPr>
            <w:tcW w:w="1065" w:type="dxa"/>
            <w:tcBorders>
              <w:top w:val="single" w:sz="2" w:space="0" w:color="000000"/>
              <w:left w:val="single" w:sz="2" w:space="0" w:color="000000"/>
              <w:bottom w:val="single" w:sz="6" w:space="0" w:color="000000"/>
              <w:right w:val="single" w:sz="2" w:space="0" w:color="000000"/>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Δ</w:t>
            </w:r>
            <w:r w:rsidRPr="00984859">
              <w:rPr>
                <w:rFonts w:ascii="Arial" w:eastAsia="Times New Roman" w:hAnsi="Arial" w:cs="Arial"/>
                <w:b/>
                <w:bCs/>
                <w:lang w:eastAsia="sr-Latn-RS"/>
              </w:rPr>
              <w:t>M</w:t>
            </w:r>
          </w:p>
        </w:tc>
        <w:tc>
          <w:tcPr>
            <w:tcW w:w="913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Symbol" w:eastAsia="Times New Roman" w:hAnsi="Symbol" w:cs="Arial"/>
                <w:b/>
                <w:bCs/>
                <w:sz w:val="20"/>
                <w:szCs w:val="20"/>
                <w:lang w:eastAsia="sr-Latn-RS"/>
              </w:rPr>
              <w:t></w:t>
            </w:r>
            <w:r w:rsidRPr="00984859">
              <w:rPr>
                <w:rFonts w:ascii="Arial" w:eastAsia="Times New Roman" w:hAnsi="Arial" w:cs="Arial"/>
                <w:b/>
                <w:bCs/>
                <w:i/>
                <w:iCs/>
                <w:lang w:eastAsia="sr-Latn-RS"/>
              </w:rPr>
              <w:t>gcm</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b/>
                <w:bCs/>
                <w:lang w:eastAsia="sr-Latn-RS"/>
              </w:rPr>
              <w:t>h</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b/>
                <w:bCs/>
                <w:lang w:eastAsia="sr-Latn-RS"/>
              </w:rPr>
              <w:t xml:space="preserve">) </w:t>
            </w:r>
          </w:p>
        </w:tc>
        <w:tc>
          <w:tcPr>
            <w:tcW w:w="4335" w:type="dxa"/>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1065"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b/>
                <w:bCs/>
                <w:lang w:eastAsia="sr-Latn-RS"/>
              </w:rPr>
              <w:t xml:space="preserve">F x t </w:t>
            </w:r>
          </w:p>
        </w:tc>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F</w:t>
      </w:r>
      <w:r w:rsidRPr="00984859">
        <w:rPr>
          <w:rFonts w:ascii="Arial" w:eastAsia="Times New Roman" w:hAnsi="Arial" w:cs="Arial"/>
          <w:lang w:eastAsia="sr-Latn-RS"/>
        </w:rPr>
        <w:t xml:space="preserve"> jeste površina nanesene ispitivane supstance, po pravilu površina ploče s uzorkom;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lastRenderedPageBreak/>
        <w:t>t</w:t>
      </w:r>
      <w:r w:rsidRPr="00984859">
        <w:rPr>
          <w:rFonts w:ascii="Arial" w:eastAsia="Times New Roman" w:hAnsi="Arial" w:cs="Arial"/>
          <w:lang w:eastAsia="sr-Latn-RS"/>
        </w:rPr>
        <w:t xml:space="preserve"> jeste vreme gubitka mase Δm.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Napon pare pT izračunava se na osnovu funkcije brzine isparavanja vT: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log p</w:t>
      </w:r>
      <w:r w:rsidRPr="00984859">
        <w:rPr>
          <w:rFonts w:ascii="Arial" w:eastAsia="Times New Roman" w:hAnsi="Arial" w:cs="Arial"/>
          <w:i/>
          <w:iCs/>
          <w:sz w:val="15"/>
          <w:szCs w:val="15"/>
          <w:vertAlign w:val="subscript"/>
          <w:lang w:eastAsia="sr-Latn-RS"/>
        </w:rPr>
        <w:t>T</w:t>
      </w:r>
      <w:r w:rsidRPr="00984859">
        <w:rPr>
          <w:rFonts w:ascii="Arial" w:eastAsia="Times New Roman" w:hAnsi="Arial" w:cs="Arial"/>
          <w:i/>
          <w:iCs/>
          <w:lang w:eastAsia="sr-Latn-RS"/>
        </w:rPr>
        <w:t xml:space="preserve"> = C + D x Hlog v</w:t>
      </w:r>
      <w:r w:rsidRPr="00984859">
        <w:rPr>
          <w:rFonts w:ascii="Arial" w:eastAsia="Times New Roman" w:hAnsi="Arial" w:cs="Arial"/>
          <w:i/>
          <w:iCs/>
          <w:sz w:val="15"/>
          <w:szCs w:val="15"/>
          <w:vertAlign w:val="subscript"/>
          <w:lang w:eastAsia="sr-Latn-RS"/>
        </w:rPr>
        <w:t>T</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 i D jesu specifične konstante eksperimentalne aparature, koje zavise od prečnika merne komore i brzine protoka gasa.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Konstante C i D određuju se jednom, merenjem niza jedinjenja poznatog napona pare i regresijom log pT u zavisnosti od log vT</w:t>
      </w:r>
      <w:r w:rsidRPr="00984859">
        <w:rPr>
          <w:rFonts w:ascii="Arial" w:eastAsia="Times New Roman" w:hAnsi="Arial" w:cs="Arial"/>
          <w:b/>
          <w:bCs/>
          <w:sz w:val="15"/>
          <w:szCs w:val="15"/>
          <w:vertAlign w:val="superscript"/>
          <w:lang w:eastAsia="sr-Latn-RS"/>
        </w:rPr>
        <w:t>11, 21, 22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Odnos između napona pare pT i temperature T u stepenima kelvina proizlazi iz formule: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log pT = A + B x 1/T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i B jesu konstante dobijene regresijom log pT u zavisnosti od 1/T.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 pomoć ove jednačine napon pare se izračunava za bilo koju drugu temperaturu ekstrapolacijom.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1.5.7. Metoda zasićenja gasa</w:t>
      </w:r>
      <w:r w:rsidRPr="00984859">
        <w:rPr>
          <w:rFonts w:ascii="Arial" w:eastAsia="Times New Roman" w:hAnsi="Arial" w:cs="Arial"/>
          <w:b/>
          <w:bCs/>
          <w:sz w:val="15"/>
          <w:szCs w:val="15"/>
          <w:vertAlign w:val="superscript"/>
          <w:lang w:eastAsia="sr-Latn-RS"/>
        </w:rPr>
        <w:t>23</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1.5.7.1.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Inertni gas se pri sobnoj temperaturi provodi kroz uzorak ispitivane supstance ili prevodi preko njega poznatom brzinom, koja je dovoljno niska da se postigne zasićenje. Postizanje zasićenja u gasnoj fazi od presudne je važnosti. Supstanca koja se prenosi odvaja se, uglavnom pomoću nosača, i određuje se njena količina. Kao alternativa za odvajanja pare i naknadnu analizu, za kvantitativno određivanje količine prenesene supstance mogu se koristiti analitički postupci, kao što je gasna hromatografija. Kod izračunavanja napona pare polazi se od pretpostavke da važi zakon o idealnom gasu i da je ukupni pritisak smeše gasova jednak zbiru pritisaka komponenata gasa. Parcijalni pritisak ispitivane supstance, tj. napon pare, izračunava se iz poznate ukupne zapremine gasa i mase prenesenog materijala.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Postupak zasićenja gasa primenjuje se na čvrste i tečne supstance. Koristi se za napon pare do najmanje 10</w:t>
      </w:r>
      <w:r w:rsidRPr="00984859">
        <w:rPr>
          <w:rFonts w:ascii="Arial" w:eastAsia="Times New Roman" w:hAnsi="Arial" w:cs="Arial"/>
          <w:sz w:val="15"/>
          <w:szCs w:val="15"/>
          <w:vertAlign w:val="superscript"/>
          <w:lang w:eastAsia="sr-Latn-RS"/>
        </w:rPr>
        <w:t>-10</w:t>
      </w:r>
      <w:r w:rsidRPr="00984859">
        <w:rPr>
          <w:rFonts w:ascii="Arial" w:eastAsia="Times New Roman" w:hAnsi="Arial" w:cs="Arial"/>
          <w:lang w:eastAsia="sr-Latn-RS"/>
        </w:rPr>
        <w:t xml:space="preserve"> Pa</w:t>
      </w:r>
      <w:r w:rsidRPr="00984859">
        <w:rPr>
          <w:rFonts w:ascii="Arial" w:eastAsia="Times New Roman" w:hAnsi="Arial" w:cs="Arial"/>
          <w:b/>
          <w:bCs/>
          <w:sz w:val="15"/>
          <w:szCs w:val="15"/>
          <w:vertAlign w:val="superscript"/>
          <w:lang w:eastAsia="sr-Latn-RS"/>
        </w:rPr>
        <w:t>10,11,12,13,14</w:t>
      </w:r>
      <w:r w:rsidRPr="00984859">
        <w:rPr>
          <w:rFonts w:ascii="Arial" w:eastAsia="Times New Roman" w:hAnsi="Arial" w:cs="Arial"/>
          <w:lang w:eastAsia="sr-Latn-RS"/>
        </w:rPr>
        <w:t>. Ova metoda je najpouzdanija pri naponima pare ispod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Pa. Iznad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Pa generalno se dobijaju precenjene vrednosti pritiska pare, verovatno zbog stvaranja aerosola. Budući da se merenja napona pare vrše na sobnoj temperaturi, nema potrebe za ekstrapolacijom podataka od visokih temperatura koja bi mogla dovesti do ozbiljnih grešaka.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1.5.7.2.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Ovaj postupak zahteva korišćenje kućišta sa stalnom temperaturom. Na Slici 8. koja je data u ovoj metodi prikazano je kućište u koje su smeštena tri držača za čvrste uzorke i tri držača za tečne uzorke, što omogućava istovremenu analizu tri čvrsta uzorka ili tri tečna uzorka. Temperatura se održava u granicama ± 0,5° C ili manje.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Slika 8.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1A898F83" wp14:editId="2A53442C">
            <wp:extent cx="5162550" cy="4248150"/>
            <wp:effectExtent l="0" t="0" r="0" b="0"/>
            <wp:docPr id="46" name="Picture 46" descr="C:\Program Files (x86)\ParagrafLex\browser\Files\Old\t\t2013_12\t12_0570_s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ParagrafLex\browser\Files\Old\t\t2013_12\t12_0570_s01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42481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Kao inertni noseći gas obično se koristi azot, ali ponekad je potreban i neki drugi gas</w:t>
      </w:r>
      <w:r w:rsidRPr="00984859">
        <w:rPr>
          <w:rFonts w:ascii="Arial" w:eastAsia="Times New Roman" w:hAnsi="Arial" w:cs="Arial"/>
          <w:b/>
          <w:bCs/>
          <w:sz w:val="15"/>
          <w:szCs w:val="15"/>
          <w:vertAlign w:val="superscript"/>
          <w:lang w:eastAsia="sr-Latn-RS"/>
        </w:rPr>
        <w:t>24</w:t>
      </w:r>
      <w:r w:rsidRPr="00984859">
        <w:rPr>
          <w:rFonts w:ascii="Arial" w:eastAsia="Times New Roman" w:hAnsi="Arial" w:cs="Arial"/>
          <w:lang w:eastAsia="sr-Latn-RS"/>
        </w:rPr>
        <w:t xml:space="preserve">. Noseći gas treba da bude suv. Gasna struja se deli na 6 manjih struja, koje se regulišu igličastim ventilima (otvora približno 0,79 mm), i odvodi u kućište bakarnim cevima unutrašnjeg prečnika 3,8 mm. Kad se temperatura ustali, gas protiče kroz uzorak i separator sa nosačem i izlazi iz kućišta.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Čvrsti uzorci stavljaju se u staklenu cevčicu unutrašnjeg prečnika 5 mm između čepova od staklene vune (videti Sliku 9. koja je data u ovoj metodi). Na Slici 10. koja je data u ovoj metodi prikazan je držač tečnog uzorka i sistem nosača. Metoda merenja napona pare tečnosti koja se najlakše ponavlja je da se tečnost nanese na staklene kuglice ili na inertni nosač, kao što je silika gel, i držač napuni tim kuglicama. Druga mogućnost je da se noseći gas prevodi preko grubog metalnog sita i produvava kroz kolonu tečne ispitivane supstance.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662"/>
        <w:gridCol w:w="5450"/>
      </w:tblGrid>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9. </w:t>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10. </w:t>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576B0C92" wp14:editId="40CE2CE8">
                  <wp:extent cx="1876425" cy="4552950"/>
                  <wp:effectExtent l="0" t="0" r="9525" b="0"/>
                  <wp:docPr id="45" name="Picture 45" descr="C:\Program Files (x86)\ParagrafLex\browser\Files\Old\t\t2013_12\t12_0570_s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ParagrafLex\browser\Files\Old\t\t2013_12\t12_0570_s01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4552950"/>
                          </a:xfrm>
                          <a:prstGeom prst="rect">
                            <a:avLst/>
                          </a:prstGeom>
                          <a:noFill/>
                          <a:ln>
                            <a:noFill/>
                          </a:ln>
                        </pic:spPr>
                      </pic:pic>
                    </a:graphicData>
                  </a:graphic>
                </wp:inline>
              </w:drawing>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409DA163" wp14:editId="7A453C63">
                  <wp:extent cx="3419475" cy="4486275"/>
                  <wp:effectExtent l="0" t="0" r="9525" b="9525"/>
                  <wp:docPr id="44" name="Picture 44" descr="C:\Program Files (x86)\ParagrafLex\browser\Files\Old\t\t2013_12\t12_0570_s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ParagrafLex\browser\Files\Old\t\t2013_12\t12_0570_s01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4486275"/>
                          </a:xfrm>
                          <a:prstGeom prst="rect">
                            <a:avLst/>
                          </a:prstGeom>
                          <a:noFill/>
                          <a:ln>
                            <a:noFill/>
                          </a:ln>
                        </pic:spPr>
                      </pic:pic>
                    </a:graphicData>
                  </a:graphic>
                </wp:inline>
              </w:drawing>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Sistem nosača sastoji se od prednjeg i pomoćnog dela. Pri vrlo niskom naponu pare nosač zadržava samo male količine supstance i adsorpcija na staklenoj vuni i staklenoj cevčici između uzorka i nosača može predstavljati ozbiljan problem.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Separatori hlađeni čvrstim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predstavljaju još jedan efikasan način sakupljanja para. Oni ne stvaraju kontrapritisak na koloni za zasićenje, a odvojeni materijal se lako kvantitativno uklanja.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1.5.7.3. Postupak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Brzina protoka izlaznog gasa nosača meri se pri sobnoj temperaturi. Tokom eksperimenta često se proverava brzina protoka kako bi se dobila tačna vrednost ukupne zapremine gasa nosača. Poželjno je neprekidno praćenje meračem protoka. Da bi se postiglo zasićenje gasne faze ponekad je potrebno znatno vreme kontakta, što podrazumeva i prilično male brzine protoka gasa</w:t>
      </w:r>
      <w:r w:rsidRPr="00984859">
        <w:rPr>
          <w:rFonts w:ascii="Arial" w:eastAsia="Times New Roman" w:hAnsi="Arial" w:cs="Arial"/>
          <w:b/>
          <w:bCs/>
          <w:sz w:val="15"/>
          <w:szCs w:val="15"/>
          <w:vertAlign w:val="superscript"/>
          <w:lang w:eastAsia="sr-Latn-RS"/>
        </w:rPr>
        <w:t>25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eksperimenta, prednji i pomoćni deo nosača odvojeno se analiziraju. Jedinjenje se iz svakog dela ispira dodavanjem rastvarača. Nastali rastvori kvantitativno se analiziraju radi određivanja isprane mase iz svakog dela. Izbor analitičkog metoda (kao i izbor nosača i rastvarača za ispiranje) zavisi od prirode ispitivanog materijala. Efikasnost ispiranja određuje se ubrizgavanjem poznate količine uzorka na nosač, ispiranjem supstance i analiziranjem dobijene količine. Važno je da se kod provere efikasnosti ispiranja koristi koncentracija koja je jednaka ili slična koncentraciji uzorka u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Da bi se osiguralo zasićenje gasa nosača ispitivanom supstancom, koriste se tri različite brzine protoka gasa. Ako se izračunati napon pare ne menja sa promenom brzine protoka, smatra se da je gas zasićen.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Napon pare izračunava se pomoću jednačine: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
        <w:gridCol w:w="574"/>
        <w:gridCol w:w="256"/>
        <w:gridCol w:w="620"/>
        <w:gridCol w:w="5265"/>
        <w:gridCol w:w="1867"/>
      </w:tblGrid>
      <w:tr w:rsidR="00984859" w:rsidRPr="00984859" w:rsidTr="00984859">
        <w:trPr>
          <w:tblCellSpacing w:w="0" w:type="dxa"/>
        </w:trPr>
        <w:tc>
          <w:tcPr>
            <w:tcW w:w="52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i/>
                <w:iCs/>
                <w:sz w:val="20"/>
                <w:szCs w:val="20"/>
                <w:lang w:eastAsia="sr-Latn-RS"/>
              </w:rPr>
              <w:t>p</w:t>
            </w:r>
            <w:r w:rsidRPr="00984859">
              <w:rPr>
                <w:rFonts w:ascii="Arial" w:eastAsia="Times New Roman" w:hAnsi="Arial" w:cs="Arial"/>
                <w:b/>
                <w:bCs/>
                <w:sz w:val="20"/>
                <w:szCs w:val="20"/>
                <w:lang w:eastAsia="sr-Latn-RS"/>
              </w:rPr>
              <w:t xml:space="preserve"> = </w:t>
            </w:r>
          </w:p>
        </w:tc>
        <w:tc>
          <w:tcPr>
            <w:tcW w:w="825" w:type="dxa"/>
            <w:tcBorders>
              <w:top w:val="single" w:sz="2" w:space="0" w:color="000000"/>
              <w:left w:val="single" w:sz="2" w:space="0" w:color="000000"/>
              <w:bottom w:val="single" w:sz="6" w:space="0" w:color="000000"/>
              <w:right w:val="single" w:sz="2" w:space="0" w:color="000000"/>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b/>
                <w:bCs/>
                <w:lang w:eastAsia="sr-Latn-RS"/>
              </w:rPr>
              <w:t>W</w:t>
            </w:r>
          </w:p>
        </w:tc>
        <w:tc>
          <w:tcPr>
            <w:tcW w:w="345" w:type="dxa"/>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Symbol" w:eastAsia="Times New Roman" w:hAnsi="Symbol" w:cs="Arial"/>
                <w:b/>
                <w:bCs/>
                <w:sz w:val="20"/>
                <w:szCs w:val="20"/>
                <w:lang w:eastAsia="sr-Latn-RS"/>
              </w:rPr>
              <w:t></w:t>
            </w:r>
          </w:p>
        </w:tc>
        <w:tc>
          <w:tcPr>
            <w:tcW w:w="84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i/>
                <w:iCs/>
                <w:lang w:eastAsia="sr-Latn-RS"/>
              </w:rPr>
              <w:t xml:space="preserve">RT </w:t>
            </w:r>
          </w:p>
        </w:tc>
        <w:tc>
          <w:tcPr>
            <w:tcW w:w="9285" w:type="dxa"/>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3270" w:type="dxa"/>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825"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b/>
                <w:bCs/>
                <w:lang w:eastAsia="sr-Latn-RS"/>
              </w:rPr>
              <w:t>V</w:t>
            </w:r>
          </w:p>
        </w:tc>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84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i/>
                <w:iCs/>
                <w:lang w:eastAsia="sr-Latn-RS"/>
              </w:rPr>
              <w:t xml:space="preserve">M </w:t>
            </w: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 jeste napon pare (Pa);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W jeste masa isparene ispitivane supstance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 jeste zapremina zasićenog gasa (m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 jeste univerzalna gasna konstanta koja iznosi 8,314 (J mol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K</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temperatura (K);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 jeste molarna masa ispitivane supstance (g mol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Izmerene zapremine se koriguju za razliku u pritisku i temperaturi između merača protoka i zasićivača.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1.5.8. Metoda sa rotirajućom kuglicom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1.5.8.1.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ove metode koristi se viskozimetar na rotoru čiji se merni element sastoji od male čelične kuglice stabilizovane u magnetnom polju koja se vrti pod uticajem okretnog polja</w:t>
      </w:r>
      <w:r w:rsidRPr="00984859">
        <w:rPr>
          <w:rFonts w:ascii="Arial" w:eastAsia="Times New Roman" w:hAnsi="Arial" w:cs="Arial"/>
          <w:b/>
          <w:bCs/>
          <w:sz w:val="15"/>
          <w:szCs w:val="15"/>
          <w:vertAlign w:val="superscript"/>
          <w:lang w:eastAsia="sr-Latn-RS"/>
        </w:rPr>
        <w:t>26,27,28</w:t>
      </w:r>
      <w:r w:rsidRPr="00984859">
        <w:rPr>
          <w:rFonts w:ascii="Arial" w:eastAsia="Times New Roman" w:hAnsi="Arial" w:cs="Arial"/>
          <w:b/>
          <w:bCs/>
          <w:lang w:eastAsia="sr-Latn-RS"/>
        </w:rPr>
        <w:t xml:space="preserve">. </w:t>
      </w:r>
      <w:r w:rsidRPr="00984859">
        <w:rPr>
          <w:rFonts w:ascii="Arial" w:eastAsia="Times New Roman" w:hAnsi="Arial" w:cs="Arial"/>
          <w:lang w:eastAsia="sr-Latn-RS"/>
        </w:rPr>
        <w:t>Prijemni kalemovi omogućavaju merenje brzine obrtanja. Kada kuglica postigne određenu rotacionu brzinu, obično oko 400 obrtaja u sekundi, prekida se dalje dovođenje energije i nastupa usporavanje usled trenja gasova. Opadanje brzine obrtanja meri se kao funkcija vremena. Napon pare izvodi se iz usporavanja čelične kuglice koje zavisi od pritiska. Preporučeni raspon je od 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Pa do 0,5 Pa.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1.5.8.2.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Eksperimentalna aparatura prikazana je na Slici 11. koja je data u ovoj metodi. Merna glava postavljena je u termostatski regulisanom kućištu sa tačnošću od 0,1° C. Posuda za uzorak postavljena je u zasebnom, takođe termostatski regulisanom kućištu, sa tačnošću od 0,1° C. Svi ostali delovi aparature drže se na višoj temperaturi kako bi se sprečila kondenzacija. Čitava aparatura spojena je na visokovakuumski sistem.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677"/>
        <w:gridCol w:w="3435"/>
      </w:tblGrid>
      <w:tr w:rsidR="00984859" w:rsidRPr="00984859" w:rsidTr="00984859">
        <w:trPr>
          <w:tblCellSpacing w:w="0" w:type="dxa"/>
        </w:trPr>
        <w:tc>
          <w:tcPr>
            <w:tcW w:w="591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11. </w:t>
            </w:r>
          </w:p>
        </w:tc>
        <w:tc>
          <w:tcPr>
            <w:tcW w:w="930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591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4D2A919C" wp14:editId="7520D9DF">
                  <wp:extent cx="3524250" cy="2362200"/>
                  <wp:effectExtent l="0" t="0" r="0" b="0"/>
                  <wp:docPr id="43" name="Picture 43" descr="C:\Program Files (x86)\ParagrafLex\browser\Files\Old\t\t2013_12\t12_0570_s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ParagrafLex\browser\Files\Old\t\t2013_12\t12_0570_s019.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2362200"/>
                          </a:xfrm>
                          <a:prstGeom prst="rect">
                            <a:avLst/>
                          </a:prstGeom>
                          <a:noFill/>
                          <a:ln>
                            <a:noFill/>
                          </a:ln>
                        </pic:spPr>
                      </pic:pic>
                    </a:graphicData>
                  </a:graphic>
                </wp:inline>
              </w:drawing>
            </w:r>
          </w:p>
        </w:tc>
        <w:tc>
          <w:tcPr>
            <w:tcW w:w="930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 Glava senzora na rotoru</w:t>
            </w:r>
            <w:r w:rsidRPr="00984859">
              <w:rPr>
                <w:rFonts w:ascii="Arial" w:eastAsia="Times New Roman" w:hAnsi="Arial" w:cs="Arial"/>
                <w:lang w:eastAsia="sr-Latn-RS"/>
              </w:rPr>
              <w:br/>
              <w:t>B: Ćelija za uzorak</w:t>
            </w:r>
            <w:r w:rsidRPr="00984859">
              <w:rPr>
                <w:rFonts w:ascii="Arial" w:eastAsia="Times New Roman" w:hAnsi="Arial" w:cs="Arial"/>
                <w:lang w:eastAsia="sr-Latn-RS"/>
              </w:rPr>
              <w:br/>
              <w:t>C: Termostat</w:t>
            </w:r>
            <w:r w:rsidRPr="00984859">
              <w:rPr>
                <w:rFonts w:ascii="Arial" w:eastAsia="Times New Roman" w:hAnsi="Arial" w:cs="Arial"/>
                <w:lang w:eastAsia="sr-Latn-RS"/>
              </w:rPr>
              <w:br/>
              <w:t>D: Vakuumski izvod (turbo-pumpa)</w:t>
            </w:r>
            <w:r w:rsidRPr="00984859">
              <w:rPr>
                <w:rFonts w:ascii="Arial" w:eastAsia="Times New Roman" w:hAnsi="Arial" w:cs="Arial"/>
                <w:lang w:eastAsia="sr-Latn-RS"/>
              </w:rPr>
              <w:br/>
              <w:t xml:space="preserve">E: Termostat za vazduh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Napon pare kod svake od navedenih metoda određuje se za najmanje dve temperature. Poželjno je odabrati tri ili više temperatura u rasponu od 0° C do 50° C kako bi se proverila linearnost krive napona pare. U slučaju metode efuzije (Knudsenova ćelija i izotermalna termogravimetrija) i metode zasićenja gasa, za merenje se umesto opsega temperature od 0° C do 50° C preporučuje opseg od 120° C do 150° 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preciznoj specifikaciji supstance (identitet i nečistoće) i postupku prethodnog prečišćavanja, ukoliko je predviđen;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najmanje dve vrednosti napona pare i temperature (poželjno je tri ili više) u rasponu od 0° C do 50° C (odnosno od 120° C do 150°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najmanje jedna temperatura treba da bude 25° C ili niža, ako je to tehnički izvodljivo kod odabrane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svim neobrađenim podacima;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krivi log p u zavisnosti od 1/T;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proceni napona pare na 20° C ili 25°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uoči prelazno stanje supstance (izmena u drugo agregatno stanje ili razlaganje), potrebno je navesti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vrsti promene;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temperaturi na kojoj dolazi do promene pri atmosferskom pritisku;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naponu pare na 10° C i 20° C ispod temperature prelaska i 10° C i 20° C iznad te temperature (osim u slučaju prelaska iz čvrstog u gasovito stanje).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se navode svi podaci i primedbe bitne za tumačenje rezultata, naročito u vezi s nečistoćama i agregatnim stanjem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Službeni list Evropske zajednice, L 383 A, 26-47 (1992).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Ambrose, D. (1975). Experimental Thermodynamics, Vol. II, Le Neindre, B., and Vodar, B., Eds., Butterworths, London.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Weissberger R., ed. (1959). Technique of Organic Chemistry, Physical Methods of Organic Chemistry, 3rd ed., Vol. I, Part I. Chapter IX, Interscience Publ.,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Glasstone, S. (1946). Textbook of Physical Chemistry, 2nd ed., Van Nostrand Company,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NF T 20-048 AFNOR (September 1985). Chemical products for industrial use - Determination of vapour pressure of solids and liquids within a range from 10-1 to 105 Pa - Static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ASTM D 2879-86, Standard test method for vapour pressure - temperature relationship and initial decomposition temperature of liquids by isoteniscope.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NF T 20-047 AFNOR (September 1985). Chemical products for industrial use - Determination of vapour pressure of solids and liquids within range from 10-3 to 1 Pa - Vapour pressure balance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Knudsen, M. (1909). Ann. Phys. Lpz., 29, 1979; (1911), 34, 593.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Ambrose, D., Lawrenson, I.J., Sprake, C.H.S. (1975). J. Chem. Thermodynamics 7, 1173.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Schmuckler, M.E., Barefoot, A.C., Kleier, D.A., Cobranchi, D.P. (2000), Vapor pressures of sulfonylurea herbicides; Pest Management Science 56, 521-532.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Tomlin, C.D.S. (ed.), The Pesticide Manual, Twelfth Edition (2000).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Friedrich, K., Stammbach, K., Gas chromatographic determination of small vapour pressures determination of the vapour pressures of some triazine herbicides. J. Chromatog. 16 (1964), 22-28.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Grayson, B.T., Fosbraey, L.A., Pesticide Science 16 (1982), 269-278.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Rordorf, B.F., Prediction of vapor pressures, boiling points and enthalpies of fusion for twenty-nine halogenated dibenzo-p-dioxins, Thermochimia Acta 112 Issue 1 (1987), 117-122.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Gückel, W., Synnatschke, G., Ritttig, R., A Method for Determining the Volatility of Active Ingredients Used in Plant Protection; Pesticide Science 4 (1973) 137-147.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16. Gückel, W., Synnatschke, G., Ritttig, R., A Method for Determining the Volatility of Active Ingredients Used in Plant Protection II. Application to Formulated Products; Pesticide Science 5 (1974) 393-400.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Gückel, W., Kaestel, R., Lewerenz, J., Synnatschke, G., A Method for Determining the Volatility of Active Ingredients Used in Plant Protection. Part III: The Temperature Relationship between Vapour Pressure and Evaporation Rate; Pesticide Science 13 (1982) 161-168.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Gückel, W., Kaestel, R., Kroehl, T., Parg, A., Methods for Determining the Vapour Pressure of Active Ingredients Used in Crop Protection. Part IV: An Improved Thermogravimetric Determination Based on Evaporation Rate; Pesticide Science 45 (1995) 27-31.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Kroehl, T., Kaestel, R., Koenig, W., Ziegler, H., Koehle, H., Parg, A., Methods for Determining the Vapour Pressure of Active Ingredients Used in Crop Protection. Part V: Thermogravimetry Combined with Solid Phase MicroExtraction (SPME); Pesticide Science, 53 (1998) 300-310.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Tesconi, M., Yalkowsky, S.H., A Novel Thermogravimetric Method for Estimating the Saturated Vapor Pressure of Low-Volatility Compounds; Journal of Pharmaceutical Science 87(12) (1998) 1512-20.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Lide, D.R. (ed.), CRC Handbook of Chemistry and Physics, 81st ed. (2000), Vapour Pressure in the Range - 25° C to 150°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Meister, R.T. (ed.), Farm Chemicals Handbook, Vol. 88 (2002).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40 CFR, 796. (1993). pp 148-153, Office of the Federal Register, Washington DC.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Rordorf B.F. (1985). Thermochimica Acta 85, 435.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 Westcott et al. (1981). Environ. Sci. Technol. 15, 1375.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 Messer G., Röhl, P., Grosse G., and Jitschin W. (1987). J. Vac. Sci. Technol. (A), 5(4), 2440.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27. Comsa G., Fremerey J.K., and Lindenau, B. (1980). J. Vac. Sci. Technol. 17(2), 642.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28. Fremerey, J.K. (1985). J. Vac. Sci. Technol. (A), 3(3), 1715.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drugi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METODA PROCENE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Procenjene vrednosti napona pare mogu se koristiti 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donošenje odluka o tome koja eksperimentalna metoda je odgovarajuća,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navođenje procenjene ili granične vrednosti ako se eksperimentalna metoda ne koristi iz tehničkih razloga.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METODA PROCENE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Napon pare tečnosti i čvrstih supstanci procenjuje se primenom modifikovane Votsonove korelacije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Jedini eksperimentalni podatak koji je potreban jeste normalna tačka ključanja. Metoda se primenjuje u opsegu pritiska od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do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Detaljne informacije o ovoj metodi date su u literaturi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Videti i ostalu literaturu</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POSTUPAK IZRAČUNAVANJA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Napon pare izračunava se na sledeći način: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085335CD" wp14:editId="7B43C1A0">
            <wp:extent cx="5172075" cy="1466850"/>
            <wp:effectExtent l="0" t="0" r="9525" b="0"/>
            <wp:docPr id="42" name="Picture 42" descr="C:\Program Files (x86)\ParagrafLex\browser\Files\Old\t\t2013_12\t12_0570_s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ParagrafLex\browser\Files\Old\t\t2013_12\t12_0570_s02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14668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izabrana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Tb jeste normalna tačka ključanja;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Pvp jeste napon pare na temperaturi 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ΔHvb jeste toplota isparavanja;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ΔZb jeste faktor kompresibilnosti (procenjen na 0,97);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 jeste empirijski faktor koji zavisi od agregatnog stanja na relevantnoj temperaturi.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67"/>
        <w:gridCol w:w="8345"/>
      </w:tblGrid>
      <w:tr w:rsidR="00984859" w:rsidRPr="00984859" w:rsidTr="00984859">
        <w:trPr>
          <w:tblCellSpacing w:w="0" w:type="dxa"/>
        </w:trPr>
        <w:tc>
          <w:tcPr>
            <w:tcW w:w="102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sz w:val="20"/>
                <w:szCs w:val="20"/>
                <w:lang w:eastAsia="sr-Latn-RS"/>
              </w:rPr>
              <w:t></w:t>
            </w:r>
            <w:r w:rsidRPr="00984859">
              <w:rPr>
                <w:rFonts w:ascii="Arial" w:eastAsia="Times New Roman" w:hAnsi="Arial" w:cs="Arial"/>
                <w:b/>
                <w:bCs/>
                <w:i/>
                <w:iCs/>
                <w:lang w:eastAsia="sr-Latn-RS"/>
              </w:rPr>
              <w:t>H</w:t>
            </w:r>
            <w:r w:rsidRPr="00984859">
              <w:rPr>
                <w:rFonts w:ascii="Arial" w:eastAsia="Times New Roman" w:hAnsi="Arial" w:cs="Arial"/>
                <w:b/>
                <w:bCs/>
                <w:i/>
                <w:iCs/>
                <w:sz w:val="15"/>
                <w:szCs w:val="15"/>
                <w:vertAlign w:val="subscript"/>
                <w:lang w:eastAsia="sr-Latn-RS"/>
              </w:rPr>
              <w:t>vb</w:t>
            </w:r>
            <w:r w:rsidRPr="00984859">
              <w:rPr>
                <w:rFonts w:ascii="Arial" w:eastAsia="Times New Roman" w:hAnsi="Arial" w:cs="Arial"/>
                <w:lang w:eastAsia="sr-Latn-RS"/>
              </w:rPr>
              <w:t xml:space="preserve"> = </w:t>
            </w:r>
          </w:p>
        </w:tc>
        <w:tc>
          <w:tcPr>
            <w:tcW w:w="1419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i/>
                <w:iCs/>
                <w:lang w:eastAsia="sr-Latn-RS"/>
              </w:rPr>
              <w:t>K</w:t>
            </w:r>
            <w:r w:rsidRPr="00984859">
              <w:rPr>
                <w:rFonts w:ascii="Arial" w:eastAsia="Times New Roman" w:hAnsi="Arial" w:cs="Arial"/>
                <w:b/>
                <w:bCs/>
                <w:i/>
                <w:iCs/>
                <w:sz w:val="15"/>
                <w:szCs w:val="15"/>
                <w:vertAlign w:val="subscript"/>
                <w:lang w:eastAsia="sr-Latn-RS"/>
              </w:rPr>
              <w:t>F</w:t>
            </w:r>
            <w:r w:rsidRPr="00984859">
              <w:rPr>
                <w:rFonts w:ascii="Arial" w:eastAsia="Times New Roman" w:hAnsi="Arial" w:cs="Arial"/>
                <w:lang w:eastAsia="sr-Latn-RS"/>
              </w:rPr>
              <w:t xml:space="preserve"> (8,75)+ </w:t>
            </w:r>
            <w:r w:rsidRPr="00984859">
              <w:rPr>
                <w:rFonts w:ascii="Arial" w:eastAsia="Times New Roman" w:hAnsi="Arial" w:cs="Arial"/>
                <w:b/>
                <w:bCs/>
                <w:i/>
                <w:iCs/>
                <w:lang w:eastAsia="sr-Latn-RS"/>
              </w:rPr>
              <w:t>RinT</w:t>
            </w:r>
            <w:r w:rsidRPr="00984859">
              <w:rPr>
                <w:rFonts w:ascii="Arial" w:eastAsia="Times New Roman" w:hAnsi="Arial" w:cs="Arial"/>
                <w:b/>
                <w:bCs/>
                <w:i/>
                <w:iCs/>
                <w:sz w:val="15"/>
                <w:szCs w:val="15"/>
                <w:vertAlign w:val="subscript"/>
                <w:lang w:eastAsia="sr-Latn-RS"/>
              </w:rPr>
              <w:t>b</w:t>
            </w:r>
          </w:p>
        </w:tc>
      </w:tr>
      <w:tr w:rsidR="00984859" w:rsidRPr="00984859" w:rsidTr="00984859">
        <w:trPr>
          <w:tblCellSpacing w:w="0" w:type="dxa"/>
        </w:trPr>
        <w:tc>
          <w:tcPr>
            <w:tcW w:w="102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b/>
                <w:bCs/>
                <w:i/>
                <w:iCs/>
                <w:lang w:eastAsia="sr-Latn-RS"/>
              </w:rPr>
              <w:t>T</w:t>
            </w:r>
            <w:r w:rsidRPr="00984859">
              <w:rPr>
                <w:rFonts w:ascii="Arial" w:eastAsia="Times New Roman" w:hAnsi="Arial" w:cs="Arial"/>
                <w:b/>
                <w:bCs/>
                <w:i/>
                <w:iCs/>
                <w:sz w:val="15"/>
                <w:szCs w:val="15"/>
                <w:vertAlign w:val="subscript"/>
                <w:lang w:eastAsia="sr-Latn-RS"/>
              </w:rPr>
              <w:t>b</w:t>
            </w:r>
            <w:r w:rsidRPr="00984859">
              <w:rPr>
                <w:rFonts w:ascii="Arial" w:eastAsia="Times New Roman" w:hAnsi="Arial" w:cs="Arial"/>
                <w:b/>
                <w:bCs/>
                <w:lang w:eastAsia="sr-Latn-RS"/>
              </w:rPr>
              <w:t xml:space="preserve">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jeste empirijski faktor koji uzima u obzir polarnost supstance. Faktori K</w:t>
      </w:r>
      <w:r w:rsidRPr="00984859">
        <w:rPr>
          <w:rFonts w:ascii="Arial" w:eastAsia="Times New Roman" w:hAnsi="Arial" w:cs="Arial"/>
          <w:sz w:val="15"/>
          <w:szCs w:val="15"/>
          <w:vertAlign w:val="subscript"/>
          <w:lang w:eastAsia="sr-Latn-RS"/>
        </w:rPr>
        <w:t xml:space="preserve">F </w:t>
      </w:r>
      <w:r w:rsidRPr="00984859">
        <w:rPr>
          <w:rFonts w:ascii="Arial" w:eastAsia="Times New Roman" w:hAnsi="Arial" w:cs="Arial"/>
          <w:lang w:eastAsia="sr-Latn-RS"/>
        </w:rPr>
        <w:t>za nekoliko vrsta spojeva dati su u literaturi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naći podaci gde je data tačka ključanja pri sniženom pritisku. U tom slučaju napon pare izračunava se na sledeći način: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71681441" wp14:editId="40DDE87D">
            <wp:extent cx="5172075" cy="695325"/>
            <wp:effectExtent l="0" t="0" r="9525" b="9525"/>
            <wp:docPr id="41" name="Picture 41" descr="C:\Program Files (x86)\ParagrafLex\browser\Files\Old\t\t2013_12\t12_0570_s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ParagrafLex\browser\Files\Old\t\t2013_12\t12_0570_s02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2075" cy="6953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jeste tačka ključanja pri sniženom pritisku P</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koristi metoda procene, u izveštaju se detaljno dokumentuje čitav postupak izračunavanja.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Watson, K.M. (1943). Ind. Eng. Chem, 35, 398.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Lyman, W.J., Reehl, W.F., Rosenblatt, D.H. (1982). Handbook of Chemical Property Estimation Methods, McGraw-Hill.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OECD Environmental Monograph No.67. Application of Structure-Activity Relationships to the Estimation of Properties Important in Exposure Assessment (1993).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A.5. POVRŠINSKI NAPON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zasniva se na Uputstvu za ispitivanje OECD</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Osnovni principi metode dati su u literaturi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Opisane metode primenjuju se kod merenja površinskog napona vodenih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ispitivanja supstance korisno je imati podatke o njenoj: rastvorljivosti u vodi, strukturi, sposobnosti da hidrolizuje i vrednosti kritične koncentracije za formiranje micela.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Opisane metode mogu se primeniti za većinu supstanci, bez ograničenja u pogledu stepena njihove 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Merenje površinskog napona metodom prstenastog tenziometra ograničeno je na vodene rastvore dinamičkog viskoziteta manjeg od 200 mPa s.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Površinski napon jeste entalpija slobodne površine po jedinici površine.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Površinski napon se izražava kao: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N/m u Međunarodnom sistemu jedinica (SI)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mN/m Međunarodnom sistemu jedinica (SI podjedinica);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N/m =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din/cm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mN/m = 1 din/cm u zastarelom CGS sistemu.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se ne koriste svaki put kada se ispituje nova supstanca. One prvenstveno služe za povremenu proveru metode i da omoguće poređenje sa rezultatima dobijenim drugim metodama.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Referentne supstance koje pokrivaju širok opseg površinskih napona date su u literaturi</w:t>
      </w:r>
      <w:r w:rsidRPr="00984859">
        <w:rPr>
          <w:rFonts w:ascii="Arial" w:eastAsia="Times New Roman" w:hAnsi="Arial" w:cs="Arial"/>
          <w:b/>
          <w:bCs/>
          <w:sz w:val="15"/>
          <w:szCs w:val="15"/>
          <w:vertAlign w:val="superscript"/>
          <w:lang w:eastAsia="sr-Latn-RS"/>
        </w:rPr>
        <w:t>1, 3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Metode se zasnivaju na merenju maksimalne sile koju je neophodno vertikalno usmeriti na stremen (uzengiju) ili prsten u kontaktu sa površinom tečnosti koja se ispituje i koja se nalazi u mernoj posudi, da bi se odvojili od te površine ili je usmeriti na ploču čija je ivica u kontaktu sa površinom radi izvlačenja formiranog tankog filma.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koje su rastvorne u vodi pri najmanjoj koncentraciji od 1 mg/L ispituju se u vodenom rastvoru pri samo jednoj koncentraciji.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Ove metode daju veću preciznost od preciznosti koja se očekuje sa aspekta zahteva koji se odnose na životnu sredinu.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Pripremi se rastvor supstance u destilovanoj vodi. Koncentracija rastvora treba da bude 90% zasićenog rastvora supstance u vodi. Kada koncentracija prelazi 1 g/L, za ispitivanje se koristi koncentracija od 1 g/L. Supstance čija je rastvorljivost u vodi manja od 1 mg/L ne treba ispitivati.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Metoda pločice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 SRPS H.E 8.047.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Metoda uzengije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 SRPS H.E 8.047.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Metoda prstena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 SRPS H.E 8.047.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Metoda prstena harmonizovana sa OECD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1.6.4.1. Aparat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ovo merenje odgovarajući su komercijalno dostupni tenziometri. Oni se sastoje od sledećih elemenata: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pokretnog stola za uzorak;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sistema za merenje sile;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mernog tela (prsten);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posude za merenje.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1.6.4.1.1. Pokretni sto za uzorak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Pokretni sto za uzorak koji se koristi kao nosač temperaturno kontrolisane posude za merenje u kojoj se nalazi tečnost koja se ispituje, postavlja se na postolje zajedno sa sistemom za merenje sile.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1.6.4.1.2. Sistem za merenje sile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Sistem za merenje sile (videti Sliku) nalazi se iznad stola za uzorak. Greška u merenju sile ne sme prelaziti ± 10</w:t>
      </w:r>
      <w:r w:rsidRPr="00984859">
        <w:rPr>
          <w:rFonts w:ascii="Arial" w:eastAsia="Times New Roman" w:hAnsi="Arial" w:cs="Arial"/>
          <w:sz w:val="15"/>
          <w:szCs w:val="15"/>
          <w:vertAlign w:val="superscript"/>
          <w:lang w:eastAsia="sr-Latn-RS"/>
        </w:rPr>
        <w:t>-6</w:t>
      </w:r>
      <w:r w:rsidRPr="00984859">
        <w:rPr>
          <w:rFonts w:ascii="Arial" w:eastAsia="Times New Roman" w:hAnsi="Arial" w:cs="Arial"/>
          <w:lang w:eastAsia="sr-Latn-RS"/>
        </w:rPr>
        <w:t xml:space="preserve"> N, što odgovara grešci od ± 0,1 mg kod merenja mase. U većini slučajeva, merna skala komercijalno dostupnih tenziometara kalibrisana je u mN/m tako da se površinski napon direktno očitava u mN /m sa tačnošću od 0,1 mN/m.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1.6.4.1.3. Merno telo (prsten)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Prsten je obično napravljen od žice od platine i iridijuma debljine oko 0,4 mm i srednjeg obima od 60 mm. Žičani prsten visi horizontalno sa metalne igle i podupirača (konzole) za postavljanje žice i stvara vezu sa sistemom za merenje sile (videti Sliku).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1C2CEC63" wp14:editId="027557CD">
            <wp:extent cx="3562350" cy="5086350"/>
            <wp:effectExtent l="0" t="0" r="0" b="0"/>
            <wp:docPr id="40" name="Picture 40" descr="C:\Program Files (x86)\ParagrafLex\browser\Files\Old\t\t2013_12\t12_0570_s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ParagrafLex\browser\Files\Old\t\t2013_12\t12_0570_s02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2350" cy="50863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1.6.4.1.4. Posuda za 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Posuda za merenje u kojoj se nalazi rastvor koji se ispituje treba da bude od stakla sa mogućnošću kontrole temperature. Posuda je tako napravljena da za vreme merenja temperatura tečnosti rastvora koji se ispituje i gasne faze iznad površine ostaje konstantna tako da uzorak ne ispari.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Prihvataju se cilindrični stakleni sudovi čiji unutrašnji prečnik nije manji od 45 mm.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1.6.4.2. Priprema aparata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1.6.4.2.1. Čišćenje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Stakleni sudovi se pažljivo čiste. Ukoliko je neophodno, peru se vrelom hrom-sumpornom kiselinom, a nakon toga fosfornom kiselinom (83% do 98% masenih 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Zatim se stakleni sudovi detaljno ispiraju vodom sa česme i na kraju se ispiraju bi-destilovanom vodom do neutralne reakcije, nakon čega se suše ili ispiraju delom uzorka tečnosti za 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Prsten se prvo obilno ispira vodom da se uklone sve supstance koje su rastvorne u vodi. Prsten se zatim kratko potopi u hrom-sumpornu kiselinu, ispere se bi-destilovanom vodom do neutralne reakcije i na kraju se kratko zagreje iznad plamena metanola.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Kontaminacija supstancama koje nisu rastvorene ili uništene hrom-sumpornom ili fosfornom kiselinom, kao što su silikoni, uklanja se pomoću odgovarajućeg organskog rastvarača.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1.6.4.2.2. Kalibracija aparata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Validacija aparata sastoji se od verifikacije i podešavanja nulte tačke tako da pokazivač instrumenta omogućava pouzdano određivanje u mN/m.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Postavljanje: Aparat se niveliše postavljanjem npr. libele na bazu tenziometra, uz podešavanje zavrtnjeva kojima se reguliše nivo postolja.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Podešavanje nulte tačke: Nakon postavljanja prstena na aparat pre potapanja u tečnost, pokazivač tenziometra se podešava na nulu, a prsten se podešava paralelno sa površinom tečnosti. U tu svrhu, površina tečnosti služi kao ogledalo.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Kalibracija: Kalibracija se vrši pomoću dva postupka: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Korišćenjem mase: procedura koja koristi jahače poznatih masa između 0,1 g i 1,0 g na prstenu.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Faktor kalibracije (Fa), sa kojim se sva očitavanja množe, određuje se pomoću jednačine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75"/>
        <w:gridCol w:w="383"/>
        <w:gridCol w:w="8154"/>
      </w:tblGrid>
      <w:tr w:rsidR="00984859" w:rsidRPr="00984859" w:rsidTr="00984859">
        <w:trPr>
          <w:tblCellSpacing w:w="0" w:type="dxa"/>
        </w:trPr>
        <w:tc>
          <w:tcPr>
            <w:tcW w:w="57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lang w:eastAsia="sr-Latn-RS"/>
              </w:rPr>
              <w:t>F</w:t>
            </w:r>
            <w:r w:rsidRPr="00984859">
              <w:rPr>
                <w:rFonts w:ascii="Arial" w:eastAsia="Times New Roman" w:hAnsi="Arial" w:cs="Arial"/>
                <w:b/>
                <w:bCs/>
                <w:i/>
                <w:iCs/>
                <w:lang w:eastAsia="sr-Latn-RS"/>
              </w:rPr>
              <w:t>a</w:t>
            </w:r>
            <w:r w:rsidRPr="00984859">
              <w:rPr>
                <w:rFonts w:ascii="Arial" w:eastAsia="Times New Roman" w:hAnsi="Arial" w:cs="Arial"/>
                <w:lang w:eastAsia="sr-Latn-RS"/>
              </w:rPr>
              <w:t xml:space="preserve"> = </w:t>
            </w:r>
          </w:p>
        </w:tc>
        <w:tc>
          <w:tcPr>
            <w:tcW w:w="51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b/>
                <w:bCs/>
                <w:sz w:val="20"/>
                <w:szCs w:val="20"/>
                <w:lang w:eastAsia="sr-Latn-RS"/>
              </w:rPr>
              <w:t></w:t>
            </w:r>
            <w:r w:rsidRPr="00984859">
              <w:rPr>
                <w:rFonts w:ascii="Arial" w:eastAsia="Times New Roman" w:hAnsi="Arial" w:cs="Arial"/>
                <w:b/>
                <w:bCs/>
                <w:i/>
                <w:iCs/>
                <w:sz w:val="15"/>
                <w:szCs w:val="15"/>
                <w:vertAlign w:val="subscript"/>
                <w:lang w:eastAsia="sr-Latn-RS"/>
              </w:rPr>
              <w:t>r</w:t>
            </w:r>
          </w:p>
        </w:tc>
        <w:tc>
          <w:tcPr>
            <w:tcW w:w="140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51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b/>
                <w:bCs/>
                <w:sz w:val="20"/>
                <w:szCs w:val="20"/>
                <w:lang w:eastAsia="sr-Latn-RS"/>
              </w:rPr>
              <w:t></w:t>
            </w:r>
            <w:r w:rsidRPr="00984859">
              <w:rPr>
                <w:rFonts w:ascii="Arial" w:eastAsia="Times New Roman" w:hAnsi="Arial" w:cs="Arial"/>
                <w:b/>
                <w:bCs/>
                <w:i/>
                <w:iCs/>
                <w:sz w:val="15"/>
                <w:szCs w:val="15"/>
                <w:vertAlign w:val="subscript"/>
                <w:lang w:eastAsia="sr-Latn-RS"/>
              </w:rPr>
              <w:t>a</w:t>
            </w:r>
          </w:p>
        </w:tc>
        <w:tc>
          <w:tcPr>
            <w:tcW w:w="140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84"/>
        <w:gridCol w:w="698"/>
        <w:gridCol w:w="8030"/>
      </w:tblGrid>
      <w:tr w:rsidR="00984859" w:rsidRPr="00984859" w:rsidTr="00984859">
        <w:trPr>
          <w:tblCellSpacing w:w="0" w:type="dxa"/>
        </w:trPr>
        <w:tc>
          <w:tcPr>
            <w:tcW w:w="52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b/>
                <w:bCs/>
                <w:sz w:val="20"/>
                <w:szCs w:val="20"/>
                <w:lang w:eastAsia="sr-Latn-RS"/>
              </w:rPr>
              <w:t></w:t>
            </w:r>
            <w:r w:rsidRPr="00984859">
              <w:rPr>
                <w:rFonts w:ascii="Arial" w:eastAsia="Times New Roman" w:hAnsi="Arial" w:cs="Arial"/>
                <w:b/>
                <w:bCs/>
                <w:i/>
                <w:iCs/>
                <w:sz w:val="15"/>
                <w:szCs w:val="15"/>
                <w:vertAlign w:val="subscript"/>
                <w:lang w:eastAsia="sr-Latn-RS"/>
              </w:rPr>
              <w:t>r</w:t>
            </w:r>
            <w:r w:rsidRPr="00984859">
              <w:rPr>
                <w:rFonts w:ascii="Arial" w:eastAsia="Times New Roman" w:hAnsi="Arial" w:cs="Arial"/>
                <w:lang w:eastAsia="sr-Latn-RS"/>
              </w:rPr>
              <w:t xml:space="preserve"> = </w:t>
            </w:r>
          </w:p>
        </w:tc>
        <w:tc>
          <w:tcPr>
            <w:tcW w:w="945" w:type="dxa"/>
            <w:tcBorders>
              <w:top w:val="single" w:sz="2" w:space="0" w:color="000000"/>
              <w:left w:val="single" w:sz="2" w:space="0" w:color="000000"/>
              <w:bottom w:val="single" w:sz="6" w:space="0" w:color="000000"/>
              <w:right w:val="single" w:sz="2" w:space="0" w:color="000000"/>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b/>
                <w:bCs/>
                <w:i/>
                <w:iCs/>
                <w:lang w:eastAsia="sr-Latn-RS"/>
              </w:rPr>
              <w:t xml:space="preserve">mg </w:t>
            </w:r>
          </w:p>
        </w:tc>
        <w:tc>
          <w:tcPr>
            <w:tcW w:w="1371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lang w:eastAsia="sr-Latn-RS"/>
              </w:rPr>
              <w:t>(</w:t>
            </w:r>
            <w:r w:rsidRPr="00984859">
              <w:rPr>
                <w:rFonts w:ascii="Arial" w:eastAsia="Times New Roman" w:hAnsi="Arial" w:cs="Arial"/>
                <w:b/>
                <w:bCs/>
                <w:i/>
                <w:iCs/>
                <w:lang w:eastAsia="sr-Latn-RS"/>
              </w:rPr>
              <w:t>mN</w:t>
            </w:r>
            <w:r w:rsidRPr="00984859">
              <w:rPr>
                <w:rFonts w:ascii="Arial" w:eastAsia="Times New Roman" w:hAnsi="Arial" w:cs="Arial"/>
                <w:b/>
                <w:bCs/>
                <w:lang w:eastAsia="sr-Latn-RS"/>
              </w:rPr>
              <w:t xml:space="preserve"> / </w:t>
            </w:r>
            <w:r w:rsidRPr="00984859">
              <w:rPr>
                <w:rFonts w:ascii="Arial" w:eastAsia="Times New Roman" w:hAnsi="Arial" w:cs="Arial"/>
                <w:b/>
                <w:bCs/>
                <w:i/>
                <w:iCs/>
                <w:lang w:eastAsia="sr-Latn-RS"/>
              </w:rPr>
              <w:t>m</w:t>
            </w:r>
            <w:r w:rsidRPr="00984859">
              <w:rPr>
                <w:rFonts w:ascii="Arial" w:eastAsia="Times New Roman" w:hAnsi="Arial" w:cs="Arial"/>
                <w:b/>
                <w:bCs/>
                <w:lang w:eastAsia="sr-Latn-RS"/>
              </w:rPr>
              <w:t xml:space="preserve">)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945"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b/>
                <w:bCs/>
                <w:lang w:eastAsia="sr-Latn-RS"/>
              </w:rPr>
              <w:t>2</w:t>
            </w:r>
            <w:r w:rsidRPr="00984859">
              <w:rPr>
                <w:rFonts w:ascii="Arial" w:eastAsia="Times New Roman" w:hAnsi="Arial" w:cs="Arial"/>
                <w:b/>
                <w:bCs/>
                <w:i/>
                <w:iCs/>
                <w:lang w:eastAsia="sr-Latn-RS"/>
              </w:rPr>
              <w:t>b</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m</w:t>
      </w:r>
      <w:r w:rsidRPr="00984859">
        <w:rPr>
          <w:rFonts w:ascii="Arial" w:eastAsia="Times New Roman" w:hAnsi="Arial" w:cs="Arial"/>
          <w:lang w:eastAsia="sr-Latn-RS"/>
        </w:rPr>
        <w:t xml:space="preserve"> jeste masa jahača (dopune), izražena u </w:t>
      </w:r>
      <w:r w:rsidRPr="00984859">
        <w:rPr>
          <w:rFonts w:ascii="Arial" w:eastAsia="Times New Roman" w:hAnsi="Arial" w:cs="Arial"/>
          <w:i/>
          <w:iCs/>
          <w:lang w:eastAsia="sr-Latn-RS"/>
        </w:rPr>
        <w:t>g</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g</w:t>
      </w:r>
      <w:r w:rsidRPr="00984859">
        <w:rPr>
          <w:rFonts w:ascii="Arial" w:eastAsia="Times New Roman" w:hAnsi="Arial" w:cs="Arial"/>
          <w:lang w:eastAsia="sr-Latn-RS"/>
        </w:rPr>
        <w:t xml:space="preserve"> jeste gravitaciono ubrzanje (981 cm s</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na nivou mora);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b</w:t>
      </w:r>
      <w:r w:rsidRPr="00984859">
        <w:rPr>
          <w:rFonts w:ascii="Arial" w:eastAsia="Times New Roman" w:hAnsi="Arial" w:cs="Arial"/>
          <w:lang w:eastAsia="sr-Latn-RS"/>
        </w:rPr>
        <w:t xml:space="preserve"> jeste srednji obim prstena, izražen u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s</w:t>
      </w:r>
      <w:r w:rsidRPr="00984859">
        <w:rPr>
          <w:rFonts w:ascii="Arial" w:eastAsia="Times New Roman" w:hAnsi="Arial" w:cs="Arial"/>
          <w:i/>
          <w:iCs/>
          <w:sz w:val="15"/>
          <w:szCs w:val="15"/>
          <w:vertAlign w:val="subscript"/>
          <w:lang w:eastAsia="sr-Latn-RS"/>
        </w:rPr>
        <w:t>a</w:t>
      </w:r>
      <w:r w:rsidRPr="00984859">
        <w:rPr>
          <w:rFonts w:ascii="Arial" w:eastAsia="Times New Roman" w:hAnsi="Arial" w:cs="Arial"/>
          <w:lang w:eastAsia="sr-Latn-RS"/>
        </w:rPr>
        <w:t xml:space="preserve"> jeste očitavanje tenziometra nakom postavljanja jahača na prsten, izraženo u mN/m.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Korišćenjem vode: postupak koji koristi čistu vodu čiji je površinski napon na npr. temperaturi od 23° C jednak 72,3 mN/m. Ovaj postupak se obavlja brže od kalibracije masom, ali uvek postoji opasnost da je površinski napon vode lažan usled ostataka kontaminacije surfaktantima.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Kalibracioni faktor (</w:t>
      </w:r>
      <w:r w:rsidRPr="00984859">
        <w:rPr>
          <w:rFonts w:ascii="Arial" w:eastAsia="Times New Roman" w:hAnsi="Arial" w:cs="Arial"/>
          <w:i/>
          <w:iCs/>
          <w:lang w:eastAsia="sr-Latn-RS"/>
        </w:rPr>
        <w:t>F</w:t>
      </w:r>
      <w:r w:rsidRPr="00984859">
        <w:rPr>
          <w:rFonts w:ascii="Arial" w:eastAsia="Times New Roman" w:hAnsi="Arial" w:cs="Arial"/>
          <w:i/>
          <w:iCs/>
          <w:sz w:val="15"/>
          <w:szCs w:val="15"/>
          <w:vertAlign w:val="subscript"/>
          <w:lang w:eastAsia="sr-Latn-RS"/>
        </w:rPr>
        <w:t>b</w:t>
      </w:r>
      <w:r w:rsidRPr="00984859">
        <w:rPr>
          <w:rFonts w:ascii="Arial" w:eastAsia="Times New Roman" w:hAnsi="Arial" w:cs="Arial"/>
          <w:lang w:eastAsia="sr-Latn-RS"/>
        </w:rPr>
        <w:t>), sa kojim se množe sva očitavanja sa instrumenta, određuje se pomoću jednačine</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29"/>
        <w:gridCol w:w="381"/>
        <w:gridCol w:w="8302"/>
      </w:tblGrid>
      <w:tr w:rsidR="00984859" w:rsidRPr="00984859" w:rsidTr="00984859">
        <w:trPr>
          <w:tblCellSpacing w:w="0" w:type="dxa"/>
        </w:trPr>
        <w:tc>
          <w:tcPr>
            <w:tcW w:w="57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lang w:eastAsia="sr-Latn-RS"/>
              </w:rPr>
              <w:lastRenderedPageBreak/>
              <w:t>F</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w:t>
            </w:r>
          </w:p>
        </w:tc>
        <w:tc>
          <w:tcPr>
            <w:tcW w:w="49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b/>
                <w:bCs/>
                <w:sz w:val="20"/>
                <w:szCs w:val="20"/>
                <w:lang w:eastAsia="sr-Latn-RS"/>
              </w:rPr>
              <w:t></w:t>
            </w:r>
            <w:r w:rsidRPr="00984859">
              <w:rPr>
                <w:rFonts w:ascii="Arial" w:eastAsia="Times New Roman" w:hAnsi="Arial" w:cs="Arial"/>
                <w:sz w:val="15"/>
                <w:szCs w:val="15"/>
                <w:vertAlign w:val="subscript"/>
                <w:lang w:eastAsia="sr-Latn-RS"/>
              </w:rPr>
              <w:t>o</w:t>
            </w:r>
          </w:p>
        </w:tc>
        <w:tc>
          <w:tcPr>
            <w:tcW w:w="1402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9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b/>
                <w:bCs/>
                <w:sz w:val="20"/>
                <w:szCs w:val="20"/>
                <w:lang w:eastAsia="sr-Latn-RS"/>
              </w:rPr>
              <w:t></w:t>
            </w:r>
            <w:r w:rsidRPr="00984859">
              <w:rPr>
                <w:rFonts w:ascii="Arial" w:eastAsia="Times New Roman" w:hAnsi="Arial" w:cs="Arial"/>
                <w:b/>
                <w:bCs/>
                <w:i/>
                <w:iCs/>
                <w:sz w:val="15"/>
                <w:szCs w:val="15"/>
                <w:vertAlign w:val="subscript"/>
                <w:lang w:eastAsia="sr-Latn-RS"/>
              </w:rPr>
              <w:t>g</w:t>
            </w:r>
          </w:p>
        </w:tc>
        <w:tc>
          <w:tcPr>
            <w:tcW w:w="1402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s</w:t>
      </w:r>
      <w:r w:rsidRPr="00984859">
        <w:rPr>
          <w:rFonts w:ascii="Arial" w:eastAsia="Times New Roman" w:hAnsi="Arial" w:cs="Arial"/>
          <w:sz w:val="15"/>
          <w:szCs w:val="15"/>
          <w:vertAlign w:val="subscript"/>
          <w:lang w:eastAsia="sr-Latn-RS"/>
        </w:rPr>
        <w:t>o</w:t>
      </w:r>
      <w:r w:rsidRPr="00984859">
        <w:rPr>
          <w:rFonts w:ascii="Arial" w:eastAsia="Times New Roman" w:hAnsi="Arial" w:cs="Arial"/>
          <w:lang w:eastAsia="sr-Latn-RS"/>
        </w:rPr>
        <w:t xml:space="preserve"> jeste vrednost iz literature za površinski napon vode (mN/m);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s</w:t>
      </w:r>
      <w:r w:rsidRPr="00984859">
        <w:rPr>
          <w:rFonts w:ascii="Arial" w:eastAsia="Times New Roman" w:hAnsi="Arial" w:cs="Arial"/>
          <w:sz w:val="15"/>
          <w:szCs w:val="15"/>
          <w:vertAlign w:val="subscript"/>
          <w:lang w:eastAsia="sr-Latn-RS"/>
        </w:rPr>
        <w:t xml:space="preserve">g </w:t>
      </w:r>
      <w:r w:rsidRPr="00984859">
        <w:rPr>
          <w:rFonts w:ascii="Arial" w:eastAsia="Times New Roman" w:hAnsi="Arial" w:cs="Arial"/>
          <w:lang w:eastAsia="sr-Latn-RS"/>
        </w:rPr>
        <w:t xml:space="preserve">jeste izmerena vrednost površinskog napona vode (mN/m), obe pri istoj temperaturi.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1.6.4.3. Priprema 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 supstanci koje se ispituju pripremaju se vodeni rastvori u zahtevanim koncentracijama. Ne smeju sadržati nikakve nerastvorne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 se održava na konstantnoj temperaturi (± 0,5° C). Pošto se površinski napon rastvora u mernom sudu menja vremenom, vrši se nekoliko merenja u različitim vremenskim intervalima, pri čemu iscrtana kriva pokazuje površinski napon kao funkciju vremena. Kada promene prestanu da se dešavaju, postiže se stanje ravnoteže.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Kontaminacija prašinom i gasovima sa drugih supstanci utiče na merenje. Zbog navedenog merenje se odvija ispod zaštitnog poklopca.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Merenje se vrši na temperaturi od približno 20° C i kontroliše se u okviru ± 0,5° 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1.6.6.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Rastvori koji se mere prenose se u pažljivo opranu posudu za merenje, vodeći računa da se izbegne stvaranje pene, nakon čega se posuda za merenje postavlja na sto aparata za ispitivanje. Vrh table sa mernim sudom se zatim izdiže sve dok prsten ne zaroni ispod površine rastvora koji se meri. Nakon toga, vrh table se postepeno i ravnomerno spušta (brzinom od oko 0,5 cm/min) da bi se prsten odvojio od površine do postizanja maksimalne sile. Tečni sloj koji je zalepljen na prsten ne sme se odvajati od prstena. Nakon završenog merenja, prsten se ponovo zaranja ispod površine, a merenje se ponavlja dok se ne postigne konstantna vrednost površinskog napona. Za svako određivanje beleži se vreme od prenošenja rastvora u merni sud. Očitavanje se vrši pri maksimalnoj sili potrebnoj da se prsten odvoji od površine tečnosti.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Radi izračunavanja površinskog napona, očitana vrednost u mN/m na aparatu se prvo množi sa faktorom kalibracije F</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ili F</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(u zavisnosti od toga koji postupak kalibracije je korišćen). Navedeni postupak daje vrednost koja se primenjuje samo približno, te stoga zahteva korekciju.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Harkins i Džordan</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su empirijski utvrdili faktore korekcije za vrednosti površinskog napona izmerene metodom prstena, koji zavise od: dimenzija prstena, gustine tečnosti i njenog površinskog napona.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 tabela Harkinsa i Džordana teško je utvrditi faktor korekcije za svako individualno merenje, te se za proračun površinskog napona za vodene rastvore koristi i pojednostavljena procedura očitavanja korektivnih vrednosti površinskog napona direktno iz tabele.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očitavanja koja se nalaze između tabelarnih vrednosti koristi se interpolacija.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Korekcija izmerenog površinskog napona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Samo za vodene rastvore, </w:t>
      </w:r>
      <w:r w:rsidRPr="00984859">
        <w:rPr>
          <w:rFonts w:ascii="Arial" w:eastAsia="Times New Roman" w:hAnsi="Arial" w:cs="Arial"/>
          <w:i/>
          <w:iCs/>
          <w:lang w:eastAsia="sr-Latn-RS"/>
        </w:rPr>
        <w:t>r</w:t>
      </w:r>
      <w:r w:rsidRPr="00984859">
        <w:rPr>
          <w:rFonts w:ascii="Arial" w:eastAsia="Times New Roman" w:hAnsi="Arial" w:cs="Arial"/>
          <w:lang w:eastAsia="sr-Latn-RS"/>
        </w:rPr>
        <w:t xml:space="preserve"> = 1 g/cm</w:t>
      </w:r>
      <w:r w:rsidRPr="00984859">
        <w:rPr>
          <w:rFonts w:ascii="Arial" w:eastAsia="Times New Roman" w:hAnsi="Arial" w:cs="Arial"/>
          <w:sz w:val="15"/>
          <w:szCs w:val="15"/>
          <w:vertAlign w:val="superscript"/>
          <w:lang w:eastAsia="sr-Latn-RS"/>
        </w:rPr>
        <w:t>3</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4"/>
        <w:gridCol w:w="4010"/>
        <w:gridCol w:w="4978"/>
      </w:tblGrid>
      <w:tr w:rsidR="00984859" w:rsidRPr="00984859" w:rsidTr="00984859">
        <w:trPr>
          <w:tblCellSpacing w:w="0" w:type="dxa"/>
        </w:trPr>
        <w:tc>
          <w:tcPr>
            <w:tcW w:w="200" w:type="pct"/>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r </w:t>
            </w:r>
          </w:p>
        </w:tc>
        <w:tc>
          <w:tcPr>
            <w:tcW w:w="1550" w:type="pct"/>
            <w:tcBorders>
              <w:top w:val="outset" w:sz="6" w:space="0" w:color="000000"/>
              <w:left w:val="outset" w:sz="6" w:space="0" w:color="000000"/>
              <w:bottom w:val="outset" w:sz="6" w:space="0" w:color="000000"/>
              <w:right w:val="outset" w:sz="6" w:space="0" w:color="000000"/>
            </w:tcBorders>
            <w:noWrap/>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9,55 mm (prosečan poluprečnik prstena) </w:t>
            </w:r>
          </w:p>
        </w:tc>
        <w:tc>
          <w:tcPr>
            <w:tcW w:w="32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r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0,185 mm (poluprečnik žice prstena)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96"/>
        <w:gridCol w:w="3358"/>
        <w:gridCol w:w="3278"/>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Eksperimentalna vrednost (mN/m)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Korigovana vrednost (mN/m)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Kalibracija jahačem (videti odeljak 1.6.4.2.2.a) ove metode)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Kalibracija vodom (videti odeljak 1.6.4.2.2.b) ove metode)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38,2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43,4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45,3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48,6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47,3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49,3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52,8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Tabela je izrađena na osnovu Harkins-Džordanove korekcije</w:t>
      </w:r>
      <w:r w:rsidRPr="00984859">
        <w:rPr>
          <w:rFonts w:ascii="Arial" w:eastAsia="Times New Roman" w:hAnsi="Arial" w:cs="Arial"/>
          <w:b/>
          <w:bCs/>
          <w:sz w:val="15"/>
          <w:szCs w:val="15"/>
          <w:vertAlign w:val="superscript"/>
          <w:lang w:eastAsia="sr-Latn-RS"/>
        </w:rPr>
        <w:t>XXIII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Alternativno, bez prethodne kalibracije, površinski napon se izračunava prema formuli: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25"/>
        <w:gridCol w:w="818"/>
        <w:gridCol w:w="7869"/>
      </w:tblGrid>
      <w:tr w:rsidR="00984859" w:rsidRPr="00984859" w:rsidTr="00984859">
        <w:trPr>
          <w:tblCellSpacing w:w="0" w:type="dxa"/>
        </w:trPr>
        <w:tc>
          <w:tcPr>
            <w:tcW w:w="42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b/>
                <w:bCs/>
                <w:sz w:val="20"/>
                <w:szCs w:val="20"/>
                <w:lang w:eastAsia="sr-Latn-RS"/>
              </w:rPr>
              <w:t></w:t>
            </w:r>
            <w:r w:rsidRPr="00984859">
              <w:rPr>
                <w:rFonts w:ascii="Arial" w:eastAsia="Times New Roman" w:hAnsi="Arial" w:cs="Arial"/>
                <w:b/>
                <w:bCs/>
                <w:lang w:eastAsia="sr-Latn-RS"/>
              </w:rPr>
              <w:t xml:space="preserve"> = </w:t>
            </w:r>
          </w:p>
        </w:tc>
        <w:tc>
          <w:tcPr>
            <w:tcW w:w="111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Symbol" w:eastAsia="Times New Roman" w:hAnsi="Symbol" w:cs="Arial"/>
                <w:b/>
                <w:bCs/>
                <w:i/>
                <w:iCs/>
                <w:sz w:val="20"/>
                <w:szCs w:val="20"/>
                <w:lang w:eastAsia="sr-Latn-RS"/>
              </w:rPr>
              <w:t></w:t>
            </w:r>
            <w:r w:rsidRPr="00984859">
              <w:rPr>
                <w:rFonts w:ascii="Arial" w:eastAsia="Times New Roman" w:hAnsi="Arial" w:cs="Arial"/>
                <w:b/>
                <w:bCs/>
                <w:i/>
                <w:iCs/>
                <w:lang w:eastAsia="sr-Latn-RS"/>
              </w:rPr>
              <w:t xml:space="preserve">xF </w:t>
            </w:r>
          </w:p>
        </w:tc>
        <w:tc>
          <w:tcPr>
            <w:tcW w:w="1365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11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b/>
                <w:bCs/>
                <w:i/>
                <w:iCs/>
                <w:lang w:eastAsia="sr-Latn-RS"/>
              </w:rPr>
              <w:t>4</w:t>
            </w:r>
            <w:r w:rsidRPr="00984859">
              <w:rPr>
                <w:rFonts w:ascii="Symbol" w:eastAsia="Times New Roman" w:hAnsi="Symbol" w:cs="Arial"/>
                <w:b/>
                <w:bCs/>
                <w:i/>
                <w:iCs/>
                <w:sz w:val="20"/>
                <w:szCs w:val="20"/>
                <w:lang w:eastAsia="sr-Latn-RS"/>
              </w:rPr>
              <w:t></w:t>
            </w:r>
            <w:r w:rsidRPr="00984859">
              <w:rPr>
                <w:rFonts w:ascii="Arial" w:eastAsia="Times New Roman" w:hAnsi="Arial" w:cs="Arial"/>
                <w:b/>
                <w:bCs/>
                <w:i/>
                <w:iCs/>
                <w:lang w:eastAsia="sr-Latn-RS"/>
              </w:rPr>
              <w:t xml:space="preserve">R </w:t>
            </w:r>
          </w:p>
        </w:tc>
        <w:tc>
          <w:tcPr>
            <w:tcW w:w="1365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F</w:t>
      </w:r>
      <w:r w:rsidRPr="00984859">
        <w:rPr>
          <w:rFonts w:ascii="Arial" w:eastAsia="Times New Roman" w:hAnsi="Arial" w:cs="Arial"/>
          <w:lang w:eastAsia="sr-Latn-RS"/>
        </w:rPr>
        <w:t xml:space="preserve"> jeste sila izmerena dinamometrom u tački prekida prevlake (filma);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R</w:t>
      </w:r>
      <w:r w:rsidRPr="00984859">
        <w:rPr>
          <w:rFonts w:ascii="Arial" w:eastAsia="Times New Roman" w:hAnsi="Arial" w:cs="Arial"/>
          <w:lang w:eastAsia="sr-Latn-RS"/>
        </w:rPr>
        <w:t xml:space="preserve"> jeste poluprečnik prstena;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sz w:val="20"/>
          <w:szCs w:val="20"/>
          <w:lang w:eastAsia="sr-Latn-RS"/>
        </w:rPr>
        <w:t></w:t>
      </w:r>
      <w:r w:rsidRPr="00984859">
        <w:rPr>
          <w:rFonts w:ascii="Arial" w:eastAsia="Times New Roman" w:hAnsi="Arial" w:cs="Arial"/>
          <w:lang w:eastAsia="sr-Latn-RS"/>
        </w:rPr>
        <w:t xml:space="preserve"> jeste korektivni faktor</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XXIII</w:t>
      </w:r>
      <w:r w:rsidRPr="00984859">
        <w:rPr>
          <w:rFonts w:ascii="Arial" w:eastAsia="Times New Roman" w:hAnsi="Arial" w:cs="Arial"/>
          <w:lang w:eastAsia="sr-Latn-RS"/>
        </w:rPr>
        <w:t xml:space="preserve"> Slična je tabeli koja je data u DIN standardu (DIN 53914) za vodu i vodene rastvore (gustine </w:t>
      </w:r>
      <w:r w:rsidRPr="00984859">
        <w:rPr>
          <w:rFonts w:ascii="Arial" w:eastAsia="Times New Roman" w:hAnsi="Arial" w:cs="Arial"/>
          <w:i/>
          <w:iCs/>
          <w:lang w:eastAsia="sr-Latn-RS"/>
        </w:rPr>
        <w:t>r</w:t>
      </w:r>
      <w:r w:rsidRPr="00984859">
        <w:rPr>
          <w:rFonts w:ascii="Arial" w:eastAsia="Times New Roman" w:hAnsi="Arial" w:cs="Arial"/>
          <w:lang w:eastAsia="sr-Latn-RS"/>
        </w:rPr>
        <w:t xml:space="preserve"> = 1 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i za komercijalno dostupan prsten dimenzija </w:t>
      </w:r>
      <w:r w:rsidRPr="00984859">
        <w:rPr>
          <w:rFonts w:ascii="Arial" w:eastAsia="Times New Roman" w:hAnsi="Arial" w:cs="Arial"/>
          <w:i/>
          <w:iCs/>
          <w:lang w:eastAsia="sr-Latn-RS"/>
        </w:rPr>
        <w:t>R</w:t>
      </w:r>
      <w:r w:rsidRPr="00984859">
        <w:rPr>
          <w:rFonts w:ascii="Arial" w:eastAsia="Times New Roman" w:hAnsi="Arial" w:cs="Arial"/>
          <w:lang w:eastAsia="sr-Latn-RS"/>
        </w:rPr>
        <w:t xml:space="preserve"> = 9,55 mm (srednji </w:t>
      </w:r>
      <w:r w:rsidRPr="00984859">
        <w:rPr>
          <w:rFonts w:ascii="Arial" w:eastAsia="Times New Roman" w:hAnsi="Arial" w:cs="Arial"/>
          <w:lang w:eastAsia="sr-Latn-RS"/>
        </w:rPr>
        <w:lastRenderedPageBreak/>
        <w:t xml:space="preserve">poluprečnik prstena) i </w:t>
      </w:r>
      <w:r w:rsidRPr="00984859">
        <w:rPr>
          <w:rFonts w:ascii="Arial" w:eastAsia="Times New Roman" w:hAnsi="Arial" w:cs="Arial"/>
          <w:i/>
          <w:iCs/>
          <w:lang w:eastAsia="sr-Latn-RS"/>
        </w:rPr>
        <w:t>r</w:t>
      </w:r>
      <w:r w:rsidRPr="00984859">
        <w:rPr>
          <w:rFonts w:ascii="Arial" w:eastAsia="Times New Roman" w:hAnsi="Arial" w:cs="Arial"/>
          <w:lang w:eastAsia="sr-Latn-RS"/>
        </w:rPr>
        <w:t xml:space="preserve"> = 0,185 mm (poluprečnik žice prstena). Tabela sadrži korigovane vrednosti za merenja površinskog napona nakon kalibracije jahačem ili vodom.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vrsti vode ili rastvora koji je korišćen;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tačnom opisu supstance (identitet i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rezultatima merenja: površinskog napona (očitavanje) sa navedenim pojedinačnim očitavanjima i njihovom aritmetičkom srednjom vrednošću, kao i sa korigovanom srednjom vrednošću (uzimajući u obzir faktor opreme i tabelu korekcije);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koncentraciji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starosti korišćenog rastvora; naročito vreme između pripreme i merenja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opisu vremenske zavisnosti površinskog napona nakon prenosa rastvora u merni sud.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se navode svi podaci i primedbe važne za tumačenje rezultata, naročito podaci o nečistoćama i fizičkom stanju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Imajući u vidu da destilovana voda ima površinski napon 72,75 mN/m na temperaturi od 20° C, supstance koje imaju površinski napon niži od 60 mN/m u uslovima ove metode smatraju se površinski aktivnim.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115, Decision of the Council C(81) 30 final.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 Weissberger ed.: Technique of Organic Chemistry, Physical Methods of Organic Chemistry, 3rd ed.,Interscience Publ., New York, 1959, vol. I, Part I, Chapter XIV.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Pure Appl. Chem., 1976, vol. 48, p. 511.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Harkins, W.D., Jordan, H.F., J. Amer. Chem. Soc., 1930, vol. 52, p. 1751.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A.6. RASTVORLJIVOST U VODI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Ova metoda zasniva se na Uputstvu za ispitivanje OECD</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Korisno je imati podatke o: strukturnoj formuli, naponu pare, konstanti disocijacije i hidrolizi (u funkciji pH vrednosti) supstance koja se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Pojedinačne metode ne mogu obuhvatiti ceo opseg rastvorljivosti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Dve metode ispitivanja pokrivaju ceo opseg rastvorljivosti u vodi, ali se ne mogu primeniti na isparljive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jedna metoda se primenjuje na čiste supstance koje imaju malu rastvorljivost (&lt; 10</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g/L) i koje su stabilne u vodi, a naziva se: "Metoda eluiranja sa kolone";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druga metoda se odnosi na čiste supstance sa većom rastvorljivošću (&gt; 10</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g/L) i koje su stabilne u vodi, a naziva se: "Metoda staklenog suda".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Prisustvo nečistoća može značajno uticati na rastvorljivost ispitivane supstance u vodi.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Rastvorljivost supstance u vodi određena je masenom koncentracijom supstance u zasićenom vodenom rastvoru na određenoj temperaturi.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Rastvorljivost u vodi izražava se jedinicama mase po zapremini rastvora. Merna jedinica u Međunarodnom sistemu jedinica (SI) sistema je kg/m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(mogu se koristiti i g/L).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se ne koriste svaki put kada se ispituje nova supstanca. One prvenstveno služe za povremenu proveru metode i da omoguće poređenje sa rezultatima dobijenim drugim metodama.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Preliminarnim ispitivanjima se utvrđuje približna količina uzorka i vreme neophodno da se postigne koncentracija zasićenog rastvora.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Metoda eluiranja sa kolone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eluiranju ispitivane supstance vodom iz mikrokolone koja je napunjena inertnim materijalom, kao što su granule stakla ili pesak, koji je prekriven supstancom koja se ispituje. Rastvorljivost u vodi određuje se kada masena koncentracija eluata postane konstantna. Rezultati se navode kao plato koncentracije u funkciji vremena.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Metoda staklenog suda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ovog postupka supstanca (čvrste supstance treba da budu sprašene) se rastvara u vodi na temperaturi nešto višoj od temperature ispitivanja. Kada dođe do zasićenja, smeša se hladi i ostavlja da stoji na temperaturi na kojoj se vrši ispitivanje, uz mešanje dok se ne postigne ravnoteža. Merenje se vrši i direktno na temperaturi na kojoj se ispituje, ukoliko se odgovarajućim uzorkovanjem potvrdi da je postignuto ravnotežno zasićenje. Nakon toga, </w:t>
      </w:r>
      <w:r w:rsidRPr="00984859">
        <w:rPr>
          <w:rFonts w:ascii="Arial" w:eastAsia="Times New Roman" w:hAnsi="Arial" w:cs="Arial"/>
          <w:lang w:eastAsia="sr-Latn-RS"/>
        </w:rPr>
        <w:lastRenderedPageBreak/>
        <w:t xml:space="preserve">primenom odgovarajuće analitičke metode, utvrđuje se masena koncentracija supstance u vodenom rastvoru koji ne sme sadržavati nerastvorne čestice.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Ponovljivost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metode eluiranja sa kolone može se dobiti rezultat &lt; 30%, a kod metode staklenog suda očekivani rezultat je &lt; 15%.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Osetljivost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Osetljivost zavisi od metode analize, ali moguće je odrediti masene koncentracije do 10</w:t>
      </w:r>
      <w:r w:rsidRPr="00984859">
        <w:rPr>
          <w:rFonts w:ascii="Arial" w:eastAsia="Times New Roman" w:hAnsi="Arial" w:cs="Arial"/>
          <w:sz w:val="15"/>
          <w:szCs w:val="15"/>
          <w:vertAlign w:val="superscript"/>
          <w:lang w:eastAsia="sr-Latn-RS"/>
        </w:rPr>
        <w:t>-6</w:t>
      </w:r>
      <w:r w:rsidRPr="00984859">
        <w:rPr>
          <w:rFonts w:ascii="Arial" w:eastAsia="Times New Roman" w:hAnsi="Arial" w:cs="Arial"/>
          <w:lang w:eastAsia="sr-Latn-RS"/>
        </w:rPr>
        <w:t xml:space="preserve"> g/L.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najčešće sprovodi na temperaturi od 20° C ± 0,5° C. Ukoliko se posumnja da rastvorljivost zavisi od temperature (&gt; 3% po° C), rastvorljivost se ispituje na još dve temperature koje su najmanje za 10° C niže ili više od početne temperature. U tom slučaju kontrola temperature treba da bude u opsegu ± 0,1° C. Izabrana temperatura treba da bude konstantna u svim važnim delovima opreme.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Preliminarna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Približno 0,1 g uzorka (čvrste supstance treba da budu sprašene) prenese se u graduisanu menzuru sa staklenim zapušačem (zapremine 10 mL) i dodaju se postepeno povećane zapremine destilovane vode na sobnoj temperaturi u koracima datim u tabeli: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148"/>
        <w:gridCol w:w="702"/>
        <w:gridCol w:w="1136"/>
        <w:gridCol w:w="1136"/>
        <w:gridCol w:w="916"/>
        <w:gridCol w:w="794"/>
        <w:gridCol w:w="721"/>
        <w:gridCol w:w="57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g rastvoren u "x" mL vode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100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Približno utvrđena rastvorljivost (g/L)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1000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 do 200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 do 1000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do 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do 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do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1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svakog dodavanja navedene količine vode, smeša se snažno mućka 10 minuta i vizuelno se proverava da li ima nerastvornih delova uzorka. Ukoliko nakon dodavanja 10 mL vode uzorak ili neki njegovi delovi ostaju nerastvoreni, eksperiment se ponavlja u menzuri zapremine 100 mL sa većim zapreminama vode. Kod supstanci koje su slabo rastvorne u vodi vreme koje je neophodno da bi se rastvorila supstanca može biti znatno duže (najmanje 24 sata). Približna vrednost rastvorljivosti iz Tabele odnosi se na zapreminu vode koja je nešto malo ispod one vrednosti pri kojoj dolazi do potpunog rastvaranja supstance. Ukoliko je očigledno da se supstanca nije do kraja rastvorila, ostavlja se da se rastvara duže od 24 sata (maksimum 96 sati) ili se vrše dalja razblaživanja kako bi se potvrdilo da li je za korišćenje pogodnija metoda eluiranja sa kolone ili metoda staklenog suda.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Metoda eluiranja sa kolone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Nosač, rastvarač i eluent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Nosač koji se koristi kod metode eluiranja sa kolone treba da bude inertan. Materijali koji se mogu koristiti su staklene kuglice i pesak. Za nanošenje uzorka na nosač koriste se isparljivi </w:t>
      </w:r>
      <w:r w:rsidRPr="00984859">
        <w:rPr>
          <w:rFonts w:ascii="Arial" w:eastAsia="Times New Roman" w:hAnsi="Arial" w:cs="Arial"/>
          <w:lang w:eastAsia="sr-Latn-RS"/>
        </w:rPr>
        <w:lastRenderedPageBreak/>
        <w:t xml:space="preserve">rastvarači analitičke čistoće. Za eluiranje se koristi bi-destilovana voda koja je destilovana u staklenoj ili kvarcnoj aparaturi.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Demineralizovana voda koja dolazi sa organskog jonoizmenjivača ne sme se koristiti.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Nanošenje supstance na nosač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Oko 600 mg nosača izmeri se i unese u balon sa okruglim dnom zapremine 50 mL. Odgovarajuća, precizno izmerena količina supstance koja se ispituje rastvori se u izabranom rastvaraču. Odgovarajuća količina ovog rastvora dodaje se na nosač. Rastvarač se u potpunosti upari npr. upotrebom rotacionog vakuum uparivača. U suprotnom, ne postiže se optimalna vlažnost podloge zbog efekta raspodele na površini nosača.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Punjenje nosača proizvodi probleme (netačne rezultate) ukoliko se supstanca koja se ispituje deponuje u obliku ulja ili u različitoj kristalnoj fazi. Ovaj problem se ispituje kroz eksperimente i sačinjava se detaljan izveštaj o tome.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Nosač se ostavi da se natapa oko dva sata u 5 mL vode, a potom se suspenzija prenosi u mikrokolonu. Alternativno, u mikrokolonu koja je napunjena vodom sipa se osušeni nosač koji se ostavi u koloni oko dva sata da se uravnoteži.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Eluiranje supstance sa nosača izvodi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pomoću recirkulacione pumpe (videti Sliku 1)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pomoću suda za nivelisanje (videti Sliku 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1.6.3.3. Metoda eluiranja sa kolone pomoću recirkulacione pumpe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Šematski prikaz opreme dat je na Slici 1. Odgovarajuća mikrokolona prikazana je na Slici 2, iako je prihvatljiva bilo koja veličina koja ispunjava kriterijume koji se odnose ne reproduktivnost i osetljivost. Kolona treba da ima dovoljno mesta za najmanje pet zapremina vode i da može da izdrži pet uzoraka. Veličina kolone se može smanjiti ukoliko se koristi pripremljeni rastvor koji zamenjuje pet zapremina koje se koriste za uklanjanje nečistoća.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Kolona se povezuje sa recirkulacionom pumpom sa kontrolisanim protokom oko 25 mL/h. Pumpa se povezuje pomoću politetrafluoretilenskih (u daljem tekstu: PTFE) i/ili staklenih konektora. Kolona i pumpa, kada se sastave, treba da imaju mogućnost uzorkovanja efluenta i izjednačavanja pritiska. Materijal u koloni zadržava mali čep (5 mm) od staklene vune koji služi i kao filter za čestice nečistoća. Pumpa je peristaltička pumpa ili membranska puma (vodi se računa da ne dođe da zagađenja i/ili apsorpcije materijala iz cevi).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Početi protok kroz kolonu. Preporučuje se da se koristi protok od oko 25 mL/h (to odgovara 10 zapremina/h za kolonu koja je opisana). Prvih pet zapremina (minimum) odbaciti kako bi se sa njima izdvojile nečistoće rastvorne u vodi. Nakon toga pumpa se ostavlja da radi sve dok se ne postigne ravnoteža. Smatra se da je uspostavljena ravnoteža kada se u pet </w:t>
      </w:r>
      <w:r w:rsidRPr="00984859">
        <w:rPr>
          <w:rFonts w:ascii="Arial" w:eastAsia="Times New Roman" w:hAnsi="Arial" w:cs="Arial"/>
          <w:lang w:eastAsia="sr-Latn-RS"/>
        </w:rPr>
        <w:lastRenderedPageBreak/>
        <w:t xml:space="preserve">nasumično uzetih uzastopnih uzoraka koncentracije ne razlikuju za više od ± 30%. Ovi uzorci se razdvajaju jedni od drugih po vremenskim intervalima koji odgovaraju prolasku najmanje 10 zapremina eluenta.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1.6.3.4. Metoda eluiranja sa kolone pomoću suda za nivelisanje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Aparatura (videti Slike 4 i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Sud za nivelisanje: Spajanje sa sudom za nivelisanje vrši se upotrebom šlifovanog spoja koji je povezan pomoću cevi od PTFE. Preporučuje se da se koristi protok od oko 25 mLl/h. Prikupljene frakcije analiziraju se izabranom metodom.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Frakcije koje pripadaju srednjem opsegu elucije, kada su koncentracije konstantne (± 30%) u najmanje pet uzastopnih frakcija, koriste se da bi se odredila rastvorljivost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oba slučaja (kada se koristi pumpa ili posuda za nivelisanje) se ispituje rastvorljivost sa upola manjim protokom u odnosu na prvo ispitivanje. Ukoliko se rezultati dva ispitivanja slažu, rezultat je zadovoljavajući. Ukoliko je rastvorljivost očigledno veća pri manjem protoku, nastavlja se prepolovljavanje brzine protoka sve dok dva sukcesivna ispitivanja ne daju približne rezultate.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oba slučaja (kada se koristi pumpa ili posuda za nivelisanje) frakcije se proveravaju na sadržaj koloidnih čestica Tindalovim efektom (raspršavanjem snopa svetlosti). Prisustvo koloidnih čestica menja rezultate i ispitivanje se ponavlja uz poboljšano filtriranje kroz kolonu.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izmeriti pH vrednost svakog uzorka. Ispitivanje pri manjem protoku izvodi se pri istoj temperaturi.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Metoda staklenog suda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primenu metode staklenog suda potrebno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uobičajeno laboratorijsko posuđe od stakla i instrumenti;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pogodan za mešanje rastvora pri kontrolisanim konstantnim temperaturama;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centrifuga (poželjno termostatirana), ukoliko se radi sa emulzijama;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oprema za analitičko određivanje.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1.6.4.2. 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Količina potrebnog materijala da bi se postiglo zasićenje željene zapremine vode utvrđuje se na osnovu preliminarnog ispitivanja. Zapremina vode koja je neophodna zavisi od primenjene analitičke metode i opsega rastvorljivosti. Količina materijala (oko pet puta veća od one koja je utvrđena preliminarnim ispitivanjem) odmeri se i stavi u svaku od tri staklene posude koje imaju staklene zapušače (npr. epruvete ili kivete za centrifugiranje, baloni). Određena količina vode dodaje se u svaku posudu i one se čvrsto zatvore. Zatvorene posude potom se mešaju na temperaturi od 30° C. (Koristi se uređaj koji meša pri </w:t>
      </w:r>
      <w:r w:rsidRPr="00984859">
        <w:rPr>
          <w:rFonts w:ascii="Arial" w:eastAsia="Times New Roman" w:hAnsi="Arial" w:cs="Arial"/>
          <w:lang w:eastAsia="sr-Latn-RS"/>
        </w:rPr>
        <w:lastRenderedPageBreak/>
        <w:t xml:space="preserve">konstantnoj temperaturi, npr. magnetno mešanje u termostatiranom vodenom kupatilu). Nakon jednog dana, jedna od posuda se uklanja i ostavi se, uz povremeno mešanje, na temperaturi na kojoj se izvodi ispitivanje tokom 24 sata da bi se uspostavila ravnoteža. Sadržaj posude se zatim centrifugira na temperaturi na kojoj se vrši ispitivanje i određuje se koncentracija supstance u vodenoj fazi upotrebom odgovarajuće analitičke metode. Preostale dve posude prolaze kroz isti postupak nakon početnog ujednačavanja pri temperaturi od 30° C u roku od dva odnosno tri dana. Ukoliko se koncentracije iz najmanje dve posude slažu sa željenom ponovljivošću, smatra se da je ispitivanje zadovoljilo kriterijume. Ispitivanje se ponavlja, uz duže vreme uspostavljanja ravnoteže, ukoliko rezultati iz posuda 1, 2 i 3 pokazuju tendenciju povećanja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Merenje se vrši bez perioda inkubacije na temperaturi od 30° C. Da bi se odredila brzina uspostavljanje ravnoteže zasićenja, uzorci se uzimaju do trenutka kada vreme mešanja više ne utiče na koncentraciju ispitivanog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zabeležiti pH vrednost svakog uzorka.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ovim određivanjima za svaku određenu supstancu potrebno je primeniti analitičku metodu koja je za nju odgovarajuća, s obzirom da male količine rastvorenih nečistoća mogu dovesti do velikih grešaka u određivanju rastvorljivosti. Metode koje se primenjuju mogu biti: gasna ili tečna hromatografija, metode titracije, fotometrijske metode, voltametrijske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METODA ELUIRANJA SA KOLONE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izračunati srednju vrednost za najmanje pet uzastopnih uzoraka uzetih iz posude u kojoj se nalaze zasićeni rastvori, kao i vrednost standardne devijacije. Rezultati se prikazuju u jedinicama mase po zapremini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Srednje vrednosti izračunate za dva ispitivanja u kojima se koriste različite brzine protoka se upoređuju i treba da imaju ponovljivost manju od 30%.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METODA STAKLENOG SUDA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Prikazuju se pojedinačni rezultati za svaku od posuda i ukoliko su ovi rezultati konstantni (ponovljivost manja od 15%), treba izračunati njihovu srednju vrednost i izraziti je u jedinicama masa po zapremini rastvora. Ovo zahteva pretvaranje masenih jedinica u zapreminske jedinice, korišćenjem gustine kada je rastvorljivost veoma velika (&gt; 100 g/L).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METODA ELUIRANJA SA KOLONE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rezultatima preliminarnih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preciznom opisu supstance (identitet i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pojedinačnim koncentracijama, brzini protoka i pH vrednosti za svaki uzorak;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srednjoj vrednosti i standardnoj devijaciji najmanje pet uzoraka iz područja zasićenja za svako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prosečnoj vrednosti dva uzastopna, prihvatljiva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temperaturi vode pri pravljenju zasićenog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korišćenoj metodi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materijalu nosača;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načinu nanošenja uzorka na nosač;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korišćenom rastvaraču;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evidenciji, ako je došlo do hemijske nestabilnosti supstance za vreme ispitivanja i korišćenoj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se navode svi podaci i primedbe važne za tumačenje rezultata, naročito podaci o nečistoćama i fizičkom stanju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METODA STAKLENOG SUDA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rezultatima preliminarnog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preciznom opisu supstance (identitet i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pojedinačnim analitičkim određivanjima i srednjoj vrednosti kada je određeno više od jedne vrednosti za svaku posudu;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vrednosti svakog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temperaturi na kojoj je vršeno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prosečnoj vrednosti rezultata od različitih posuda, a koji su u saglasnosti;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korišćenoj analitičkoj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evidenciji, ako je došlo do hemijske nestabilnosti supstance za vreme ispitivanja i korišćenoj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se navode svi podaci i primedbe važne za tumačenje rezultata, naročito podaci o nečistoćama i fizičkom stanju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105, Decision of the Council C(81) 30 final.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NF T 20-045 (AFNOR) (September 85) Chemical products for industrial use - Determination of water solubility of solids and liquids with low solubility - Column elution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3. NF T 20-046 (AFNOR) (September 85) Chemical products for industrial use - Determination of water solubility of solids and liquids with high solubility - Flask method.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Deo drugi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1: Metoda eluiranja sa kolone pomoću recirkulacione pumpe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6AB61209" wp14:editId="65DED6CF">
            <wp:extent cx="5172075" cy="3552825"/>
            <wp:effectExtent l="0" t="0" r="9525" b="9525"/>
            <wp:docPr id="39" name="Picture 39" descr="C:\Program Files (x86)\ParagrafLex\browser\Files\Old\t\t2013_12\t12_0570_s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ParagrafLex\browser\Files\Old\t\t2013_12\t12_0570_s02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35528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2: Tipična mikrokolona (sve dimenzije date su u milimetrima)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30E3B77D" wp14:editId="2B030CA7">
            <wp:extent cx="4962525" cy="7172325"/>
            <wp:effectExtent l="0" t="0" r="9525" b="9525"/>
            <wp:docPr id="38" name="Picture 38" descr="C:\Program Files (x86)\ParagrafLex\browser\Files\Old\t\t2013_12\t12_0570_s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 (x86)\ParagrafLex\browser\Files\Old\t\t2013_12\t12_0570_s02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71723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3: Tipična mikrokolona (sve dimenzije date su u milimetrima)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2F093F21" wp14:editId="10C7B460">
            <wp:extent cx="3733800" cy="6372225"/>
            <wp:effectExtent l="0" t="0" r="0" b="9525"/>
            <wp:docPr id="37" name="Picture 37" descr="C:\Program Files (x86)\ParagrafLex\browser\Files\Old\t\t2013_12\t12_0570_s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ParagrafLex\browser\Files\Old\t\t2013_12\t12_0570_s02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63722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4: Metoda eluiranja sa kolone pomoću suda za nivelisanje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585F831E" wp14:editId="6335F13C">
            <wp:extent cx="5162550" cy="4933950"/>
            <wp:effectExtent l="0" t="0" r="0" b="0"/>
            <wp:docPr id="36" name="Picture 36" descr="C:\Program Files (x86)\ParagrafLex\browser\Files\Old\t\t2013_12\t12_0570_s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ParagrafLex\browser\Files\Old\t\t2013_12\t12_0570_s02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2550" cy="49339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Posuda za nivelaciju (npr. boca zapremine 2,5 L);</w:t>
      </w:r>
      <w:r w:rsidRPr="00984859">
        <w:rPr>
          <w:rFonts w:ascii="Arial" w:eastAsia="Times New Roman" w:hAnsi="Arial" w:cs="Arial"/>
          <w:lang w:eastAsia="sr-Latn-RS"/>
        </w:rPr>
        <w:br/>
        <w:t>2. Kolona (videti Sliku 3);</w:t>
      </w:r>
      <w:r w:rsidRPr="00984859">
        <w:rPr>
          <w:rFonts w:ascii="Arial" w:eastAsia="Times New Roman" w:hAnsi="Arial" w:cs="Arial"/>
          <w:lang w:eastAsia="sr-Latn-RS"/>
        </w:rPr>
        <w:br/>
        <w:t>3. Kolektor frakcija;</w:t>
      </w:r>
      <w:r w:rsidRPr="00984859">
        <w:rPr>
          <w:rFonts w:ascii="Arial" w:eastAsia="Times New Roman" w:hAnsi="Arial" w:cs="Arial"/>
          <w:lang w:eastAsia="sr-Latn-RS"/>
        </w:rPr>
        <w:br/>
        <w:t>4. Termostat;</w:t>
      </w:r>
      <w:r w:rsidRPr="00984859">
        <w:rPr>
          <w:rFonts w:ascii="Arial" w:eastAsia="Times New Roman" w:hAnsi="Arial" w:cs="Arial"/>
          <w:lang w:eastAsia="sr-Latn-RS"/>
        </w:rPr>
        <w:br/>
        <w:t>5. Teflonska cev;</w:t>
      </w:r>
      <w:r w:rsidRPr="00984859">
        <w:rPr>
          <w:rFonts w:ascii="Arial" w:eastAsia="Times New Roman" w:hAnsi="Arial" w:cs="Arial"/>
          <w:lang w:eastAsia="sr-Latn-RS"/>
        </w:rPr>
        <w:br/>
        <w:t>6. Šlifovani spoj;</w:t>
      </w:r>
      <w:r w:rsidRPr="00984859">
        <w:rPr>
          <w:rFonts w:ascii="Arial" w:eastAsia="Times New Roman" w:hAnsi="Arial" w:cs="Arial"/>
          <w:lang w:eastAsia="sr-Latn-RS"/>
        </w:rPr>
        <w:br/>
        <w:t xml:space="preserve">7. Cev za vodu (između termostata i kolone, unutrašnjeg prečnika: približno 8 mm).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A.8. KOEFICIJENT RASPODELE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mućkanja u staklenom balonu zasniva se na Uputstvu za ispitivanje OECD</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Korisno je imati preliminarne podatke o: strukturnoj formuli, konstanti disocijacije, rastvorljivosti u vodi, hidrolizi, rastvorljivosti u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-oktanolu i površinskom naponu supstance koja se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supstanci koje jonizuju ispitivanja se sprovode na njihovim nejonizovanim oblicima (slobodne kiseline ili slobodne baze) što se postiže upotrebom odgovarajućeg pufera čija je pH vrednost najmanje za jednu jedinicu ispod (slobodne kiseline) ili iznad (slobodne baze) pK.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ispitivanja obuhvata dve različite metode: metodu mućkanja u staklenom balonu i visoko efikasnu tečnu hromatografiju (High performance liquid chromatography, u daljem tekstu: HPLC). Metoda mućkanja u staklenom balonu koristi se kada se vrednost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(videti objašnjenje dato u ovoj metodi) nalazi u opsegu od - 2 do 4. Metoda tečne hromatografije koristi se kada se vrednost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nalazi u opsegu od 0 do 6. Pre nego što se pristupi sprovođenju bilo koje od ove dve metode potrebno je odrediti preliminarne procene koeficijenta raspodele.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mućkanja u staklenom balonu primenjuje se samo za čiste supstance rastvorne u vodi i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-oktanolu. Metoda se ne primenjuje za površinski aktivne supstance (za njih se daje izračunati ili procenjeni koeficijent raspodele koji se zasniva na rastvorljivosti u vodi i u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tečne hromatografije (u daljem tekstu: HPLC metoda) ne primenjuje se na jake kiseline i baze, komplekse metala, površinski aktivne supstance i supstance koje reaguju sa eluentom. Za ove supstance se izračunava ili procenjuje koeficijent raspodele koji se zasniva na rastvorljivosti u vodi i u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tečne hromatografije manje je osetljiva na prisutne nečistoće u ispitivanom jedinjenju u odnosu na postupak mućkanja u staklenom balonu. Ponekad prisustvo nečistoća utiče na tumačenje rezultata jer položaj pikova postaje nesiguran. Kod smeša kod kojih se ne razdvajaju trake u hromatogramu, navodi se gornji i donji limit log P.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Koeficijent raspodele (P) jeste odnos ravnotežnih koncentracija (c</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rastvorene supstance u dvofaznom sistemu koji se sastoji od dva rastvarača koji se ne mešaju. U slučaju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-oktanola i vode: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61"/>
        <w:gridCol w:w="1330"/>
        <w:gridCol w:w="7321"/>
      </w:tblGrid>
      <w:tr w:rsidR="00984859" w:rsidRPr="00984859" w:rsidTr="00984859">
        <w:trPr>
          <w:tblCellSpacing w:w="0" w:type="dxa"/>
        </w:trPr>
        <w:tc>
          <w:tcPr>
            <w:tcW w:w="58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 </w:t>
            </w:r>
          </w:p>
        </w:tc>
        <w:tc>
          <w:tcPr>
            <w:tcW w:w="1320"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 </w:t>
            </w:r>
            <w:r w:rsidRPr="00984859">
              <w:rPr>
                <w:rFonts w:ascii="Arial" w:eastAsia="Times New Roman" w:hAnsi="Arial" w:cs="Arial"/>
                <w:sz w:val="15"/>
                <w:szCs w:val="15"/>
                <w:vertAlign w:val="subscript"/>
                <w:lang w:eastAsia="sr-Latn-RS"/>
              </w:rPr>
              <w:t>n-oktanol</w:t>
            </w:r>
          </w:p>
        </w:tc>
        <w:tc>
          <w:tcPr>
            <w:tcW w:w="1327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32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 </w:t>
            </w:r>
            <w:r w:rsidRPr="00984859">
              <w:rPr>
                <w:rFonts w:ascii="Arial" w:eastAsia="Times New Roman" w:hAnsi="Arial" w:cs="Arial"/>
                <w:sz w:val="15"/>
                <w:szCs w:val="15"/>
                <w:vertAlign w:val="subscript"/>
                <w:lang w:eastAsia="sr-Latn-RS"/>
              </w:rPr>
              <w:t>voda</w:t>
            </w:r>
          </w:p>
        </w:tc>
        <w:tc>
          <w:tcPr>
            <w:tcW w:w="1327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Koeficijent raspodele (P) jeste količnik dve koncentracije, koji se uobičajeno izražava u vidu logaritamske vrednosti sa osnovom 10 (log P).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1.3.1. Metoda mućkanja u staklenom balonu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se ne koriste svaki put kada se ispituje nova supstanca. One prvenstveno služe za povremenu proveru metode i da omoguće poređenje sa rezultatima dobijenim drugim metodama.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1.3.2. Metoda tečne hromatografije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Da bi se uspostavila korelacija između izmerenih HPLC vrednosti supstance i njihovih P vrednosti, konstruiše se kalibraciona kriva zavisnosti log P od hromatografskih podataka sa najmanje 6 referentnih tačaka. Korisnik bira odgovarajuću referentnu supstancu. Ako je moguće, najmanje jedna referentna supstanca ima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veći od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supstance koja se ispituje i jedna referentna supstanca ima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manji od supstance koja se ispituje. Za vrednosti log P manje od 4 kalibracija se zasniva na podacima dobijenim primenom metode mućkanja u staklenom balonu. Za vrednosti log P veće od 4 kalibracija se zasniva na validiranim vrednostima datim u literaturi ukoliko se one podudaraju sa izračunatim vrednostima. Za postizanje bolje preciznosti, najbolje je kao referentne supstance uzeti one supstance koje su slične strukture kao supstanca koja se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Vrednosti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dostupne su za mnoga hemijska jedinjenja</w:t>
      </w:r>
      <w:r w:rsidRPr="00984859">
        <w:rPr>
          <w:rFonts w:ascii="Arial" w:eastAsia="Times New Roman" w:hAnsi="Arial" w:cs="Arial"/>
          <w:b/>
          <w:bCs/>
          <w:sz w:val="15"/>
          <w:szCs w:val="15"/>
          <w:vertAlign w:val="superscript"/>
          <w:lang w:eastAsia="sr-Latn-RS"/>
        </w:rPr>
        <w:t>2, 3</w:t>
      </w:r>
      <w:r w:rsidRPr="00984859">
        <w:rPr>
          <w:rFonts w:ascii="Arial" w:eastAsia="Times New Roman" w:hAnsi="Arial" w:cs="Arial"/>
          <w:lang w:eastAsia="sr-Latn-RS"/>
        </w:rPr>
        <w:t xml:space="preserve">. Ukoliko ne postoje podaci o koeficijentu raspodele za strukturno slične supstance, pravi se opštija kalibraciona kriva na osnovu podataka o drugim referentnim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Spisak preporučenih referentnih supstanci i njihovih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vrednosti dat je u Delu drugom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Metoda mućkanja u staklenom balonu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odredio koeficijent raspodele, treba postići ravnotežu između svih komponenti sistema i odrediti koncentracije rastvorene supstance u obe faze. Literatura upućuje da se u te svrhe koristi nekoliko različitih tehnika, npr. mešanje dve faze koje se potom razdvajaju kako bi se utvrdile ravnotežne koncentracije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Metoda tečne hromatografije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HPLC se izvodi na analitičkim kolonama pakovanim sa komercijalno dostupnom čvrstom fazom koja sadrži duge lance ugljovodonika (npr. C</w:t>
      </w:r>
      <w:r w:rsidRPr="00984859">
        <w:rPr>
          <w:rFonts w:ascii="Arial" w:eastAsia="Times New Roman" w:hAnsi="Arial" w:cs="Arial"/>
          <w:sz w:val="15"/>
          <w:szCs w:val="15"/>
          <w:vertAlign w:val="subscript"/>
          <w:lang w:eastAsia="sr-Latn-RS"/>
        </w:rPr>
        <w:t>8</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18</w:t>
      </w:r>
      <w:r w:rsidRPr="00984859">
        <w:rPr>
          <w:rFonts w:ascii="Arial" w:eastAsia="Times New Roman" w:hAnsi="Arial" w:cs="Arial"/>
          <w:lang w:eastAsia="sr-Latn-RS"/>
        </w:rPr>
        <w:t xml:space="preserve">) koji su hemijski vezani na silicijum dioksid. Hemikalije nanete na takve kolone kreću se kroz njih različitim brzinama zbog različite raspodele između mobilne faze i ugljovodonične stacionarne faze. Smeše hemikalija razdvajaju se prema njihovoj hidrofobnosti, pri čemu se hemijska jedinjenja koja su rastvorna u vodi izdvajaju prva, a poslednja se izdvajaju ona koja se rastvaraju u uljima, proporcionalno njihovom koeficijentu raspodele ugljovodonik - voda. Ovo omogućava da se ustanovi veza između retencionog vremena na takvoj koloni (reversno-faznoj) i koeficijenta raspodele za sistem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-oktanol/voda. Koeficijent raspodele se izvodi iz faktora kapaciteta </w:t>
      </w:r>
      <w:r w:rsidRPr="00984859">
        <w:rPr>
          <w:rFonts w:ascii="Arial" w:eastAsia="Times New Roman" w:hAnsi="Arial" w:cs="Arial"/>
          <w:i/>
          <w:iCs/>
          <w:lang w:eastAsia="sr-Latn-RS"/>
        </w:rPr>
        <w:t>k</w:t>
      </w:r>
      <w:r w:rsidRPr="00984859">
        <w:rPr>
          <w:rFonts w:ascii="Arial" w:eastAsia="Times New Roman" w:hAnsi="Arial" w:cs="Arial"/>
          <w:lang w:eastAsia="sr-Latn-RS"/>
        </w:rPr>
        <w:t xml:space="preserve">, koji je dat u jednačini: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95"/>
        <w:gridCol w:w="1002"/>
        <w:gridCol w:w="7715"/>
      </w:tblGrid>
      <w:tr w:rsidR="00984859" w:rsidRPr="00984859" w:rsidTr="00984859">
        <w:trPr>
          <w:tblCellSpacing w:w="0" w:type="dxa"/>
        </w:trPr>
        <w:tc>
          <w:tcPr>
            <w:tcW w:w="39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 = </w:t>
            </w:r>
          </w:p>
        </w:tc>
        <w:tc>
          <w:tcPr>
            <w:tcW w:w="160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o</w:t>
            </w:r>
          </w:p>
        </w:tc>
        <w:tc>
          <w:tcPr>
            <w:tcW w:w="13185" w:type="dxa"/>
            <w:vMerge w:val="restar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60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o</w:t>
            </w: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jeste retenciono vreme supstance koja se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sz w:val="15"/>
          <w:szCs w:val="15"/>
          <w:vertAlign w:val="subscript"/>
          <w:lang w:eastAsia="sr-Latn-RS"/>
        </w:rPr>
        <w:t>o</w:t>
      </w:r>
      <w:r w:rsidRPr="00984859">
        <w:rPr>
          <w:rFonts w:ascii="Arial" w:eastAsia="Times New Roman" w:hAnsi="Arial" w:cs="Arial"/>
          <w:lang w:eastAsia="sr-Latn-RS"/>
        </w:rPr>
        <w:t xml:space="preserve"> jeste prosečno vreme koje je potrebno molekulu rastvarača da prođe kroz kolonu (mrtvo vreme).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Nije potrebna primena kvantitativnih analitičkih metoda. Potrebno je odrediti vreme elucije.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1.5.1. Ponovljivost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mućkanja u staklenom balonu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cilju obezbeđivanja tačnosti particionog koeficijenta, neophodno je vršiti po dva određivanja na tri različita uslova ispitivanja pri čemu količina supstance kao i odnos između zapremina rastvarača može da varira. Utvrđene vrednosti particionih koeficijenata izražene u logaritmima treba da budu u okviru ± 0,3 jedinice.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HPLC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cilju obezbeđivanja poverenja u rezultate merenja vrše se dva ispitivanja. Vrednosti log P izvedene iz pojedinačnih merenja nalaze se u opsegu od ± 0,1 jedinice log P.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Osetljivost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mućkanja u staklenom balonu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Opseg merenja ove metode određuje detekcioni limit analitičkog postupka. Detekcioni limit omogućava određivanje vrednosti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u opsegu od - 2 do 4 (kada postoje uslovi, opseg se može proširiti na vrednosti log P</w:t>
      </w:r>
      <w:r w:rsidRPr="00984859">
        <w:rPr>
          <w:rFonts w:ascii="Arial" w:eastAsia="Times New Roman" w:hAnsi="Arial" w:cs="Arial"/>
          <w:sz w:val="15"/>
          <w:szCs w:val="15"/>
          <w:vertAlign w:val="subscript"/>
          <w:lang w:eastAsia="sr-Latn-RS"/>
        </w:rPr>
        <w:t xml:space="preserve">ow </w:t>
      </w:r>
      <w:r w:rsidRPr="00984859">
        <w:rPr>
          <w:rFonts w:ascii="Arial" w:eastAsia="Times New Roman" w:hAnsi="Arial" w:cs="Arial"/>
          <w:lang w:eastAsia="sr-Latn-RS"/>
        </w:rPr>
        <w:t xml:space="preserve">do 5) kada koncentracija rastvorene supstance u bilo kom od rastvarača nije veća od 0,01 mol/L.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HPLC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HPLC metoda omogućava određivanje koeficijenta raspodele u opsegu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od 0 do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Koeficijent raspodele jedinjenja u normalnim okolnostima utvrđuje se uz varijaciju od ± 1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jedinice vrednosti dobijene mućkanjem u staklenom balonu. Načini za uspostavljanje korelacije između ovih vrednosti mogu se naći u literaturi</w:t>
      </w:r>
      <w:r w:rsidRPr="00984859">
        <w:rPr>
          <w:rFonts w:ascii="Arial" w:eastAsia="Times New Roman" w:hAnsi="Arial" w:cs="Arial"/>
          <w:b/>
          <w:bCs/>
          <w:sz w:val="15"/>
          <w:szCs w:val="15"/>
          <w:vertAlign w:val="superscript"/>
          <w:lang w:eastAsia="sr-Latn-RS"/>
        </w:rPr>
        <w:t>4, 5, 6, 7, 8</w:t>
      </w:r>
      <w:r w:rsidRPr="00984859">
        <w:rPr>
          <w:rFonts w:ascii="Arial" w:eastAsia="Times New Roman" w:hAnsi="Arial" w:cs="Arial"/>
          <w:lang w:eastAsia="sr-Latn-RS"/>
        </w:rPr>
        <w:t>. Veća tačnost postiže se kada se korelacija vrši preko strukturno sličnih referentnih jedinjenja</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Specifičnosti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mućkanja u staklenom balonu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Nernstov zakon raspodele primenjuje se samo pri konstantnoj temperaturi, pritisku i pH vrednosti za razblažene rastvore. Primenjuje se samo na čiste supstance raspodeljene između dva čista rastvarača. Prisustvo više različitih rastvorenih supstanci u jednom ili oba rastvarača u isto vreme utiče na rezultate.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Disocijacija ili asocijacija rastvorenih molekula dovodi do odstupanja od Nernstovog zakona raspodele. Na ova odstupanja ukazuje pojava zavisnosti koeficijenta raspodele od koncentracije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Zbog postojanja većeg broj ravnoteža, ova metoda se ne primenjuje bez prethodne korekcije na supstance koje jonizuju. Kod ovakvih jedinjenja razmatra se upotreba pufera umesto vode. pH vrednost pufera treba da se razlikuje najmanje za jednu pH jedinicu od pKa supstance i vodi se računa o uticaju te pH vrednosti na životnu sredinu.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Preliminarna procena koeficijenta raspodele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Koeficijent raspodele se najbolje procenjuje primenom računske metode (videti Deo drugi ove metode) ili, kada je moguće, iz odnosa rastvorljivosti ispitivane supstance u čistim rastvaračima</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Metoda mućkanja u staklenom balonu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 Za određivanje koeficijenta raspodele koriste se rastvarači visoke čistoće (analitičke 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Voda: Koristi se destilovana ili bidestilovana voda koja je destilovana u staklenoj ili kvarcnoj aparaturi. Za jedinjenja koje jonizuju koriste se puferski rastvori umesto vode ukoliko je opravdano.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Ne koristi se voda koja je prečišćena na jonoizmenjivaču.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1.6.2.1.1. Predzasićenje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nego što se pristupi određivanju particionog koeficijenta, rastvarači se zasićuju uzajamno, mućkanjem na temperaturi na kojoj se izvodi eksperiment. Ovo je najbolje uraditi tako što se u dve velike boce u kojima se čuvaju analitički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 visoke čistoće ili voda doda dovoljna količina onog drugog rastvarača i mućka u mehaničkom šejkeru 24 sata, nakon čega odstoje sve dok se dva rastvarača ne razdvoje i ne dostigne zasićenje.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1.6.2.1.2. Priprema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količina dva rastvarača treba da skoro napuni sud. Ovako se sprečava gubitak ispitivanog jedinjenja usled isparavanja. Odnos zapremine i količine supstance koja se ispituje određen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preliminarnom procenom koeficijenta raspodele (videti dato objašnjenje);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minimalnom količinom supstance koja se ispituje neophodnom za analitički postupak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ograničenjima koja se odnose na maksimalnu koncentraciju u oba rastvarača od 0,01 mola po litru.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Sprovode se tri ispitivanja. U prvom ispitivanju koristi se izračunat odnos zapremine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-oktanola prema vodi. U drugom ispitivanju ovaj odnos se deli sa dva. U trećem ispitivanju ovaj odnos množi se sa dva (npr. 1:1, 1:2, 2:1).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1.6.2.1.3.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rastvor se priprema u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-oktanolu zasićenom vodom. Koncentracija osnovnog rastvora precizno se utvrđuje pre nego što se pristupi određivanju koeficijenta raspodele. Rastvor se čuva u uslovima koji omogućavaju da bude stabilan.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ispitivanja treba da bude konstantna (± 1° C) u rasponu od 20° C do 25° 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Merenje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1.6.2.3.1. Uspostavljanje ravnoteže raspodele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 dve posude koje sadrže željene, precizno izmerene količine dva rastvarača zajedno sa neophodnom količinom osnovnog rastvora spremaju se za svaki uslov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-oktanola meri se zapreminski. Posude za ispitivanje smeštaju se u prikladnu mućkalicu (šejker) ili se ručno izmućkaju. Kada se koriste kivete za centrifugiranje preporučeni način rukovanja jeste da se cev rotira brzo za 180° oko transverzalne ose tako da vazduh koji je ušao prođe kroz obe faze. Iskustvo je pokazalo da je 50 takvih rotacija dovoljno da se uspostavi ravnoteža raspodele. Preporučuje se 100 rotacija u roku od 5 minuta.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Odvajanje faza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neophodno, da bi se razdvojile faze, smeša se centrifugira. Dvofazni sistem se centrifugira na laboratorijskoj centrifugi, na sobnoj temperaturi ili, ako se koristi centrifuga bez regulacije temperature, kivete se drže na temperaturi koja odgovara onoj u kojoj se sprovodi čitavo ispitivanje najmanje 1 sat pre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odredio particioni koeficijent neophodno je odrediti koncentracije ispitivane susptance u obe faze. Ovo se radi uzimanjem alikvota iz svake od dve faze iz svakog ispitivanja i analiziranjem ovih uzoraka. Ukupna količina supstance prisutna u obe faze izračunava se i upoređuje sa količinom supstance koja je uneta na početku testa.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Vodena faza se uzorkuje postupkom koji smanjuje rizik od uzorkovanja i tragova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oktanola. Koristi se stakleni špric sa iglom za jednokratnu upotrebu za uzorkovanje vodene faze. Špric se prethodno delimično napuni vazduhom. Vazduh se polako istiskuje dok igla prolazi kroz sloj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oktanola. Zatim se određena količina vodene faze usisa u špric. Špric se brzim pokretom izvuče iz rastvora, a igla odstrani. Sadržaj napunjenog šprica se tada koristi kao uzorak vodene faze. Koncentracija u dve različite faze utvrđuje se korišćenjem metoda koje su odgovarajuće za svaku od supstanci. Neke od odgovarajućih metoda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fotometrijske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gasna hromatografija;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HPLC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HPLC metoda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Priprema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Tečni hromatograf sa pumpom bez pulsa i odgovarajući detektor čine neophodnu opremu. Preporučuje se korišćenje injektora sa petljom. Prisustvo polarnih grupa u stacionarnoj fazi može ozbiljno da naruši preciznost kolone za tečnu hromatografiju. U stacionarnoj fazi je prisutan minimalni procenat polarnih grupa</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Koriste se komercijalna mikročestična reversno-fazna pakovanja ili prethodno pripremljene kolone. Između injektora i kolone postavlja se predkolona.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Mobilna faza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pripremu eluenta koriste se metanol HPLC čistoće i voda HPLC čistoće koji se degaziraju pre upotrebe. Koristi se izokratska elucija. Preporučuje se odnos metanol/voda sa minimalnim sadržajem vode u iznosu od 25%. Tipična smeša metanola i vode u odnosu 3:1 (v/v) koristi se za eluiranje jedinjenja sa logP 6 u roku od jednog sata, sa protokom od 1 ml/min. Za jedinjenja sa visokim logP nekada je potrebno skratiti vreme eluiranja (kao i za referentne supstance) smanjivanjem polarnosti mobilne faze ili dužine kolone.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koje su slabo rastvorne u </w:t>
      </w:r>
      <w:r w:rsidRPr="00984859">
        <w:rPr>
          <w:rFonts w:ascii="Arial" w:eastAsia="Times New Roman" w:hAnsi="Arial" w:cs="Arial"/>
          <w:i/>
          <w:iCs/>
          <w:lang w:eastAsia="sr-Latn-RS"/>
        </w:rPr>
        <w:t>n-</w:t>
      </w:r>
      <w:r w:rsidRPr="00984859">
        <w:rPr>
          <w:rFonts w:ascii="Arial" w:eastAsia="Times New Roman" w:hAnsi="Arial" w:cs="Arial"/>
          <w:lang w:eastAsia="sr-Latn-RS"/>
        </w:rPr>
        <w:t>oktanolu imaju tendenciju da daju niske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vrednosti pri određivanju HPLC metodom, pikovima takvih smeša je ponekad pridružen front rastvarača. Ovo se objašnjava činjenicom da je proces raspodele previše spor da bi se dostigla ravnoteža u vremenu koje je obično neophodno za HPLC razdvajanje. Smanjenje brzine protoka i/ili snižavanje odnosa metanol/voda mogu pomoći da se u tim slučajevima dobiju pouzdanije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koja se ispituje i referentna supstanca treba da budu rastvorne u mobilnoj fazi u dovoljnoj koncentraciji da mogu da se detektuju. Izuzetno se mogu koristiti aditivi kod smeše metanol-voda, pošto aditivi menjaju svojstva kolone. Kod hromatograma koji sadrže aditive obavezno je koristiti zasebne kolone istog tipa. Ukoliko smeša metanol-voda nije odgovarajuća, koristi se neka druga smeša organskog rastvarača i vode, npr etanol i voda ili acetonitril i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pH eluenta je kritična kod jedinjenja koja jonizuju. Ova vrednost treba da se kreće u okviru radne pH vrednosti kolone, koja obično iznosi između 2 i 8. Preporučuje se primena pufera. Vodi se računa da ne dođe do precipitacije soli na koloni i njenog uništavanja, što se događa kod pojedinih smeša organska faza/pufer. HPLC merenja sa stacionarnom fazom koja je na bazi silicijum-dioksida na pH vrednostima iznad 8 ne preporučuju se pošto alkalne mobilne faze oštećuju kolonu i umanjuju performanse kolone.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Rastvorene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treba da budu što je moguće čistije. Jedinjenja koje se koriste u ispitivanju ili za kalibraciju treba da budu rastvorna u mobilnoj fazi, ako je moguće.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tokom ispitivanja ne treba da varira za više od ± 2K.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Merenje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Izračunavanje mrtvog vremena t</w:t>
      </w:r>
      <w:r w:rsidRPr="00984859">
        <w:rPr>
          <w:rFonts w:ascii="Arial" w:eastAsia="Times New Roman" w:hAnsi="Arial" w:cs="Arial"/>
          <w:sz w:val="15"/>
          <w:szCs w:val="15"/>
          <w:vertAlign w:val="subscript"/>
          <w:lang w:eastAsia="sr-Latn-RS"/>
        </w:rPr>
        <w:t>o</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Mrtvo vreme se određuje korišćenjem serije homologa (npr n-alkil metil ketoni) ili organskih jedinjenja koja se ne zadržavaju na koloni (npr. tiokarbamid ili formamid). Da bi se izračunalo mrtvo vreme uz pomoć homologih serija, set od najmanje sedam članova homologe serije se injektuje i mere se retenciona vremena. Retenciona vremena </w:t>
      </w:r>
      <w:r w:rsidRPr="00984859">
        <w:rPr>
          <w:rFonts w:ascii="Arial" w:eastAsia="Times New Roman" w:hAnsi="Arial" w:cs="Arial"/>
          <w:i/>
          <w:iCs/>
          <w:lang w:eastAsia="sr-Latn-RS"/>
        </w:rPr>
        <w:t>t</w:t>
      </w:r>
      <w:r w:rsidRPr="00984859">
        <w:rPr>
          <w:rFonts w:ascii="Arial" w:eastAsia="Times New Roman" w:hAnsi="Arial" w:cs="Arial"/>
          <w:sz w:val="15"/>
          <w:szCs w:val="15"/>
          <w:vertAlign w:val="subscript"/>
          <w:lang w:eastAsia="sr-Latn-RS"/>
        </w:rPr>
        <w:t>r (nc + 1)</w:t>
      </w:r>
      <w:r w:rsidRPr="00984859">
        <w:rPr>
          <w:rFonts w:ascii="Arial" w:eastAsia="Times New Roman" w:hAnsi="Arial" w:cs="Arial"/>
          <w:lang w:eastAsia="sr-Latn-RS"/>
        </w:rPr>
        <w:t xml:space="preserve"> ucrtavaju se na grafiku kao funkcija od </w:t>
      </w:r>
      <w:r w:rsidRPr="00984859">
        <w:rPr>
          <w:rFonts w:ascii="Arial" w:eastAsia="Times New Roman" w:hAnsi="Arial" w:cs="Arial"/>
          <w:i/>
          <w:iCs/>
          <w:lang w:eastAsia="sr-Latn-RS"/>
        </w:rPr>
        <w:t>t</w:t>
      </w:r>
      <w:r w:rsidRPr="00984859">
        <w:rPr>
          <w:rFonts w:ascii="Arial" w:eastAsia="Times New Roman" w:hAnsi="Arial" w:cs="Arial"/>
          <w:sz w:val="15"/>
          <w:szCs w:val="15"/>
          <w:vertAlign w:val="subscript"/>
          <w:lang w:eastAsia="sr-Latn-RS"/>
        </w:rPr>
        <w:t xml:space="preserve">r (n c) </w:t>
      </w:r>
      <w:r w:rsidRPr="00984859">
        <w:rPr>
          <w:rFonts w:ascii="Arial" w:eastAsia="Times New Roman" w:hAnsi="Arial" w:cs="Arial"/>
          <w:lang w:eastAsia="sr-Latn-RS"/>
        </w:rPr>
        <w:t xml:space="preserve">i određuju se odsečak a i nagib b u jednačini: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sz w:val="15"/>
          <w:szCs w:val="15"/>
          <w:vertAlign w:val="subscript"/>
          <w:lang w:eastAsia="sr-Latn-RS"/>
        </w:rPr>
        <w:t>r (n c + 1)</w:t>
      </w:r>
      <w:r w:rsidRPr="00984859">
        <w:rPr>
          <w:rFonts w:ascii="Arial" w:eastAsia="Times New Roman" w:hAnsi="Arial" w:cs="Arial"/>
          <w:lang w:eastAsia="sr-Latn-RS"/>
        </w:rPr>
        <w:t xml:space="preserve"> = </w:t>
      </w:r>
      <w:r w:rsidRPr="00984859">
        <w:rPr>
          <w:rFonts w:ascii="Arial" w:eastAsia="Times New Roman" w:hAnsi="Arial" w:cs="Arial"/>
          <w:i/>
          <w:iCs/>
          <w:lang w:eastAsia="sr-Latn-RS"/>
        </w:rPr>
        <w:t>a + b t</w:t>
      </w:r>
      <w:r w:rsidRPr="00984859">
        <w:rPr>
          <w:rFonts w:ascii="Arial" w:eastAsia="Times New Roman" w:hAnsi="Arial" w:cs="Arial"/>
          <w:sz w:val="15"/>
          <w:szCs w:val="15"/>
          <w:vertAlign w:val="subscript"/>
          <w:lang w:eastAsia="sr-Latn-RS"/>
        </w:rPr>
        <w:t>r (n c)</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lastRenderedPageBreak/>
        <w:t>n</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jeste broj atoma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Mrtvo vreme se izračunava jednačinom: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sz w:val="15"/>
          <w:szCs w:val="15"/>
          <w:vertAlign w:val="subscript"/>
          <w:lang w:eastAsia="sr-Latn-RS"/>
        </w:rPr>
        <w:t>o</w:t>
      </w:r>
      <w:r w:rsidRPr="00984859">
        <w:rPr>
          <w:rFonts w:ascii="Arial" w:eastAsia="Times New Roman" w:hAnsi="Arial" w:cs="Arial"/>
          <w:lang w:eastAsia="sr-Latn-RS"/>
        </w:rPr>
        <w:t xml:space="preserve"> = a/(1 - b)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Kalibraciona kriva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Sledeći korak je da se napravi korelacija između log k vrednosti prema log P vrednostima za odgovarajuće referentne supstance. U praksi, set od između 5 i 10 standardnih referentnih supstanci čija logP vrednost je u očekivanom opsegu injektuje se simultano i određuju se njihova retenciona vremena, po mogućnosti preko integratora koji je povezan sa sistemom za detekciju. Odgovarajuće logaritamske vrednosti faktora kapaciteta (log k) računaju se i ucrtavaju kao funkcije log P koji je utvrđen primenom postupka mućkanja u staklenom balonu. Kalibracija se obavlja u pravilnim intervalima, najmanje jednom dnevno, tako se kompenzuju izmene u performansama kolona.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Utvrđivanje faktora kapaciteta ispitivane susptance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koja se ispituje injektuje se u najmanjoj mogućoj količini mobilne faze. Određuje se retenciono vreme (po dva određivanja), što omogućava izračunavanje faktora kapaciteta (k). Sa kalibracione krive referentnih supstanci interpolira se koeficijent raspodele ispitivane supstance. Kod veoma niskih i veoma visokih vrednosti koeficijenata raspodele, neophodna je ekstrapolacija. Vodi se računa o granicama pouzdanosti regresione krive.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mućkanja u staklenom balonu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Pouzdanost utvrđenih vrednosti za P ispituje se poređenjem srednjih vrednosti iz oba ispitivanja sa ukupnom srednjom vrednošću.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preciznom opisu supstance (identitet i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kada se metode ne mogu primeniti (npr. površinski aktivne supstance), obezbeđuje se računskim putem izvedena ili procenjena vrednost na osnovu rastvorljivosti u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oktanolu i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podatke i primedbe važne za tumačenje rezultata, naročito podaci o nečistoćama i fizičkom stanju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kod postupka mućkanja u staklenom balonu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preliminarnih ispitivanja, ako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temperaturu na kojoj je vršeno određivanje;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analitičkim postupcima kojima su određivane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vreme i brzinu centrifugiranja, ako je vršeno;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izmerene koncentracije u obe faze kod svakog određivanja (ukupno 12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masu ispitivane supstance, zapreminu svake faze u svakoj posudi i ukupne izračunate količine ispitivane supstance prisutne u svakoj fazi nakon uspostavljanja ravnoteže;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izračunate vrednosti particionog koeficijenta (P) i srednje vrednosti za svaki set uslova ispitivanja kao i srednju vrednost za sva određivanja. Ukoliko se smatra da postoji zavisnost koeficijenta raspodele od koncentracije to se navodi u izveštaju;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standardne devijacije individualnih P vrednosti od srednje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srednju vrednost P od svih određivanja, izražava se u vidu logaritma (osnove 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izračunatu teorijsku vrednost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ako je utvrđena ili kada je izmerena vrednost &gt; 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vrednost korišćene vode i vodene faze tokom eksperimenta;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ukoliko se koriste puferi, navode se razlozi za njihovu primenu umesto vode, njihov sastav, koncentracija i pH vrednost, pH vodene faze pre i posle eksperimenta.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za HPLC metodu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prethodnih ispitivanja, ako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ispitivanu supstancu i referentne supstance, i stepen njihove 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temperaturni opseg pri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vrednosti na kojoj je određivan koeficijent raspodele;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analitičkoj koloni, predkoloni, mobilnoj fazi i načinima detekcije;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retencionim vremenima i literaturnim vrednostima log P referentnih supstanci korišćenih za kalibraciju;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regresionoj krivoj (log k prema log 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prosečna retenciona vremena i interpolirane vrednosti log P za ispitivano jedinjenje;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opreme i uslova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elucioni profil;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količine ispitivanih i referentnih supstanci koje su unete u kolonu;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mrtvo vreme i način na koji je izmereno.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107, Decision of the Council C(81) 30 final.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 C. Hansch and A.J. Leo, Substituent Constants for Correlation Analysis in Chemistry and Biology, John Wiley, New York 1979.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Log P and Parameter Database, A tool for the quantitative prediction of bioactivity (C. Hansch, chairman, A.J. Leo, dir.) - Available from Pomona College Medical Chemistry Project 1982, Pomona College, Claremont, California 91711.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L. Renberg, G. Sundström and K. Sundh - Nygärd, Chemosphere, 1980, vol. 80, 683.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H. Ellgehausen, C. D’Hondt and R. Fuerer, Pestic. Sci., 1981, vol. 12,219 (1981).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B. McDuffie, Chemosphere, 1981, vol. 10, 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W.E. Hammers et al., J. Chromatogr., 1982, vol. 247,1.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J.E. Haky and A.M. Young, J. Liq. Chromat., 1984, vol. 7,675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S. Fujisawa and E. Masuhara, J. Biomed. Mat. Res., 1981, vol. 15,787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O. Jubermann, Verteilen und Extrahieren, in Methoden der Organischen Chemie (Houben Weyl), Allgemeine Laboratoriumpraxis (edited by E.Muller), Georg Thieme Verlag, Stuttgart, 1958, Band I/1, 223-339.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R.F. Rekker and H.M. de Kort, Euro. J. Med. Chem., 1979, vol. 14,479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A. Leo, C. Hansch and D. Elkins, Partition coefficients and their uses. Chem. Rev., 1971, vol. 71,525.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R.F. Rekker, The Hydrophobic Fragmental Constant, Elsevier, Amsterdam, 1977.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NF T 20-043 AFNOR (1985). Chemical products for industrial use - Determination of Partition Coefficients - Flask shakin g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C.V. Eadsforth and P. Moser, Chemosphere, 1983, vol. 12,1459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A. Leo, C. Hansch and D. Elkins, Chem. Rev., 1971, vol. 71, 525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C. Hansch, A. Leo, S.H. Unger, K.H. Kim, D. Nikaitani and E.J. Lien, J. Med. Chem., 1973, vol.16, 1207.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W.B. Neely, D.R. Branson and G.E. Blau, Environ. Sci. Technol., 1974, vol. 8,1113.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D.S. Brown and E.W. Flagg, J. Environ. Qual., 1981, vol. 10,382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J.K. Seydel and K.J. Schaper, Chemische St ruktur und biologische Aktivität von Wirkstoffen, Verlag Chemie, Weinheim, New York 1979.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R. Franke, Theoretical Drug Design Methods, Elsevier, Amsterdam 1984,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Y.C. Martin, Quantitative Drug Design, Marcel Dekker, New York, Base 11978.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N.S. Nirrlees, S.J. Noulton, C.T. Murphy, P.J. Taylor; J. Med. Chem., 1976, vol. 19,615.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Deo drugi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METODE IZRAČUNAVANJA/PROCENE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Opšti uvod za metode izračunanja, podaci i primeri mogu se naći u literaturi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Izračunate vrednosti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mogu se koristiti u sledeće svrhe: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da se izabere odgovarajuća eksperimentalna metoda (opseg za metodu mućkanja u staklenom balonu: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- 2 do 4, opseg za HPLC metodu: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od 0 do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 izbor odgovarajućih uslova ispitivanja (npr. referentne supstance za HPLC postupak, odnos zapremina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oktanol/voda kod postupka mućkanja u staklenom balonu);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kao interna laboratorijska provera mogućih eksperimentalnih grešaka;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da se obezbede procenjene vrednosti za P</w:t>
      </w:r>
      <w:r w:rsidRPr="00984859">
        <w:rPr>
          <w:rFonts w:ascii="Arial" w:eastAsia="Times New Roman" w:hAnsi="Arial" w:cs="Arial"/>
          <w:sz w:val="15"/>
          <w:szCs w:val="15"/>
          <w:vertAlign w:val="subscript"/>
          <w:lang w:eastAsia="sr-Latn-RS"/>
        </w:rPr>
        <w:t xml:space="preserve">ow </w:t>
      </w:r>
      <w:r w:rsidRPr="00984859">
        <w:rPr>
          <w:rFonts w:ascii="Arial" w:eastAsia="Times New Roman" w:hAnsi="Arial" w:cs="Arial"/>
          <w:lang w:eastAsia="sr-Latn-RS"/>
        </w:rPr>
        <w:t xml:space="preserve">u slučajevima kada se ne mogu primeniti eksperimentalne metode iz tehničkih razloga.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PROCENE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Preliminarna procena particionog koeficijenta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particionog koeficijenta procenjuje se na osnovu rastvorljivosti ispitivane supstance u čistim rastvaračima: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75"/>
        <w:gridCol w:w="1891"/>
        <w:gridCol w:w="5746"/>
      </w:tblGrid>
      <w:tr w:rsidR="00984859" w:rsidRPr="00984859" w:rsidTr="00984859">
        <w:trPr>
          <w:tblCellSpacing w:w="0" w:type="dxa"/>
        </w:trPr>
        <w:tc>
          <w:tcPr>
            <w:tcW w:w="1470" w:type="dxa"/>
            <w:vMerge w:val="restart"/>
            <w:noWrap/>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w:t>
            </w:r>
            <w:r w:rsidRPr="00984859">
              <w:rPr>
                <w:rFonts w:ascii="Arial" w:eastAsia="Times New Roman" w:hAnsi="Arial" w:cs="Arial"/>
                <w:sz w:val="15"/>
                <w:szCs w:val="15"/>
                <w:vertAlign w:val="subscript"/>
                <w:lang w:eastAsia="sr-Latn-RS"/>
              </w:rPr>
              <w:t xml:space="preserve"> procenjeno</w:t>
            </w:r>
            <w:r w:rsidRPr="00984859">
              <w:rPr>
                <w:rFonts w:ascii="Arial" w:eastAsia="Times New Roman" w:hAnsi="Arial" w:cs="Arial"/>
                <w:lang w:eastAsia="sr-Latn-RS"/>
              </w:rPr>
              <w:t xml:space="preserve"> = </w:t>
            </w:r>
          </w:p>
        </w:tc>
        <w:tc>
          <w:tcPr>
            <w:tcW w:w="274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zasićenje c</w:t>
            </w:r>
            <w:r w:rsidRPr="00984859">
              <w:rPr>
                <w:rFonts w:ascii="Arial" w:eastAsia="Times New Roman" w:hAnsi="Arial" w:cs="Arial"/>
                <w:sz w:val="15"/>
                <w:szCs w:val="15"/>
                <w:vertAlign w:val="subscript"/>
                <w:lang w:eastAsia="sr-Latn-RS"/>
              </w:rPr>
              <w:t>n oktanol</w:t>
            </w:r>
          </w:p>
        </w:tc>
        <w:tc>
          <w:tcPr>
            <w:tcW w:w="1096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274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zasićenje c </w:t>
            </w:r>
            <w:r w:rsidRPr="00984859">
              <w:rPr>
                <w:rFonts w:ascii="Arial" w:eastAsia="Times New Roman" w:hAnsi="Arial" w:cs="Arial"/>
                <w:sz w:val="15"/>
                <w:szCs w:val="15"/>
                <w:vertAlign w:val="subscript"/>
                <w:lang w:eastAsia="sr-Latn-RS"/>
              </w:rPr>
              <w:t>voda</w:t>
            </w:r>
          </w:p>
        </w:tc>
        <w:tc>
          <w:tcPr>
            <w:tcW w:w="1096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METODE IZRAČUNAVANJA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Princip metoda izračunavanja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Sve metode izračunavanja zasnivaju se na fragmentaciji molekula na odgovarajuće manje strukture za koje je poznat doprinos vrednosti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Vrednost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koja se odnosi na čitav molekul izračunava se potom kao zbir odgovarajućih vrednosti fragmenata plus zbir korekcija zbog intramolekulskih interakcija.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Postoje spiskovi konstanti fragmenata i korekcionih članova</w:t>
      </w:r>
      <w:r w:rsidRPr="00984859">
        <w:rPr>
          <w:rFonts w:ascii="Arial" w:eastAsia="Times New Roman" w:hAnsi="Arial" w:cs="Arial"/>
          <w:b/>
          <w:bCs/>
          <w:sz w:val="15"/>
          <w:szCs w:val="15"/>
          <w:vertAlign w:val="superscript"/>
          <w:lang w:eastAsia="sr-Latn-RS"/>
        </w:rPr>
        <w:t>2, 3, 4, 5</w:t>
      </w:r>
      <w:r w:rsidRPr="00984859">
        <w:rPr>
          <w:rFonts w:ascii="Arial" w:eastAsia="Times New Roman" w:hAnsi="Arial" w:cs="Arial"/>
          <w:lang w:eastAsia="sr-Latn-RS"/>
        </w:rPr>
        <w:t>. Neke od ovih vrednosti redovno se ažuriraju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Pouzdanost metode izračunavanja opada sa povećanjem složenosti jedinjenja. Kod jednostavnih molekula sa malim molekulskim masama i jednom ili dve funkcionalne grupe, očekuje se odstupanje od 0,1 do 0,3 jedinica vrednosti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između rezultata različitih metoda fragmentacije i izmerene vrednosti. U slučaju složenijih molekula granica greške je i veća. Granica greške zavisi od pouzdanosti i dostupnosti vrednosti konstanti koje se odnose na određene fragmente, kao i od sposobnosti da se prepoznaju intramolekulske interakcije (npr. vodonične veze) i od pravilne upotrebe korekcija (problem je manji ako se koristi </w:t>
      </w:r>
      <w:r w:rsidRPr="00984859">
        <w:rPr>
          <w:rFonts w:ascii="Arial" w:eastAsia="Times New Roman" w:hAnsi="Arial" w:cs="Arial"/>
          <w:lang w:eastAsia="sr-Latn-RS"/>
        </w:rPr>
        <w:lastRenderedPageBreak/>
        <w:t>kompjuterski softver CLOGP-3)</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Kod jedinjenja koja jonizuju važno je ispravno tumačenje naelektrisanja i stepena jonizacije.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Postupak izračunavanja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Hanšova π -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Originalna konstanta π hidrofobnog supstituenta koju je uveo Fujira sa grupom autora</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definiše se na sledeći način: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sz w:val="20"/>
          <w:szCs w:val="20"/>
          <w:lang w:eastAsia="sr-Latn-RS"/>
        </w:rPr>
        <w:t></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(PhX) −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(PhH)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(PhX) jeste particioni koeficijent supstituisanog aromatičnog derivata;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(PhH) jeste koeficijent nesupstituisanog jedinjenja.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primer: </w:t>
      </w:r>
      <w:r w:rsidRPr="00984859">
        <w:rPr>
          <w:rFonts w:ascii="Symbol" w:eastAsia="Times New Roman" w:hAnsi="Symbol" w:cs="Arial"/>
          <w:sz w:val="20"/>
          <w:szCs w:val="20"/>
          <w:lang w:eastAsia="sr-Latn-RS"/>
        </w:rPr>
        <w:t></w:t>
      </w:r>
      <w:r w:rsidRPr="00984859">
        <w:rPr>
          <w:rFonts w:ascii="Arial" w:eastAsia="Times New Roman" w:hAnsi="Arial" w:cs="Arial"/>
          <w:sz w:val="15"/>
          <w:szCs w:val="15"/>
          <w:vertAlign w:val="subscript"/>
          <w:lang w:eastAsia="sr-Latn-RS"/>
        </w:rPr>
        <w:t>Cl</w:t>
      </w:r>
      <w:r w:rsidRPr="00984859">
        <w:rPr>
          <w:rFonts w:ascii="Arial" w:eastAsia="Times New Roman" w:hAnsi="Arial" w:cs="Arial"/>
          <w:lang w:eastAsia="sr-Latn-RS"/>
        </w:rPr>
        <w:t xml:space="preserve"> =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(C</w:t>
      </w:r>
      <w:r w:rsidRPr="00984859">
        <w:rPr>
          <w:rFonts w:ascii="Arial" w:eastAsia="Times New Roman" w:hAnsi="Arial" w:cs="Arial"/>
          <w:sz w:val="15"/>
          <w:szCs w:val="15"/>
          <w:vertAlign w:val="subscript"/>
          <w:lang w:eastAsia="sr-Latn-RS"/>
        </w:rPr>
        <w:t>6</w:t>
      </w: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5</w:t>
      </w:r>
      <w:r w:rsidRPr="00984859">
        <w:rPr>
          <w:rFonts w:ascii="Arial" w:eastAsia="Times New Roman" w:hAnsi="Arial" w:cs="Arial"/>
          <w:lang w:eastAsia="sr-Latn-RS"/>
        </w:rPr>
        <w:t>Cl) −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(C</w:t>
      </w:r>
      <w:r w:rsidRPr="00984859">
        <w:rPr>
          <w:rFonts w:ascii="Arial" w:eastAsia="Times New Roman" w:hAnsi="Arial" w:cs="Arial"/>
          <w:sz w:val="15"/>
          <w:szCs w:val="15"/>
          <w:vertAlign w:val="subscript"/>
          <w:lang w:eastAsia="sr-Latn-RS"/>
        </w:rPr>
        <w:t>6</w:t>
      </w: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6</w:t>
      </w:r>
      <w:r w:rsidRPr="00984859">
        <w:rPr>
          <w:rFonts w:ascii="Arial" w:eastAsia="Times New Roman" w:hAnsi="Arial" w:cs="Arial"/>
          <w:lang w:eastAsia="sr-Latn-RS"/>
        </w:rPr>
        <w:t xml:space="preserve">) = 2,84 − 2,13 = 0,71.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skladu sa definicijom ova metoda se pre svega primenjuje kod aromatičnih supstituenata. </w:t>
      </w:r>
      <w:r w:rsidRPr="00984859">
        <w:rPr>
          <w:rFonts w:ascii="Symbol" w:eastAsia="Times New Roman" w:hAnsi="Symbol" w:cs="Arial"/>
          <w:sz w:val="20"/>
          <w:szCs w:val="20"/>
          <w:lang w:eastAsia="sr-Latn-RS"/>
        </w:rPr>
        <w:t></w:t>
      </w:r>
      <w:r w:rsidRPr="00984859">
        <w:rPr>
          <w:rFonts w:ascii="Arial" w:eastAsia="Times New Roman" w:hAnsi="Arial" w:cs="Arial"/>
          <w:lang w:eastAsia="sr-Latn-RS"/>
        </w:rPr>
        <w:t xml:space="preserve"> vrednosti za veliki broj ovakvih supstituenata date su u tabeli</w:t>
      </w:r>
      <w:r w:rsidRPr="00984859">
        <w:rPr>
          <w:rFonts w:ascii="Arial" w:eastAsia="Times New Roman" w:hAnsi="Arial" w:cs="Arial"/>
          <w:b/>
          <w:bCs/>
          <w:sz w:val="15"/>
          <w:szCs w:val="15"/>
          <w:vertAlign w:val="superscript"/>
          <w:lang w:eastAsia="sr-Latn-RS"/>
        </w:rPr>
        <w:t>2, 3, 4</w:t>
      </w:r>
      <w:r w:rsidRPr="00984859">
        <w:rPr>
          <w:rFonts w:ascii="Arial" w:eastAsia="Times New Roman" w:hAnsi="Arial" w:cs="Arial"/>
          <w:lang w:eastAsia="sr-Latn-RS"/>
        </w:rPr>
        <w:t>. Ove vrednosti se koriste za izračunavanje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za aromatične molekule ili fragmenata.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Rekerova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Prema Rekeru</w:t>
      </w:r>
      <w:r w:rsidRPr="00984859">
        <w:rPr>
          <w:rFonts w:ascii="Arial" w:eastAsia="Times New Roman" w:hAnsi="Arial" w:cs="Arial"/>
          <w:sz w:val="15"/>
          <w:szCs w:val="15"/>
          <w:vertAlign w:val="subscript"/>
          <w:lang w:eastAsia="sr-Latn-RS"/>
        </w:rPr>
        <w:t>g</w:t>
      </w:r>
      <w:r w:rsidRPr="00984859">
        <w:rPr>
          <w:rFonts w:ascii="Arial" w:eastAsia="Times New Roman" w:hAnsi="Arial" w:cs="Arial"/>
          <w:lang w:eastAsia="sr-Latn-RS"/>
        </w:rPr>
        <w:t xml:space="preserve">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izračunava se na sledeći način: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277474BF" wp14:editId="39AF9715">
            <wp:extent cx="4143375" cy="476250"/>
            <wp:effectExtent l="0" t="0" r="9525" b="0"/>
            <wp:docPr id="35" name="Picture 35" descr="C:\Program Files (x86)\ParagrafLex\browser\Files\Old\t\t2013_12\t12_0570_s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ParagrafLex\browser\Files\Old\t\t2013_12\t12_0570_s027.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3375" cy="4762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jesu konstante različitih fragmenata molekula;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učestalost različitih fragmenata molekula u molekulu koji se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Korekcioni članovi mogu se izraziti kao proizvod integrala sa jednom konstantom Cm (tzv. magična konstanta). Vrednosti konstanti za f</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 c</w:t>
      </w:r>
      <w:r w:rsidRPr="00984859">
        <w:rPr>
          <w:rFonts w:ascii="Arial" w:eastAsia="Times New Roman" w:hAnsi="Arial" w:cs="Arial"/>
          <w:sz w:val="15"/>
          <w:szCs w:val="15"/>
          <w:vertAlign w:val="subscript"/>
          <w:lang w:eastAsia="sr-Latn-RS"/>
        </w:rPr>
        <w:t>m</w:t>
      </w:r>
      <w:r w:rsidRPr="00984859">
        <w:rPr>
          <w:rFonts w:ascii="Arial" w:eastAsia="Times New Roman" w:hAnsi="Arial" w:cs="Arial"/>
          <w:lang w:eastAsia="sr-Latn-RS"/>
        </w:rPr>
        <w:t xml:space="preserve"> utvrđene su na osnovu podataka iz spiska u kome se nalazi 1054 eksperimentalno određenih vrednosti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(825 jedinjenja), primenom regresione analize</w:t>
      </w:r>
      <w:r w:rsidRPr="00984859">
        <w:rPr>
          <w:rFonts w:ascii="Arial" w:eastAsia="Times New Roman" w:hAnsi="Arial" w:cs="Arial"/>
          <w:b/>
          <w:bCs/>
          <w:sz w:val="15"/>
          <w:szCs w:val="15"/>
          <w:vertAlign w:val="superscript"/>
          <w:lang w:eastAsia="sr-Latn-RS"/>
        </w:rPr>
        <w:t>3, 8</w:t>
      </w:r>
      <w:r w:rsidRPr="00984859">
        <w:rPr>
          <w:rFonts w:ascii="Arial" w:eastAsia="Times New Roman" w:hAnsi="Arial" w:cs="Arial"/>
          <w:lang w:eastAsia="sr-Latn-RS"/>
        </w:rPr>
        <w:t xml:space="preserve">. Određivanje interakcijskih termina sprovodi se na osnovu pravila datih u literaturi </w:t>
      </w:r>
      <w:r w:rsidRPr="00984859">
        <w:rPr>
          <w:rFonts w:ascii="Arial" w:eastAsia="Times New Roman" w:hAnsi="Arial" w:cs="Arial"/>
          <w:b/>
          <w:bCs/>
          <w:sz w:val="15"/>
          <w:szCs w:val="15"/>
          <w:vertAlign w:val="superscript"/>
          <w:lang w:eastAsia="sr-Latn-RS"/>
        </w:rPr>
        <w:t>5, 8, 9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Hanš-Leov metod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Prema Hanšu i Leu</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vrednost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izračunava se iz jednačine: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2043D659" wp14:editId="6582E660">
            <wp:extent cx="2362200" cy="476250"/>
            <wp:effectExtent l="0" t="0" r="0" b="0"/>
            <wp:docPr id="34" name="Picture 34" descr="C:\Program Files (x86)\ParagrafLex\browser\Files\Old\t\t2013_12\t12_0570_s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ParagrafLex\browser\Files\Old\t\t2013_12\t12_0570_s028.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4762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f</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jesu konstantne različitih fragmenata molekula;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w:t>
      </w:r>
      <w:r w:rsidRPr="00984859">
        <w:rPr>
          <w:rFonts w:ascii="Arial" w:eastAsia="Times New Roman" w:hAnsi="Arial" w:cs="Arial"/>
          <w:sz w:val="15"/>
          <w:szCs w:val="15"/>
          <w:vertAlign w:val="subscript"/>
          <w:lang w:eastAsia="sr-Latn-RS"/>
        </w:rPr>
        <w:t>j</w:t>
      </w:r>
      <w:r w:rsidRPr="00984859">
        <w:rPr>
          <w:rFonts w:ascii="Arial" w:eastAsia="Times New Roman" w:hAnsi="Arial" w:cs="Arial"/>
          <w:lang w:eastAsia="sr-Latn-RS"/>
        </w:rPr>
        <w:t xml:space="preserve"> jeste korektivna vrednost;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 a</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 b</w:t>
      </w:r>
      <w:r w:rsidRPr="00984859">
        <w:rPr>
          <w:rFonts w:ascii="Arial" w:eastAsia="Times New Roman" w:hAnsi="Arial" w:cs="Arial"/>
          <w:sz w:val="15"/>
          <w:szCs w:val="15"/>
          <w:vertAlign w:val="subscript"/>
          <w:lang w:eastAsia="sr-Latn-RS"/>
        </w:rPr>
        <w:t>j</w:t>
      </w:r>
      <w:r w:rsidRPr="00984859">
        <w:rPr>
          <w:rFonts w:ascii="Arial" w:eastAsia="Times New Roman" w:hAnsi="Arial" w:cs="Arial"/>
          <w:lang w:eastAsia="sr-Latn-RS"/>
        </w:rPr>
        <w:t xml:space="preserve"> jeste odgovarajuća učestalost nalaženja u molekulu.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Izvedene na osnovu vrednosti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utvrđenih eksperimentalnim putem, vrednosti konstanti atoma i grupa u molekulu i korektivne vrednosti F</w:t>
      </w:r>
      <w:r w:rsidRPr="00984859">
        <w:rPr>
          <w:rFonts w:ascii="Arial" w:eastAsia="Times New Roman" w:hAnsi="Arial" w:cs="Arial"/>
          <w:sz w:val="15"/>
          <w:szCs w:val="15"/>
          <w:vertAlign w:val="subscript"/>
          <w:lang w:eastAsia="sr-Latn-RS"/>
        </w:rPr>
        <w:t>j</w:t>
      </w:r>
      <w:r w:rsidRPr="00984859">
        <w:rPr>
          <w:rFonts w:ascii="Arial" w:eastAsia="Times New Roman" w:hAnsi="Arial" w:cs="Arial"/>
          <w:lang w:eastAsia="sr-Latn-RS"/>
        </w:rPr>
        <w:t xml:space="preserve"> (tzv. faktori) iz spiska određene su metodom pokušaja i grešaka. Korektivne vrednosti podeljene su u nekoliko različitih klasa</w:t>
      </w:r>
      <w:r w:rsidRPr="00984859">
        <w:rPr>
          <w:rFonts w:ascii="Arial" w:eastAsia="Times New Roman" w:hAnsi="Arial" w:cs="Arial"/>
          <w:b/>
          <w:bCs/>
          <w:sz w:val="15"/>
          <w:szCs w:val="15"/>
          <w:vertAlign w:val="superscript"/>
          <w:lang w:eastAsia="sr-Latn-RS"/>
        </w:rPr>
        <w:t>1, 3</w:t>
      </w:r>
      <w:r w:rsidRPr="00984859">
        <w:rPr>
          <w:rFonts w:ascii="Arial" w:eastAsia="Times New Roman" w:hAnsi="Arial" w:cs="Arial"/>
          <w:lang w:eastAsia="sr-Latn-RS"/>
        </w:rPr>
        <w:t>. Relativno je komplikovano i oduzima dosta vremena da se vodi računa o svim pravilima i svim korektivnim vrednostima. U tu svrhu razvijeni su odgovarajući softveri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Kombinovana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Izračunavanje log P vrednosti kod složenih molekulskih struktura se znatno poboljšava, ukoliko se molekul razdvoji u veće podstrukture za koje postoje pouzdane log P vrednosti, koje su dostupne u tabelama</w:t>
      </w:r>
      <w:r w:rsidRPr="00984859">
        <w:rPr>
          <w:rFonts w:ascii="Arial" w:eastAsia="Times New Roman" w:hAnsi="Arial" w:cs="Arial"/>
          <w:b/>
          <w:bCs/>
          <w:sz w:val="15"/>
          <w:szCs w:val="15"/>
          <w:vertAlign w:val="superscript"/>
          <w:lang w:eastAsia="sr-Latn-RS"/>
        </w:rPr>
        <w:t xml:space="preserve">2, 3 </w:t>
      </w:r>
      <w:r w:rsidRPr="00984859">
        <w:rPr>
          <w:rFonts w:ascii="Arial" w:eastAsia="Times New Roman" w:hAnsi="Arial" w:cs="Arial"/>
          <w:lang w:eastAsia="sr-Latn-RS"/>
        </w:rPr>
        <w:t xml:space="preserve">ili na osnovu sopstvenih merenja. Takvi fragmenti (npr. heterociklična jedinjenja, antrahinon, azobenzen) potom se mogu kombinovati sa Hanšovim </w:t>
      </w:r>
      <w:r w:rsidRPr="00984859">
        <w:rPr>
          <w:rFonts w:ascii="Arial" w:eastAsia="Times New Roman" w:hAnsi="Arial" w:cs="Arial"/>
          <w:i/>
          <w:iCs/>
          <w:lang w:eastAsia="sr-Latn-RS"/>
        </w:rPr>
        <w:t>π</w:t>
      </w:r>
      <w:r w:rsidRPr="00984859">
        <w:rPr>
          <w:rFonts w:ascii="Arial" w:eastAsia="Times New Roman" w:hAnsi="Arial" w:cs="Arial"/>
          <w:lang w:eastAsia="sr-Latn-RS"/>
        </w:rPr>
        <w:t xml:space="preserve"> vrednostima ili Rekerovim ili Leovim konstantama.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Metoda izračunavanja se primenjuje na delimično ili potpuno jonizovana jedinjenja kada je moguće uzeti u obzir neophodne korektivne faktore.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 Ukoliko se pretpostavlja postojanje vodoničnih veza, dodaju se odgovarajući korektivni faktori (oko + 0,6 do + 1,0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jedinica). Prisustvo takvih veza u molekulu se pretpostavlja na osnovu stereo modela ili na osnovu analize spektroskopskih podataka molekula.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Ukoliko je moguće više tautomernih oblika, koristi se najverovatniji oblik kao osnovu za proračune.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Pažljivo se prate revizije spiska sa konstantama fragmenata molekula.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koristi metoda proračuna/procene izveštaj o izvršenom ispitivanju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supstance (smeša, nečistoće,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indikacije o mogućim vodoničnim vezama, disocijaciji, naelektrisanju i svim drugim efektima (npr. tautomeriji);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metode izračunavanja;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identifikacija baze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osobenosti pri izboru fragmenata;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opsežna dokumentacija o proračunima.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 W.J. Lyman, W.F. Reehl and D.H. Rosenblatt (ed.), Handbook of Chemical Property Estimation Methods, McGraw-Hill, New York, 1983.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Pomona College, Medicinal Chemistry Project, Claremont, California 91711, USA, Log P Database and Med. Chem. Software (Program CLOGP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C. Hansch, A.J. Leo, Substituent Constants for Correlation Analysis in Chemistry and Biology, John Wiley, New York, 1979.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A. Leo, C. Hansch, D. Elkins, Chem. Rev., 1971, vol. 71,525.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R.F. Rekker, H.M. de Kort, Eur. J. Med. Chem. - Chill. Ther. 1979, vol. 14,479.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T. Fujita, J. Iwasa and C. Hansch, J. Amer. Chem. Soc., 1964, vol. 86,5175.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R.F. Rekker, The Hydrophobic Fragmental Constant, Pharmacochemistry Library, Elsevier, NewYork, 1977,vol.1.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C.V. Eadsforth, P. Moser, Chemosphere, 1983, vol. 12,1459.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R.A. Scherrer, ACS, American Chemical Society, Washington D.C., 1984, Symposium Series 255, p. 225.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treći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REFERENTNE SUPSTANCE ZA HPLC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92"/>
        <w:gridCol w:w="3858"/>
        <w:gridCol w:w="1224"/>
        <w:gridCol w:w="3558"/>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Br.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Referentna supstanca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log Pow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2-butanon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0,3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4-acetilpiridin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0,5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anilin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0,9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acetanilid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benzil alkohol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p-metoksifenol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10,26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fenoksisirćetna kiselina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3,12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9,92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2,4-dinitrofenol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3,96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benzonitril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fenilacetonitril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4-metilbenzil alkohol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acetofenon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2-nitrofenol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7,17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3-nitrobenzoeva kiselina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3,47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4-hloranilin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4,15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nitrobenzen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cimet alkohol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benzoeva kiselina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pKa=4,19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p</w:t>
            </w:r>
            <w:r w:rsidRPr="00984859">
              <w:rPr>
                <w:rFonts w:ascii="Arial" w:eastAsia="Times New Roman" w:hAnsi="Arial" w:cs="Arial"/>
                <w:lang w:eastAsia="sr-Latn-RS"/>
              </w:rPr>
              <w:t xml:space="preserve">-krezol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pKa=10,17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cimetna kiselina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pKa=3,89 cis 4,44 trans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anizol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metil-benzoat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24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benzen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3-metilbenzoeva kiselina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4,27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4-hlorfenol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9,1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trihloreten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atrazin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etilbenzoat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2,6-dihlorbenzonitril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31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3-hlorbenzoeva kiselina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2,7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3,82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toluen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2,7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1-naftol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2,7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9,34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2,3-dihloranilin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2,8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hlorbenzen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2,8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alilfenil etar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2,9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brombenzen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3,0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38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etilbenzen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39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benzofenon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4-fenilfenol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pKa=9,54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41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timol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3,3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1,4-dihlorbenzen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3,4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43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difenilamin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3,4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0,79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naftalen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3,6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45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fenil-benzoat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3,6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izopropilbenzen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3,7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47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2,4,6-trihlorfenol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3,7 </w:t>
            </w: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pKa = 6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48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bifenil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4,0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49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benzil-benzoat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4,0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2,4-dinitro-6 </w:t>
            </w:r>
            <w:r w:rsidRPr="00984859">
              <w:rPr>
                <w:rFonts w:ascii="Arial" w:eastAsia="Times New Roman" w:hAnsi="Arial" w:cs="Arial"/>
                <w:i/>
                <w:iCs/>
                <w:lang w:eastAsia="sr-Latn-RS"/>
              </w:rPr>
              <w:t>sec</w:t>
            </w:r>
            <w:r w:rsidRPr="00984859">
              <w:rPr>
                <w:rFonts w:ascii="Arial" w:eastAsia="Times New Roman" w:hAnsi="Arial" w:cs="Arial"/>
                <w:lang w:eastAsia="sr-Latn-RS"/>
              </w:rPr>
              <w:t xml:space="preserve">-butilfenol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4,1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51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1,2,4-trihlorbenzen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4,2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dodekanska kiselina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4,2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53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difenil-etar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4,2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54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n-butilbenzen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4,5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fenantren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4,5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fluoranten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4,7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57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dibenzil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4,8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2,6-difenilpiridin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4,9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59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trifenilamin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5,7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DDT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6,2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A.9. TAČKA PALJENJA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izvođenja ispitivanja korisno je imati podatke o zapaljivosti supstance. Postupak ispitivanja primenjuje se na tečne supstance čije se pare mogu zapaliti izvorom paljenja. Date metode pouzdane su samo za opsege tačke paljenja koji su dati u pojedinačnim metodama.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Prilikom izbora metode koja će se primenjivati u postupku ispitivanja, uzima se u obzir mogućnost pojave hemijskih reakcija između supstance i posude za uzorak.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Tačka paljenja jeste najniža temperatura, korigovana na pritisak od 101,325 kPa, pri kojoj tečnost proizvodi paru u uslovima definisanim u ovoj metodi, u dovoljnoj količini za stvaranje zapaljive smeše pare i vazduha u tom sudu.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Merne jedinice: stepen Celzijusa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lang w:eastAsia="sr-Latn-RS"/>
        </w:rPr>
        <w:t xml:space="preserve"> = T - 273,15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lang w:eastAsia="sr-Latn-RS"/>
        </w:rPr>
        <w:t xml:space="preserve"> jeste temperatura u stepenima Celzijusa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temperatura u stepenima kelvina (K).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ispitivanja nove supstance nije potrebno u svim slučajevima koristiti referentne supstance. One pre svega služe za povremenu proveru metode, kao i da omoguće poređenje sa rezultatima ostalih metoda.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se unosi u sud za ispitivanje i zagreva se ili se hladi do temperature ispitivanja u skladu sa postupkom opisanim u pojedinačnoj metodi ispitivanja. Ispitivanje paljenja vrši se radi utvrđivanja da li se uzorak pali na temperaturi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Ponovljivost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Ponovljivost varira prema opsegu tačke paljenja i metode koja se koristi, maksimalno 2° 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Osetljivost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Osetljivost zavisi od korišćene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Specifičnost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Specifičnost nekih metoda ograničena je opsegom tačke paljenja i zavisi od svojstava supstance (npr. visoka viskoznost).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supstance za ispitivanje unosi se u aparaturu za ispitivanje u skladu sa odeljkom 1.6.3.1, odnosno sa odeljkom 1.6.3.2.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Kada se ispituju energijom bogate ili toksične supstance, iz sigurnosnih razloga se preporučuje primena metode koja koristi manju količinu uzorka, oko 2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Uređaj se postavlja u položaj u kom nema spoljašnjih uticaja, vodeći računa o bezbednosti.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Metoda ravnoteže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standarde: SRPS EN ISO 1516, SRPS EN ISO 3680, SRPS EN ISO 1523, SRPS EN ISO 3679.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Metoda neravnoteže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po Abelu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 SRPS EN ISO 13736.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po Abel-Penskom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 SRPS B.H8.047.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Metoda po Tagu</w:t>
      </w:r>
      <w:r w:rsidRPr="00984859">
        <w:rPr>
          <w:rFonts w:ascii="Arial" w:eastAsia="Times New Roman" w:hAnsi="Arial" w:cs="Arial"/>
          <w:b/>
          <w:bCs/>
          <w:sz w:val="15"/>
          <w:szCs w:val="15"/>
          <w:vertAlign w:val="superscript"/>
          <w:lang w:eastAsia="sr-Latn-RS"/>
        </w:rPr>
        <w:t>XXIV</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po Penski-Martensu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 SRPS EN ISO 2719.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tačka paljenja, određena metodom neravnoteže iz odeljka 1.6.3.2. ove metode, iznosi 0° C ± 2° C, 21° C ± 2° C ili 55° C ± 2° C, tačku paljenja je potrebno potvrditi metodom ravnoteže uz upotrebu iste aparature.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davanje podataka koriste se isključivo metode koje daju temperaturu tačke paljenja.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određivanje tačke paljenja viskoznih tečnosti (boje, lepkovi i sl.) koje sadrže rastvarače, mogu se koristiti aparatura i metode koji su prikladni za određivanje tačke paljenja viskoznih tečnosti.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standarde: SRPS EN ISO 3679, SRPS EN ISO 3680, SRPS EN ISO 1523.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XXIV</w:t>
      </w:r>
      <w:r w:rsidRPr="00984859">
        <w:rPr>
          <w:rFonts w:ascii="Arial" w:eastAsia="Times New Roman" w:hAnsi="Arial" w:cs="Arial"/>
          <w:lang w:eastAsia="sr-Latn-RS"/>
        </w:rPr>
        <w:t xml:space="preserve"> ASTM D 56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tačan opis supstance (identifikaciju i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podatke o korišćenoj metodi, kao i mogućim odstupanjima;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i dodatne napomene značajne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A.10. ZAPALJIVOST (ZA ČVRSTE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izvođenja ispitivanja korisno je imati podatke o mogućim eksplozivnim svojstvima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 ispitivanje primenjuje se isključivo na praškaste supstance, supstance u obliku paste ili u granulama.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Kako bi se izbeglo da se u ovu kategoriju svrstaju sve zapaljive supstance, već samo one koje brzo gore ili supstance čije je ponašanje u toku gorenja na bilo koji način opasno, u kategoriju lako zapaljivih svrstavaju se samo supstance čija brzina sagorevanja prelazi utvrđene granične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Posebnu opasnost predstavlja širenje usijanja kroz metalni prah zbog poteškoća koje se mogu javiti pri gašenju požara. Metalni prah se smatra visoko zapaljivom supstancom ukoliko podržava širenje usijanja kroz masu u određenom vremenskom roku.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sagorevanja izražava se u sekundama.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PRINCIPI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se oblikuje u vidu neprekidne trake ili neprekidnog praškastog traga dužine 250 mm. Preliminarno ispitivanje vrši se sa ciljem da se utvrdi da li dolazi do širenja gorenja sa razvojem plamena ili do tinjanja kada se supstanca zapali plamenikom na gas. Ukoliko se vatra proširi u dužini od 200 mm u određenom vremenskom roku, sprovodi se kompletno ispitivanje kako bi se utvrdila brzina sagorevanja.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Preliminarno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se oblikuje u vidu neprekidne trake ili neprekidnog praškastog traga dužine 250 mm, širine 20 mm i visine 10 mm na nezapaljivoj, neporoznoj podlozi koja slabo provodi toplotu. Vreo plamen iz plamenika na gas (minimalni prečnik 5 mm) prinosi se jednom kraju praškastog traga supstance sve dok se prah ne zapali ili maksimalno 2 minuta (5 minuta za </w:t>
      </w:r>
      <w:r w:rsidRPr="00984859">
        <w:rPr>
          <w:rFonts w:ascii="Arial" w:eastAsia="Times New Roman" w:hAnsi="Arial" w:cs="Arial"/>
          <w:lang w:eastAsia="sr-Latn-RS"/>
        </w:rPr>
        <w:lastRenderedPageBreak/>
        <w:t xml:space="preserve">metalni prah ili legure metala). Prati se da li se gorenje širi kroz trag u dužini od 200 mm u roku od 4 minuta (ili 40 minuta za metalni prah). Ukoliko se u roku od 4 minuta (ili 40 minuta za metalni prah) supstanca ne zapali i gorenje se ne proširi uz razvijanje plamena ili tinjanje u dužini od 200 mm praškastog traga ispitivane supstance, supstanca se ne smatra lako zapaljivom i nije potrebno vršiti dalje ispitivanje. Ukoliko se za manje od 4 minuta, ili za manje od 40 minuta kada je reč o metalnom prahu, ispitivana supstanca zapali i požar se proširi po uzorku u dužini od 200 mm, primenjuje se postupak iz odeljka 1.6.2. ove metode i ostalih odeljaka.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Određivanje brzine gorenja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Praškasta ili supstanca u granulama naspe se u kalup dužine 250 mm sa poprečnim presekom u obliku trougla unutrašnje visine 10 mm i širine 20 mm. Sa obe strane kalupa montiraju se dve metalne ploče kao stranični graničnici koji prelaze gornju ivicu kalupa za 2 mm (videti Sliku). Kalup se zatim tri puta ispusti sa visine od 2 cm na čvrstu podlogu. Ukoliko je potrebno kalup se ponovo napuni. Poprečni graničnici se zatim skinu, a višak supstance očisti. Preko kalupa se stavlja ploča od nezapaljivog, neporoznog materijala koji slabo provodi toplotu, cela aparatura se okrene naopako, a zatim se ukloni kalup.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Supstance u obliku paste razmažu se po podlozi koja je napravljena od nezapaljivog, neporoznog materijala koji slabo provodi toplotu u obliku užeta dužine 250 mm sa poprečnim presekom oko 1 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supstanci koje su osetljive na vlagu ispitivanje se izvodi što je brže moguće nakon što se supstanca izvadi iz posude.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Formira se uzorak i postavlja u digestor.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Brzina protoka vazduha treba da bude dovoljna da spreči širenje dima laboratorijom i da se ne menja tokom ispitivanja. Oko aparature se podigne zaklon. Vreo plamen iz plamenika na gas (minimalni prečnik 5 mm) koristi se da se zapali supstanca na jednom kraju. Kada se supstanca upali sa razdaljine od 80 mm, na narednih 100 mm meri se brzina gorenja. Ispitivanje se ponavlja šest puta, i svaki put se koristi čista hladna ploča, osim ukoliko se ranije dobiju pozitivni rezultati.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procenu su značajni podaci o: vremenu sagorevanja dobijenom na preliminarnom ispitivanju (odeljak 1.6.1. ove metode) i najkraćem vremenu sagorevanja od najviše šest ispitivanja (odeljak 1.6.2.3.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precizan opis supstance (identifikacija i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supstance koja se ispituje, njeno fizičko stanje uključujući sadržaj vlage;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preliminarnog ispitivanja i ispitivanja za utvrđivanje brzine sagorevanja, ukoliko je izvršeno;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dodatne podatke značajne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Praškaste supstance i supstance u obliku grnula ili paste smatraju se lako zapaljivima kada je vreme sagorevanja na bilo kom od sprovedenih ispitivanja opisanih u odeljku 1.6.2. ove metode manje od 45 sekundi. Metalni prah ili legure metala smatraju se lako zapaljivim supstancama kada se mogu zapaliti ili se zona reakcije proširi na ceo uzorak u roku od 10 minuta ili manje.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NF T 20-042 (September 85). Chemical products for industrial use. Determination of the flammability of solids.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Kalup i pribor za pripremu uzorka za ispitivanje (Sve dimenzije izražene su u milimetrima)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69CCED1B" wp14:editId="75B104CA">
            <wp:extent cx="5162550" cy="5448300"/>
            <wp:effectExtent l="0" t="0" r="0" b="0"/>
            <wp:docPr id="33" name="Picture 33" descr="C:\Program Files (x86)\ParagrafLex\browser\Files\Old\t\t2013_12\t12_0570_s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ParagrafLex\browser\Files\Old\t\t2013_12\t12_0570_s029.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2550" cy="54483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A.11. ZAPALJIVOST (ZA GASOVE)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utvrđuje se da li su gasovi zapaljivi u smeši sa vazduhom na sobnoj temperaturi (oko 20° C) i atmosferskom pritisku, i ako jesu, u kojim opsezima koncentracija. Smeše ispitivanog gasa (u rastućim koncentracijama) i vazduha izlažu se dejstvu električne varnice i posmatra se da li dolazi do paljenja.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Opseg zapaljivosti jeste opseg koncentracija između donje i gornje granice eksplozivnosti. Donja i gornja granica eksplozivnosti jesu one granične koncentracije zapaljivih gasova u smeši sa vazduhom kod kojih ne dolazi do pojave plamena.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gasa u vazduhu povećava se postepeno i smeša se svaki put izlaže električnoj varnici.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Posuda za ispitivanje jeste uspravni stakleni cilindar minimalnog unutrašnjeg prečnika 50 mm i minimalne visine 300 mm. Elektrode za paljenje postavljaju se na rastojanju od 3 mm do 5 mm i 60 mm iznad dna cilindra. Cilindar ima otvor za odušak. Aparatura se zaštićuje da bi se sprečila eventualna oštećenja usled eksplozije.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Kao izvor paljenja koristi se standardna indukciona varnica trajanja 0,5 sekundi, koju proizvodi visokonaponski transformator izlaznog napona od 10 kV do 15 kV (maksimalne snage 300 W). Primer odgovarajuće aparature dat je u literaturi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izvodi na sobnoj temperaturi (oko 20° 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stakleni cilindar se pomoću pumpi uvodi poznata koncentracija gasa u vazduhu. Varnica se propušta kroz smešu i posmatra se da li se plamen odvaja od izvora paljenja i da li se razvija samostalno. Koncentracija gasa se menja u koracima od 1% zapreminski sve dok ne dođe do paljenja.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hemijska struktura gasa ukazuje da je on nezapaljiv i ako se izračuna sastav stehiometrijske smeše sa vazduhom, onda se samo smeše u opsegu 10% manje od stehiometrijskog sastava do 10% više od ovog sastava ispituju u koracima od 1% zapreminski.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Jedini značajan podatak za određivanje ovog svojstva je pojava i razvoj plamena.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precizan opis supstance (identifikaciju i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korišćene aparature sa njenim dimenzijama;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temperaturu na kojoj je supstanca ispitivana;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ispitane koncentracije i dobijene rezultate;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 ispitivanja: nezapaljivi gas ili lako zapaljivi gas;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ukoliko je zaključeno da je gas nezapaljiv, unose se podaci o opsegu koncentracija koji je ispitan u koracima od 1% zapreminski;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podatke i napomene značajne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NF T 20-041 (September 85) Chemical products for industrial use. Determination of the flammability of gases.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W. Berthold, D. Conrad, T. Grewer, H. Grosse-Wortmann "Entwicklung einer Standard-Apparatur zur Messung von Explosionsgrenzen". Chem.-Ing.-Tech. 1984, vo1. 56, 2, 126-127., T. Redeker und H. Schacke, p. 126-127.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A.12. ZAPALJIVOST (U KONTAKTU SA VODOM)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ispitivanja utvrđuje se da li se u reakciji supstance sa vodom ili vlažnim vazduhom razvijaju opasne količine gasa ili gasova koji mogu biti veoma zapaljivi.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primenjuje i na čvrste i na tečne supstance, a ne primenjuje se na supstance koje se spontano pale u kontaktu sa vazduhom.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Veoma zapaljiva supstanca jeste supstanca koja u kontaktu sa vodom ili vlažnim vazduhom razvija veoma zapaljive gasove u opasnim količinama, minimalnom brzinom od 1 L/kg po satu.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PRINCIPI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se ispituje postupno (korak po korak) kako je opisano u ovom odeljku. Ukoliko se u bilo kom koraku razvije plamen, ispitivanje se ne nastavlja. Ukoliko je poznato da supstanca ne razvija burnu reakciju sa vodom, nastavlja se sa sprovođenjem ispitivanja do koraka 4 (videti odeljak 1.3.4.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1.3.1. Korak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koja se ispituje stavlja se u posudu sa destilovanom vodom temperature 20° C i prati se da li će se zapaliti gasovi koji se pri tom razvijaju.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1.3.2. Korak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stavlja se na filter papir koji pluta po površini posude sa destilovanom vodom temperature 20° C i prati se da li će se zapaliti gasovi koji se pri tom razvijaju.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Filter papir se stavlja da bi zadržao supstancu na jednom mestu čime se povećava mogućnost da se ona zapali.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1.3.3. Korak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formira se u obliku gomile visine oko 2 cm i prečnika oko 3 cm. Na tako napravljenu gomilu doda se nekoliko kapi vode i prati se da li će se zapaliti gasovi koji se pri tom razvijaju.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1.3.4. Korak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koja se ispituje meša se sa destilovanom vodom temperature od 20° C i meri se brzina razvijanja gasova u periodu od sedam sati, u intervalima od jednog sata. Ukoliko je brzina razvijanja gasova promenljiva, ili ukoliko se stalno povećava, nakon sedam sati merenja, vreme posmatranja se produžava maksimalno do pet dana. Ispitivanje se može prekinuti kada brzina razvijanja gasova pređe 1 L/kg na sat.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Korak 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izvodi na sobnoj temperaturi (oko 20° 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Malu količinu supstance koja se ispituje (oko 2 mm u prečniku) staviti u posudu sa destilovanom vodom. Prati se da li se razvija neki gas i da li se taj gas pali. Ukoliko se zapali gas koji se tako razvio ne nastavlja se sa ispitivanjem supstance jer se ona smatra opasnom.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Korak 2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Filter papir koji pluta po površini destilovane vode u odgovarajućem sudu, npr. šolji za uparavanje prečnika 100 mm.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izvodi na sobnoj temperaturi (oko 20° 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Malu količinu supstance koja se ispituje (oko 2 mm u prečniku) staviti na centar filter papira. Prati se da li se razvija neki gas i da li se taj gas pali. Ukoliko se zapali gas koji se tako razvio ne nastavlja se sa ispitivanjem supstance jer se ona smatra opasnom.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Korak 3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izvodi na sobnoj temperaturi (oko 20° 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koja se ispituje formira se u obliku gomile visine oko 2 cm i prečnika oko 3 cm sa ulegnućem na vrhu. Nekoliko kapi vode ubaci su u šupljinu formiranu na vrhu gomile i prati se da li se razvija neki gas i da li se taj gas pali. Ukoliko se zapali gas koji se tako razvio ne nastavlja se sa ispitivanjem supstance jer se ona smatra opasnom.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Korak 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1.6.4.1.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se postavlja kao što je prikazano na Slici.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Pregledati posudu u kojoj se nalazi supstanca koja će se ispitivati i utvrditi da li sadrži materije u prahu veličine čestica &lt; 500 μm. Ukoliko praškaste materije čine više od 1% masenog od ukupne količine supstance ili ukoliko je uzorak trošan, pre ispitivanja čitava supstanca se spraši kako bi se prilikom pakovanja i rukovanja omogućilo smanjenje veličine čestica supstance. U suprotnom, supstanca se ispituje u obliku u kome je dobijena. Ispitivanje se izvodi na sobnoj temperaturi (oko 20° C) i pri atmosferskom pritisku.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1.6.4.3.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kapalicu se sipa 10 ml do 20 ml vode, a 10 g supstance stavi se u erlenmajer. Zapremina gasova koji se pri tom izdvajaju meri se na bilo koji odgovarajući način. Slavina na kapalici otvori se tako da voda kaplje u erlenmajer i uključi se štoperica. Izdvajanje gasova proverava se na svakih sat vremena tokom perioda od sedam sati. Ukoliko je brzina izdvajanja gasova promenljiva, ili ukoliko se stalno povećava, nakon sedam sati merenja, merenje se produžava najviše do pet dana. Ispitivanje se može prekinuti u bilo kom trenutku merenja ako brzina razvijanja gasova pređe 1 L/kg na sat. Ovo ispitivanje vrši se tri puta.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Analizira se hemijski sastav gasa ukoliko je nepoznat. Kada gas sadrži veoma zapaljive sastojke, a nije poznato da li je čitava smeša veoma zapaljiva, pravi se smeša istog sastava i ispituje se u skladu sa metodom A.11. koja je data u ovom prilogu.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se smatra opasnom ukoliko: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dolazi do spontanog paljenja u bilo kom koraku postupka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dolazi do izdvajanja zapaljivog gasa brzinom većom od 1 L/kg supstance na sat.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3. IZVEŠTAVANJE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precizan opis supstance (identifikacija i sadržaj nečistoća);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prethodnim pripremama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ispitivanja (koraci 1, 2, 3 i 4 dati u odeljku 1.6.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hemijski sastav izdvojenog gasa;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brzinu izdvajanja gasa ukoliko je primenjen korak 4 (dat u odeljku 1.6.4.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dodatne napomene važne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Recommendations on the transport of dangerous goods, test and criteria, 1990, United Nations,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NF T 20-040 (September 85) Chemical products for industrial use. Determination of the flammability of gases formed by the hydrolysis of solid and liquid products.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Aparatura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2311AD60" wp14:editId="7834F63E">
            <wp:extent cx="1743075" cy="7658100"/>
            <wp:effectExtent l="0" t="0" r="9525" b="0"/>
            <wp:docPr id="32" name="Picture 32" descr="C:\Program Files (x86)\ParagrafLex\browser\Files\Old\t\t2013_12\t12_0570_s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 (x86)\ParagrafLex\browser\Files\Old\t\t2013_12\t12_0570_s03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075" cy="76581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A.13. SAMOZAPALJIVOST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(ZA ČVRSTE I TEČNE SUPSTANCE I SMEŠE)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primenjuje na čvrste i tečne supstance koje se, u malim količinama, spontano pale ubrzo posle kontakta sa vazduhom na sobnoj temperaturi (oko 20°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se ne ispituju supstance koje se, pre nego što se zapale, izlažu vazduhu satima ili danima na sobnoj ili povišenoj temperaturi.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Smatra se da su supstance samozapaljive ukoliko se pale ili izazivaju ugljenisanje pri uslovima iz odeljka 1.6.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Može se ukazati potreba za ispitivanjem samozapaljivosti tečnosti prema metodi A.15. Temperatura samozapaljenja (za tečnosti i gasove) datoj u ovom prilogu.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se, bilo da je u čvrstom ili tečnom stanju, dodaje na inertni nosač i dovodi u kontakt sa vazduhom na sobnoj temperaturi u periodu od pet minuta. Ukoliko se tečna supstanca ne zapali, apsorbuje se u filter papir i izloži vazduhu na sobnoj temperaturi (oko 20° C) u periodu od pet minuta. Ako se čvrsta ili tečna supstanca zapale, ili ako tečna supstanca zapali ili ugljeniše filter papir, supstanca se smatra samozapaljivom.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Ponovljivost: zbog značaja za bezbednost jedan pozitivan rezultat je dovoljan da bi se supstanca smatrala samozapaljivom.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Porcelanska šolja prečnika oko 10 cm puni se dijatomejskom zemljom do visine od oko 5 mm na sobnoj temperaturi (oko 20°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Dijatomejska zemlja ili bilo koja druga slična inertna supstanca koja je uobičajeno dostupna uzima se kao reprezentativni uzorak zemljišta na koji se ispitivana supstanca sipa u slučaju akcidenta (nezgode).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tečnosti koristi se suvi filter papir koji se ne pali u kontaktu sa vazduhom kada dođe u dodir sa inertnim nosačem.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Postupak ispitivanja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 Praškaste čvrste supstance i smeše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Sipa se 1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do 2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supstance koja se ispituje sa oko 1 cm visine na nezapaljivu površinu. Zatim se posmatra da li se supstanca pali tokom kapanja ili u roku od pet minuta stajanja. Ispitivanje se ponavlja šest puta, osim ako ne dođe do paljenja.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 Tečnosti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Sipa se oko 5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tečnosti koja se ispituje u za to pripremljenu porculansku šolju. Zatim se posmatra da li se supstanca zapali u roku od pet minuta.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u šest ispitivanja ne dođe do paljenja, vrši se sledeće ispitivanje: špricem se nanese 0,5 ml uzorka za ispitivanje na udubljeni filter papir. Zatim se posmatra da li dolazi do paljenja ili ugljenisanja filter papira u roku od pet minuta od nanošenja tečnosti. Ispitivanje se ponavlja tri puta, osim ako ne dođe do paljenja ili ugljenisanja.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može prekinuti kad se uoče pozitivni rezultati kod bilo kog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Smatra se da je supstanca samozapaljiva ako se zapali u roku od pet minuta po dodavanju te supstance na nosač i nakon izlaganja vazduhu, ili ako tečnost ugljeniše ili zapali filter papir u roku od pet minuta od nanošenja na papir i izlaganja vazduhu.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ukoliko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precizan opis supstance (identifikaciju i sadržaj nečistoća);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dodatne napomene važne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NF T 20-039 (September 85) Chemical products for industrial use. Determination of the spontaneous flammability of solids and liquids.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Recommendations on the Transport of Dangerous Goods, Test and criteria, 1990, United Nations, New York.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A.14. EKSPLOZIVNOST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Ova metoda opisuje postupak ispitivanja kojim se utvrđuje da li čvrsta supstanca ili supstanca u obliku paste predstavljaju potencijalno opasne supstance koje mogu lako da eksplodiraju kada se izlože plamenu (termička osetljivost), udaru ili trenju (osetljivost na mehanički stimulus), i da li tečna supstanca razvija eksplozivno dejstvo kada se izloži dejstvu plamena ili udaru.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sastoji iz tri dela: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ispitivanje termičke osetljivosti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 ispitivanje mehaničke osetljivosti u odnosu na udar</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3. ispitivanje mehaničke osetljivosti u odnosu na trenje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dobijaju se podaci za procenu verovatnoće izazivanja eksplozije supstance primenom uobičajenih stimulusa. Metoda nije namenjena za utvrđivanje da li supstanca može da eksplodira pod bilo kojim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Primenom ove metode utvrđuje se da li supstanca ima eksplozivna svojstva (termička i mehanička osetljivost) pod određenim uslovima. Zasniva se na primeni više tipova aparatura za ispitivanje koje se najčešće koriste u svetu</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i koje daju dobre rezultate. Ova metoda nije definitivna. Mogu se koristiti i alternativne aparature ako su prihvaćene na međunarodnom nivou i da se rezultati takvih ispitivanja mogu dovesti u vezu i porediti sa rezultatima dobijenim primenom propisane aparature.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se ne sprovodi kada dostupni podaci o termodinamičkim svojstvima (npr. toplota nastajanja, toplota razlaganja supstance) i/ili odsustvo određenih reaktivnih grupa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u strukturnoj formuli omogućavaju da se dovoljno pouzdano utvrdi da supstanca nema svojstva koja dovode do njenog brzog razlaganja uz izdvajanje gasova i oslobađanje toplote (tj. materijal ne predstavlja rizik od eksplozije). Kod tečnih supstanci se ne sprovodi ispitivanje mehaničke osetljivosti u odnosu na trenje.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Eksplozivi jesu supstance koje mogu da eksplodiraju pod dejstvom plamena ili supstance koje su osetljive na udar ili trenje pri primeni propisane aparature za ispitivanje (ili su osetljivije na mehaničke udare od 1,3-dinitrobenzena ako se primenjuju alternativne aparature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1,3-dinitrobenzen, tehnički kristalan proizvod prosejan kroz sito dimenzija 0,5 mm za potrebe ispitivanja reakcije na udar ili trenje.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Perhidro-1,3,5-trinitro-1,3,5-triazin (RDX, heksogen, ciklonit- CAS 121-82-4) prekristalisan iz vodenog rastvora cikloheksanona, koji je potom prosejan na vlažnom putu kroz sito veličine 250 μm i zadržan na situ veličine 150 μm, a potom osušen na temperaturi od 103° C ± 2° C (tokom 4 sata) radi sprovođenja druge serije ispitivanja osetljivosti na trenje i udar.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Preliminarna ispitivanja neophodna su da bi se utvrdili bezbednosni uslovi za izvođenje tri ispitivanja osetljivosti.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1.4.1. Ispitivanje bezbednosti pri rukovanju supstancom</w:t>
      </w:r>
      <w:r w:rsidRPr="00984859">
        <w:rPr>
          <w:rFonts w:ascii="Arial" w:eastAsia="Times New Roman" w:hAnsi="Arial" w:cs="Arial"/>
          <w:b/>
          <w:bCs/>
          <w:sz w:val="15"/>
          <w:szCs w:val="15"/>
          <w:vertAlign w:val="superscript"/>
          <w:lang w:eastAsia="sr-Latn-RS"/>
        </w:rPr>
        <w:t>3</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 bezbednosnih razloga, pre nego što se pristupi izvođenju osnovnog ispitivanja, male količine uzorka (oko 10 mg) ispitivane supstance zagrevaju se na otvorenom, gasnim plamenikom, izlažu se udarcu - uz primenu odgovarajuće aparature i trenju - uz upotrebu čekića i nakovnja ili drugog uređaja za ispitivanje trenja. Cilj ovog ispitivanja jeste da se utvrdi da li je supstanca toliko osetljiva i eksplozivna da se opisana ispitivanja, a pre svega ispitivanja njene termičke osetljivosti, sprovode uz posebne mere bezbednosti kako lice koje sprovodi ispitivanja ne bi bilo povređeno.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Termička osetljivost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podrazumeva zagrevanje supstance u čeličnoj cevi, zatvorenoj pomoću prigušnica sa različitim prečnikom otvora, kako bi se utvrdilo da li supstanca eksplodira pri intenzivnom zagrevanju u zatvorenoj sredini.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Mehanička osetljivost (udar)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supstanca se izlaže udaru koji izaziva određena masa koja se ispusti na supstancu sa određene visine.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1.4.4. Mehanička osetljivost (trenje)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čvrsta supstanca ili supstanca u obliku paste izlaže se trenju između standardnih površina pod određenim uslovima opterećenja i relativnog kretanja.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Termička osetljivost (uticaj plamena)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se sastoji od čelične cevi za jednokratnu upotrebu i višenamenskih zapušača (Slika 1), koji se postavljaju u sigurnosni uređaj za zagrevanje. Svaka cev izrađuje se oblikovanjem pod presom od čeličnog lima (videti Deo drugi ove metode) i ima unutrašnji prečnik 24 mm, dužinu 75 mm i debljinu zidova 0,5 mm. Cevi se na otvorenom kraju obrađuju tako da se mogu zatvoriti prigušnicom. Prigušnica je otporna na pritisak, ima centralni otvor, i pričvršćuje se za cev dvodelnim vijkom (sa navojem i maticom). Navoji vijka su izrađeni od visoko legiranog čelika sa hromom i manganom (videti Deo drugi ove metode) koji je otporan na visoke temperature koje mogu ići i do 800° C. Prigušnice su debljine 6 mm, načinjene od čelika otpornog na toplotu (videti Deo drugi ove metode), različitih veličina otvora.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se ispituje u stanju u kome je dobijena. Izuzetno, npr. ukoliko je supstanca presovana, izlivena ili na drugi način komprimovana, može se najpre zdrobiti a potom ispitati.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Kod supstanci u čvrstom stanju, masa materijala koji se ispituje određuje se suvim postupkom u dve faze. Tarirana cev napuni se sa 9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supstance i sabije uz primenu sile od 80 N na poprečni presek cevi. Iz bezbednosnih razloga ili u slučajevima kada fizički oblik uzorka može biti izmenjen zbog kompresije koristi se neki drugi način punjenja, npr. ako je supstanca veoma osetljiva na trenje onda se ne primenjuje metod sabijanja. Ukoliko je materijal kompresibilan dodaje se još materijala sve dok se ne dođe do granice od 55 mm ispod vrha cevi. Zatim se odredi ukupna masa supstance koja je potrebna da se dođe do ove granice od 55 mm ispod vrha cevi i dodaju se još dve količine, pri čemu se svaki put za sabijanje koristi sila od 80 N. Zatim se ili doda još materijala ili se on odvadi tako da ostane količina u visini od 15 mm u odnosu na vrh cevi. Izvrši se druga provera na suvo uz upotrebu količine koja odgovara trećini sabijene mase korišćene kod prve suve probe. Još dva puta se dodaje supstanca i to ona koja je prethodno odvađena. Svaki put za sabijanje koristi se sila od 80 N, sve dok nivo supstance ne dođe do visine od 15 mm ispod vrha cevi. Količina čvrste supstance izmerena prilikom druge suve probe koristi se pri svakom daljem ispitivanju. Punjenje se vrši u tri jednake količine, od kojih se svaka kompresuje do 9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uz upotrebu odgovarajuće sile. (Postupak se olakšava upotrebom prstena za pravljenje proreda.)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Tečnosti i gelovi sipaju se u cev do visine od 60 mm, vodeći računa da se kod gelova ne stvaraju šupljine. Navojna obujmica se navuče na cev odozdo i ubacuje se odgovarajuća prigušnica. Navoj se zateže nakon što se nanese određena količina lubrikanta na bazi molibden-disulfida. Važno je proveriti da nema supstance između prirubnice i ploče ili na navojima.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Zagrevanje se vrši propanom iz industrijskih boca koje imaju regulator pritiska (60 mbar do 70 mbar) koji omogućava njegovu ravnomernu distribuciju (na šta upućuje vizuelna provera plamena u gorionicima) cevovodima do četiri gorionika. Gorionici se raspoređuju oko komore za ispitivanje kao što je prikazano na Slici 1. Četiri gorionika imaju kombinovanu potrošnju od oko 3,2 L propana u minuti.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i druga gasovita goriva i drugačiji gorionici, ali brzina zagrevanja treba da bude u skladu sa brzinom datom na Slici 3. Kod svih tipova aparatura povremeno se vrši provera brzine zagrevanja uz pomoć cevi koje su napunjene dibutil-ftalatom kao što je prikazano na Slici 3.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Ispitivanja se izvode ili dok se cev ne raspadne ili tako što se cev zagreva pet minuta. Kada se pri ispitivanju cev raspadne na tri ili više delova, koji mogu biti međusobno spojeni uskim trakama metala kao što je prikazano na Slici 2, smatra se da je došlo do eksplozije. Ako se prilikom ispitivanja cev raspala na manji broj delova ili se nije raspala, smatra se da nije došlo do eksplozije.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Prvo se sprovodi serija od tri ispitivanja sa prečnikom otvora prigušnice od 6,0 mm. Ukoliko ne dođe do eksplozije, vrši se druga serija od tri ispitivanja sa prečnikom otvora prigušnice od 2,0 mm. Ukoliko pri bilo kojoj od ovih serija ispitivanja dođe do eksplozije ne vrše se dalja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Smatra se da je ispitivanje dalo pozitivne rezultate kada pri bilo kojoj od navedenih serija ispitivanja dođe do eksplozije.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Mehanička osetljivost (udar)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1.6.2.1. Aparatura (Slika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delovi tipične aparature sa padajućim čekićem su: klada od livenog čelika sa postoljem, nakovanj, kolona, vođice, tegovi, sprava za otpuštanje i držač uzorka. Čelični nakovanj dimenzija: 100 mm (prečnik) x 70 mm (visina) zašrafi se na gornju površinu čeličnog bloka dimenzija: 230 mm (dužina) x 250 mm (širina) x 200 mm (visina) sa livenim postoljem dimenzija: 450 mm (dužina) x 450 mm (širina) x 60 mm (visina). Kolona, sačinjena od bešavne čelične cevi, pričvršćuje se za nosač koji je zašrafljen za zadnji deo čeličnog bloka. Četiri šrafa pričvršćuju opremu za čvrst betonski blok 60 cm x 60 cm x 60 cm tako da su šine vođica u vertikalnom položaju i da tegovi padaju slobodno. Mogu se koristiti tegovi od 5 kg i 10 kg, napravljeni od čvrstog čelika. Udarni deo tega napravljen je od ojačanog čelika, HRC 60 do 63 i ima minimalni prečnik 25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koji se ispituje zatvara se u uređaj za ispitivanje osetljivosti na udar koji se sastoji od dva koaksijalna cilindra napravljena od čvrstog čelika. Cilindri su postavljeni jedan iznad drugog i smeštaju se u šupalj cilindrični prsten od čelika. Cilindri od čvrstog čelika treba da budu prečnika 10 mm (- 0,003 mm, - 0,005 mm) i visine 10 mm, ispolirane površine, zaobljenih ivica (radijus zakrivljenosti 0,5 mm) i tvrdoće HRC 58 do 65. Šuplji cilindar ima spoljni prečnik 16 mm, ispoliranu unutrašnjost prečnika 10 mm (+ 0,005 mm, + 0,010 mm) i visine 13 mm. Uređaj za ispitivanje osetljivosti na udar postavlja se na nakovanj (prečnika 26 mm i visine 26 mm) koji je napravljen od čelika i centrira se pomoću prstena sa perforacijama koje omogućavaju ispuštanje para.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Zapremina uzorka je 40 mm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ili odgovara alternativnoj opremi koja se koristi. Čvrste supstance ispituju se u suvom stanju i pripremaju na sledeći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praškaste supstance seju se kroz sito (veličina sita 0,5 mm); sve što prođe kroz sito koristi se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presovane, izlivene ili na drugi način komprimovane supstance sitne se u sitnije komade koji se proseju. Prosejani komadi prečnika između 0,5 mm i 1 mm koriste se pri ispitivanju i smatraju se uzorcima originalne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koje se isporučuju u obliku paste ispituju se u suvom stanju kad god je moguće, ili nakon uklanjanja što je moguće veće količine razređivača. Supstance koje se nalaze u tečnom stanju ispituju se tako što se ostavi razmak od 1 mm između gornjeg i donjeg cilindra.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Vrši se serija od 6 ispitivanja uz bacanje tega mase od 10 kg sa visine od 0,40 m (40 J). Ukoliko pri seriji ispitivanja od 40 J dođe do eksplozije, sprovodi se još jedna serija od 6 ispitivanja u kojoj se koriste tegovi mase od 5 kg koji se bacaju sa visine od 0,15 m (7,5 J). Kod drugačije aparature uzorak se poredi sa odabranom referentnom supstancom po ustanovljenoj proceduri (npr. gore-dole tehnika, itd).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ispitivanja smatraju se pozitivnim kada dođe do eksplozije (eksplozija sa vatrom i/ili stanje ekvivalentno eksploziji) najmanje kod jednog ispitivanja sa opisanim uređajem za ispitivanje osetljivosti na udar ili ako je uzorak osetljiviji od 1,3-dinitrobenzola ili RDX kod alternativnog ispitivanja osetljivosti na udar.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1.6.3. Mehanička osetljivost (trenje)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Aparatura (Slika 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za ispitivanje osetljivosti na trenje sastoji se od osnovne ploče od livenog čelika na koju se postavlja aparatura za ispitivanje osetljivosti na trenje. Aparatura se sastoji od fiksiranog porcelanskog klina i pokretne porcelanske ploče. Porcelanska ploča se nalazi na klizaču koji se pokreće pomoću dve vođice. Klizač je povezan sa elektromotorom pomoću spojnice, ekscentra i odgovarajućeg prenosnog mehanizma koji omogućava da se porcelanska ploča pokrene, samo jedanput: napred i nazad ispod porcelanskog klina u dužini od 10 mm. Porcelanski klin izdržava opterećenje od, na primer, 120 N do 360 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Ravne porcelanske ploče izrađuju se od belog tehničkog porcelana (hrapavost 9 μm do 32 μm) i imaju dimenzije: 25 mm (dužina) x 25 mm (širina) x 5 mm (visina). Cilindrični porcelanski klin takođe se izrađuje od belog tehničkog porcelana i ima dužinu 15 mm, prečnik 10 mm i neravne sferne krajeve sa poluprečnikom zakrivljenosti od 10 mm.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Zapremina uzorka je 10 mm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ili odgovara alternativnoj aparaturi koja se koristi. Čvrste supstance ispituju se u suvom stanju i pripremaju na sledeći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praškaste supstance seju se kroz sito (veličina sita 0,5 mm); sve što prođe kroz sito koristi se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presovane, izlivene ili na drugi način komprimovane supstance usitne se na sitnije komade koji se proseju. Prosejani komadi prečnika &lt; 0,5 mm koriste se pri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koje se isporučuju u obliku paste ispituju se u suvom stanju kad god je moguće. Ukoliko se supstanca ne može dovesti u suvo stanje, pasta (nakon uklanjanja što veće količine rastvarača) se ispituje u filmu debljine 0,5 mm, širine 2 mm i dužine 10 mm. Film se pravi pomoću šablona.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1.6.3.3.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Porcelanski klin dovede se u poziciju iznad uzorka i optereti se. Kada se sprovodi ispitivanje, markeri naneti sunđerom na porcelanskoj osnovi treba da stoje u transverzalnom položaju u odnosu na pravac kretanja.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Vodi se računa da klin bude na uzorku, da se dovoljna količina ispitivanog materijala nalazi ispod klina i da se podloga pravilno pokreće ispod klina. Kod supstanci u vidu paste koristi se šablon debljine 0,5 mm sa otvorom dimenzija 2 mm x 10 mm da bi se supstanca nanela na podlogu. Porcelanska podloga se kreće 10 mm napred-nazad ispod porcelanskog klina u vremenu od 0,44 sekunde. Svaki deo površine podloge i klina koristi se samo jednom. Dva kraja klina koriste se u dva ispitivanja, a dve površine podloge koriste se za ukupno tri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Serija od šest ispitivanja vrši se sa opterećenjem od 360 N. Ukoliko se tokom ispitivanja dobiju pozitivni rezultati sprovodi se još jedna serija od 6 ispitivanja sa opterećenjem od 120 N. Kada se koriste drugi tipovi aparatura, uzorak se poredi sa izabranom referentnom supstancom uz primenu utvrđene procedure (npr. gore-dole tehnika i sl).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1.6.3.4.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Rezultati ispitivanja smatraju se pozitivnim ukoliko dođe do eksplozije (praska i/ili praska uz razvoj plamena koji se smatra ekvivalentnim eksploziji) najmanje jedanput tokom bilo kog ispitivanja sa propisanom aparaturom za ispitivanje osetljivosti na trenje ili ukoliko zadovoljava ekvivalentne kriterijume koji se odnose na alternativno ispitivanje osetljivosti na trenje.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skladu sa ovim pravilnikom, supstanca ima potencijalnu opasnost od eksplozije ukoliko su dobijeni pozitivni rezultati u ispitivanju termičke osetljivosti, osetljivosti na udar ili trenje.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identitetu, sastavu, stepenu čistoće, sadržaju vlage itd.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fizičkom obliku uzorka i da li je uzorak mrvljen, lomljen i/ili prosejavan;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zapažanjima tokom ispitivanja termičke osetljivosti (npr. masa uzorka, broj fragmenata u koje se rasprsao uzorak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zapažanjima tokom ispitivanja osetljivosti na udar ili trenje (npr. formiranje određene veće količine dima ili potpuno razlaganje bez praska, plamena, varnice, pucketanja i sl.);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rezultatima svih tipova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ukoliko je korišćena alternativna aparatura, naučna opravdanja kao i dokaz o odnosu rezultata dobijenih primenom propisane aparature i onih dobijenih uz primenu ekvivalentne aparature;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svim komentarima koji mogu biti od koristi za pravilno tumačenje rezultata kao što je referisanje na ispitivanje sličnih proizvoda;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svim dodatnim primedbama relevantnim za pravilno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TUMAČENJE I PROCENA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o sprovedenim ispitivanjima navode se i rezultati koji se mogu smatrati lažnim, nepravilnim ili nereprezentativnim.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neki rezultati odbacuju, daje se odgovarajuće objašnjenje i rezultati alternativnih ili dodatnih testova. Ukoliko se neki nepravilni rezultat ne može objasniti, on se prihvata kao nominalna vrednost i supstanca se adekvatno svrstava na osnovu njega.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Recommendations on the Transport of Dangerous Goods: Tests and criteria, 1990, United Nations,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 Bretherick, L., Handbook of Reactive Chemical Hazards, 4th edition, Butterworths, London, ISBN 0-750 -60103-5, 1990.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Koenen, H., Ide, K.H. and Swart, K.H., Explosivstoffe, 1961, vol.3, 6-13 and 30-42.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NF T 20-038 (September 85) Chemical products for industrial use - Determination of explosion risk.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drugi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PRIMER SPECIFIKACIJE MATERIJALA ZA ISPITIVANJE TERMIČKE OSETLJIVOSTI</w:t>
      </w:r>
      <w:r w:rsidRPr="00984859">
        <w:rPr>
          <w:rFonts w:ascii="Arial" w:eastAsia="Times New Roman" w:hAnsi="Arial" w:cs="Arial"/>
          <w:b/>
          <w:bCs/>
          <w:sz w:val="15"/>
          <w:szCs w:val="15"/>
          <w:vertAlign w:val="superscript"/>
          <w:lang w:eastAsia="sr-Latn-RS"/>
        </w:rPr>
        <w:t>XXV</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Cev: Specifikacija materijala br. 1.0336.505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Prigušnica: Specifikacija materijala br. 1.4873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Navojnice: Specifikacija materijala br. 1.3817.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XXV</w:t>
      </w:r>
      <w:r w:rsidRPr="00984859">
        <w:rPr>
          <w:rFonts w:ascii="Arial" w:eastAsia="Times New Roman" w:hAnsi="Arial" w:cs="Arial"/>
          <w:lang w:eastAsia="sr-Latn-RS"/>
        </w:rPr>
        <w:t xml:space="preserve"> Videti standard DIN 1623.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31"/>
        <w:gridCol w:w="2916"/>
        <w:gridCol w:w="4465"/>
      </w:tblGrid>
      <w:tr w:rsidR="00984859" w:rsidRPr="00984859" w:rsidTr="00984859">
        <w:trPr>
          <w:tblCellSpacing w:w="0" w:type="dxa"/>
        </w:trPr>
        <w:tc>
          <w:tcPr>
            <w:tcW w:w="0" w:type="auto"/>
            <w:gridSpan w:val="3"/>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1. Aparatura za ispitivanje termičke osetljivosti (sve dimenzije date su u milimetrima) </w:t>
            </w:r>
          </w:p>
        </w:tc>
      </w:tr>
      <w:tr w:rsidR="00984859" w:rsidRPr="00984859" w:rsidTr="00984859">
        <w:trPr>
          <w:tblCellSpacing w:w="0" w:type="dxa"/>
        </w:trPr>
        <w:tc>
          <w:tcPr>
            <w:tcW w:w="0" w:type="auto"/>
            <w:gridSpan w:val="3"/>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22D79579" wp14:editId="438DFA7B">
                  <wp:extent cx="4724400" cy="3276600"/>
                  <wp:effectExtent l="0" t="0" r="0" b="0"/>
                  <wp:docPr id="31" name="Picture 31" descr="C:\Program Files (x86)\ParagrafLex\browser\Files\Old\t\t2013_12\t12_0570_s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ParagrafLex\browser\Files\Old\t\t2013_12\t12_0570_s03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4400" cy="3276600"/>
                          </a:xfrm>
                          <a:prstGeom prst="rect">
                            <a:avLst/>
                          </a:prstGeom>
                          <a:noFill/>
                          <a:ln>
                            <a:noFill/>
                          </a:ln>
                        </pic:spPr>
                      </pic:pic>
                    </a:graphicData>
                  </a:graphic>
                </wp:inline>
              </w:drawing>
            </w:r>
          </w:p>
        </w:tc>
      </w:tr>
      <w:tr w:rsidR="00984859" w:rsidRPr="00984859" w:rsidTr="00984859">
        <w:trPr>
          <w:tblCellSpacing w:w="0" w:type="dxa"/>
        </w:trPr>
        <w:tc>
          <w:tcPr>
            <w:tcW w:w="9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60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Cev</w:t>
            </w:r>
            <w:r w:rsidRPr="00984859">
              <w:rPr>
                <w:rFonts w:ascii="Arial" w:eastAsia="Times New Roman" w:hAnsi="Arial" w:cs="Arial"/>
                <w:lang w:eastAsia="sr-Latn-RS"/>
              </w:rPr>
              <w:br/>
              <w:t>2. Navojna obujmica</w:t>
            </w:r>
            <w:r w:rsidRPr="00984859">
              <w:rPr>
                <w:rFonts w:ascii="Arial" w:eastAsia="Times New Roman" w:hAnsi="Arial" w:cs="Arial"/>
                <w:lang w:eastAsia="sr-Latn-RS"/>
              </w:rPr>
              <w:br/>
              <w:t>3. Prigušnica a = 2,0 ili 6,0 mm</w:t>
            </w:r>
            <w:r w:rsidRPr="00984859">
              <w:rPr>
                <w:rFonts w:ascii="Arial" w:eastAsia="Times New Roman" w:hAnsi="Arial" w:cs="Arial"/>
                <w:lang w:eastAsia="sr-Latn-RS"/>
              </w:rPr>
              <w:br/>
              <w:t>4. Matica b = 10 mm</w:t>
            </w:r>
            <w:r w:rsidRPr="00984859">
              <w:rPr>
                <w:rFonts w:ascii="Arial" w:eastAsia="Times New Roman" w:hAnsi="Arial" w:cs="Arial"/>
                <w:lang w:eastAsia="sr-Latn-RS"/>
              </w:rPr>
              <w:br/>
              <w:t>5. Površina sa žlebovima</w:t>
            </w:r>
            <w:r w:rsidRPr="00984859">
              <w:rPr>
                <w:rFonts w:ascii="Arial" w:eastAsia="Times New Roman" w:hAnsi="Arial" w:cs="Arial"/>
                <w:lang w:eastAsia="sr-Latn-RS"/>
              </w:rPr>
              <w:br/>
              <w:t xml:space="preserve">6. Dve ravne površine za ključ 41 </w:t>
            </w:r>
          </w:p>
        </w:tc>
        <w:tc>
          <w:tcPr>
            <w:tcW w:w="24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7. Dve ravne površine za ključ 36</w:t>
            </w:r>
            <w:r w:rsidRPr="00984859">
              <w:rPr>
                <w:rFonts w:ascii="Arial" w:eastAsia="Times New Roman" w:hAnsi="Arial" w:cs="Arial"/>
                <w:lang w:eastAsia="sr-Latn-RS"/>
              </w:rPr>
              <w:br/>
              <w:t>8. Kućište otporno na rasprskavanje</w:t>
            </w:r>
            <w:r w:rsidRPr="00984859">
              <w:rPr>
                <w:rFonts w:ascii="Arial" w:eastAsia="Times New Roman" w:hAnsi="Arial" w:cs="Arial"/>
                <w:lang w:eastAsia="sr-Latn-RS"/>
              </w:rPr>
              <w:br/>
              <w:t>9. Dve potporne šipke za cev sa uzorkom</w:t>
            </w:r>
            <w:r w:rsidRPr="00984859">
              <w:rPr>
                <w:rFonts w:ascii="Arial" w:eastAsia="Times New Roman" w:hAnsi="Arial" w:cs="Arial"/>
                <w:lang w:eastAsia="sr-Latn-RS"/>
              </w:rPr>
              <w:br/>
              <w:t>10. Montirana cev sa uzorkom</w:t>
            </w:r>
            <w:r w:rsidRPr="00984859">
              <w:rPr>
                <w:rFonts w:ascii="Arial" w:eastAsia="Times New Roman" w:hAnsi="Arial" w:cs="Arial"/>
                <w:lang w:eastAsia="sr-Latn-RS"/>
              </w:rPr>
              <w:br/>
              <w:t>11. Položaj zadnjeg plamenika (ostali plamenici se ne vide)</w:t>
            </w:r>
            <w:r w:rsidRPr="00984859">
              <w:rPr>
                <w:rFonts w:ascii="Arial" w:eastAsia="Times New Roman" w:hAnsi="Arial" w:cs="Arial"/>
                <w:lang w:eastAsia="sr-Latn-RS"/>
              </w:rPr>
              <w:br/>
              <w:t xml:space="preserve">12. Mlaznica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290"/>
        <w:gridCol w:w="4822"/>
      </w:tblGrid>
      <w:tr w:rsidR="00984859" w:rsidRPr="00984859" w:rsidTr="00984859">
        <w:trPr>
          <w:tblCellSpacing w:w="0" w:type="dxa"/>
        </w:trPr>
        <w:tc>
          <w:tcPr>
            <w:tcW w:w="10995" w:type="dxa"/>
            <w:gridSpan w:val="2"/>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2. Ispitivanje termičke osetljivosti (primer fragmentacije) </w:t>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38CF0B03" wp14:editId="79E6531E">
                  <wp:extent cx="1400175" cy="1381125"/>
                  <wp:effectExtent l="0" t="0" r="9525" b="9525"/>
                  <wp:docPr id="30" name="Picture 30" descr="C:\Program Files (x86)\ParagrafLex\browser\Files\Old\t\t2013_12\t12_0570_s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ParagrafLex\browser\Files\Old\t\t2013_12\t12_0570_s03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a:ln>
                            <a:noFill/>
                          </a:ln>
                        </pic:spPr>
                      </pic:pic>
                    </a:graphicData>
                  </a:graphic>
                </wp:inline>
              </w:drawing>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140FAEB8" wp14:editId="38AE963F">
                  <wp:extent cx="1695450" cy="1409700"/>
                  <wp:effectExtent l="0" t="0" r="0" b="0"/>
                  <wp:docPr id="29" name="Picture 29" descr="C:\Program Files (x86)\ParagrafLex\browser\Files\Old\t\t2013_12\t12_0570_s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ParagrafLex\browser\Files\Old\t\t2013_12\t12_0570_s03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1409700"/>
                          </a:xfrm>
                          <a:prstGeom prst="rect">
                            <a:avLst/>
                          </a:prstGeom>
                          <a:noFill/>
                          <a:ln>
                            <a:noFill/>
                          </a:ln>
                        </pic:spPr>
                      </pic:pic>
                    </a:graphicData>
                  </a:graphic>
                </wp:inline>
              </w:drawing>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Nema eksplozije </w:t>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Nema eksplozije </w:t>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1CC6BAB7" wp14:editId="0EF5D16E">
                  <wp:extent cx="1295400" cy="1552575"/>
                  <wp:effectExtent l="0" t="0" r="0" b="9525"/>
                  <wp:docPr id="28" name="Picture 28" descr="C:\Program Files (x86)\ParagrafLex\browser\Files\Old\t\t2013_12\t12_0570_s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ParagrafLex\browser\Files\Old\t\t2013_12\t12_0570_s03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1552575"/>
                          </a:xfrm>
                          <a:prstGeom prst="rect">
                            <a:avLst/>
                          </a:prstGeom>
                          <a:noFill/>
                          <a:ln>
                            <a:noFill/>
                          </a:ln>
                        </pic:spPr>
                      </pic:pic>
                    </a:graphicData>
                  </a:graphic>
                </wp:inline>
              </w:drawing>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07701F5D" wp14:editId="736FE150">
                  <wp:extent cx="1428750" cy="1495425"/>
                  <wp:effectExtent l="0" t="0" r="0" b="9525"/>
                  <wp:docPr id="27" name="Picture 27" descr="C:\Program Files (x86)\ParagrafLex\browser\Files\Old\t\t2013_12\t12_0570_s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 (x86)\ParagrafLex\browser\Files\Old\t\t2013_12\t12_0570_s03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495425"/>
                          </a:xfrm>
                          <a:prstGeom prst="rect">
                            <a:avLst/>
                          </a:prstGeom>
                          <a:noFill/>
                          <a:ln>
                            <a:noFill/>
                          </a:ln>
                        </pic:spPr>
                      </pic:pic>
                    </a:graphicData>
                  </a:graphic>
                </wp:inline>
              </w:drawing>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Eksplozija </w:t>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Eksplozija </w:t>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2623B28D" wp14:editId="428581B2">
                  <wp:extent cx="1838325" cy="1847850"/>
                  <wp:effectExtent l="0" t="0" r="9525" b="0"/>
                  <wp:docPr id="26" name="Picture 26" descr="C:\Program Files (x86)\ParagrafLex\browser\Files\Old\t\t2013_12\t12_0570_s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 (x86)\ParagrafLex\browser\Files\Old\t\t2013_12\t12_0570_s03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325" cy="1847850"/>
                          </a:xfrm>
                          <a:prstGeom prst="rect">
                            <a:avLst/>
                          </a:prstGeom>
                          <a:noFill/>
                          <a:ln>
                            <a:noFill/>
                          </a:ln>
                        </pic:spPr>
                      </pic:pic>
                    </a:graphicData>
                  </a:graphic>
                </wp:inline>
              </w:drawing>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16CD6587" wp14:editId="60BCBA0B">
                  <wp:extent cx="2552700" cy="1247775"/>
                  <wp:effectExtent l="0" t="0" r="0" b="9525"/>
                  <wp:docPr id="25" name="Picture 25" descr="C:\Program Files (x86)\ParagrafLex\browser\Files\Old\t\t2013_12\t12_0570_s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 (x86)\ParagrafLex\browser\Files\Old\t\t2013_12\t12_0570_s03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1247775"/>
                          </a:xfrm>
                          <a:prstGeom prst="rect">
                            <a:avLst/>
                          </a:prstGeom>
                          <a:noFill/>
                          <a:ln>
                            <a:noFill/>
                          </a:ln>
                        </pic:spPr>
                      </pic:pic>
                    </a:graphicData>
                  </a:graphic>
                </wp:inline>
              </w:drawing>
            </w:r>
          </w:p>
        </w:tc>
      </w:tr>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Eksplozija </w:t>
            </w:r>
          </w:p>
        </w:tc>
        <w:tc>
          <w:tcPr>
            <w:tcW w:w="54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Eksplozija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3. Kalibracija brzine zagrevanja za ispitivanje termičke osetljivosti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433A1535" wp14:editId="264C6A99">
            <wp:extent cx="4686300" cy="2857500"/>
            <wp:effectExtent l="0" t="0" r="0" b="0"/>
            <wp:docPr id="24" name="Picture 24" descr="C:\Program Files (x86)\ParagrafLex\browser\Files\Old\t\t2013_12\t12_0570_s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 (x86)\ParagrafLex\browser\Files\Old\t\t2013_12\t12_0570_s03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6300" cy="28575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Kriva temperatura/vreme dobijena zagrevanjem dibutil ftalata (27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u zatvorenoj cevi (1,5 mm prigušnica) uz protok propana od 3,2 litra/minut. Temperatura se meri uz pomoć termopara hromel (legura hrom-nikal 9:1)/alumel (legura Ni : Al : Mn : Si 95 : 2 : 2 : 1) obloženog nerđajućim čelikom, koji se postavlja 43 mm ispod ivice cevi. Brzina zagrevanja između 135° C i 285° C treba da bude između 185 K/minut i 215 K/minut.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4. Aparatura za ispitivanje osetljivosti na udar (sve dimenzije su u milimetrima)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374"/>
        <w:gridCol w:w="4738"/>
      </w:tblGrid>
      <w:tr w:rsidR="00984859" w:rsidRPr="00984859" w:rsidTr="00984859">
        <w:trPr>
          <w:tblCellSpacing w:w="0" w:type="dxa"/>
        </w:trPr>
        <w:tc>
          <w:tcPr>
            <w:tcW w:w="2400" w:type="pct"/>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4a. Padajući malj, prednja i bočna strana </w:t>
            </w:r>
          </w:p>
        </w:tc>
        <w:tc>
          <w:tcPr>
            <w:tcW w:w="2600" w:type="pct"/>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4b. Padajući malj donji deo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5CA228FA" wp14:editId="540ADDE7">
                  <wp:extent cx="2085975" cy="3009900"/>
                  <wp:effectExtent l="0" t="0" r="9525" b="0"/>
                  <wp:docPr id="23" name="Picture 23" descr="C:\Program Files (x86)\ParagrafLex\browser\Files\Old\t\t2013_12\t12_0570_s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 (x86)\ParagrafLex\browser\Files\Old\t\t2013_12\t12_0570_s039.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5975" cy="3009900"/>
                          </a:xfrm>
                          <a:prstGeom prst="rect">
                            <a:avLst/>
                          </a:prstGeom>
                          <a:noFill/>
                          <a:ln>
                            <a:noFill/>
                          </a:ln>
                        </pic:spPr>
                      </pic:pic>
                    </a:graphicData>
                  </a:graphic>
                </wp:inline>
              </w:drawing>
            </w:r>
          </w:p>
        </w:tc>
        <w:tc>
          <w:tcPr>
            <w:tcW w:w="0" w:type="auto"/>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3FEFD404" wp14:editId="6EA562E9">
                  <wp:extent cx="2457450" cy="2495550"/>
                  <wp:effectExtent l="0" t="0" r="0" b="0"/>
                  <wp:docPr id="22" name="Picture 22" descr="C:\Program Files (x86)\ParagrafLex\browser\Files\Old\t\t2013_12\t12_0570_s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 (x86)\ParagrafLex\browser\Files\Old\t\t2013_12\t12_0570_s040.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0" cy="2495550"/>
                          </a:xfrm>
                          <a:prstGeom prst="rect">
                            <a:avLst/>
                          </a:prstGeom>
                          <a:noFill/>
                          <a:ln>
                            <a:noFill/>
                          </a:ln>
                        </pic:spPr>
                      </pic:pic>
                    </a:graphicData>
                  </a:graphic>
                </wp:inline>
              </w:drawing>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 čemu je:</w:t>
            </w:r>
            <w:r w:rsidRPr="00984859">
              <w:rPr>
                <w:rFonts w:ascii="Arial" w:eastAsia="Times New Roman" w:hAnsi="Arial" w:cs="Arial"/>
                <w:lang w:eastAsia="sr-Latn-RS"/>
              </w:rPr>
              <w:br/>
              <w:t>1. Postolje 450 x 450 x 60</w:t>
            </w:r>
            <w:r w:rsidRPr="00984859">
              <w:rPr>
                <w:rFonts w:ascii="Arial" w:eastAsia="Times New Roman" w:hAnsi="Arial" w:cs="Arial"/>
                <w:lang w:eastAsia="sr-Latn-RS"/>
              </w:rPr>
              <w:br/>
              <w:t>2. Čelični blok 230 x 230 x 200</w:t>
            </w:r>
            <w:r w:rsidRPr="00984859">
              <w:rPr>
                <w:rFonts w:ascii="Arial" w:eastAsia="Times New Roman" w:hAnsi="Arial" w:cs="Arial"/>
                <w:lang w:eastAsia="sr-Latn-RS"/>
              </w:rPr>
              <w:br/>
              <w:t xml:space="preserve">3. Nakovanj </w:t>
            </w:r>
            <w:r w:rsidRPr="00984859">
              <w:rPr>
                <w:rFonts w:ascii="Symbol" w:eastAsia="Times New Roman" w:hAnsi="Symbol" w:cs="Arial"/>
                <w:sz w:val="20"/>
                <w:szCs w:val="20"/>
                <w:lang w:eastAsia="sr-Latn-RS"/>
              </w:rPr>
              <w:t></w:t>
            </w:r>
            <w:r w:rsidRPr="00984859">
              <w:rPr>
                <w:rFonts w:ascii="Arial" w:eastAsia="Times New Roman" w:hAnsi="Arial" w:cs="Arial"/>
                <w:lang w:eastAsia="sr-Latn-RS"/>
              </w:rPr>
              <w:t xml:space="preserve"> 100 x 70</w:t>
            </w:r>
            <w:r w:rsidRPr="00984859">
              <w:rPr>
                <w:rFonts w:ascii="Arial" w:eastAsia="Times New Roman" w:hAnsi="Arial" w:cs="Arial"/>
                <w:lang w:eastAsia="sr-Latn-RS"/>
              </w:rPr>
              <w:br/>
              <w:t>4. Kolona</w:t>
            </w:r>
            <w:r w:rsidRPr="00984859">
              <w:rPr>
                <w:rFonts w:ascii="Arial" w:eastAsia="Times New Roman" w:hAnsi="Arial" w:cs="Arial"/>
                <w:lang w:eastAsia="sr-Latn-RS"/>
              </w:rPr>
              <w:br/>
              <w:t>5. Srednji poprečni nosač</w:t>
            </w:r>
            <w:r w:rsidRPr="00984859">
              <w:rPr>
                <w:rFonts w:ascii="Arial" w:eastAsia="Times New Roman" w:hAnsi="Arial" w:cs="Arial"/>
                <w:lang w:eastAsia="sr-Latn-RS"/>
              </w:rPr>
              <w:br/>
              <w:t>6. Vođice</w:t>
            </w:r>
            <w:r w:rsidRPr="00984859">
              <w:rPr>
                <w:rFonts w:ascii="Arial" w:eastAsia="Times New Roman" w:hAnsi="Arial" w:cs="Arial"/>
                <w:lang w:eastAsia="sr-Latn-RS"/>
              </w:rPr>
              <w:br/>
              <w:t xml:space="preserve">7. Nazubljeni nosač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8. Graduisana vaga</w:t>
            </w:r>
            <w:r w:rsidRPr="00984859">
              <w:rPr>
                <w:rFonts w:ascii="Arial" w:eastAsia="Times New Roman" w:hAnsi="Arial" w:cs="Arial"/>
                <w:lang w:eastAsia="sr-Latn-RS"/>
              </w:rPr>
              <w:br/>
              <w:t>9. Padajući malj</w:t>
            </w:r>
            <w:r w:rsidRPr="00984859">
              <w:rPr>
                <w:rFonts w:ascii="Arial" w:eastAsia="Times New Roman" w:hAnsi="Arial" w:cs="Arial"/>
                <w:lang w:eastAsia="sr-Latn-RS"/>
              </w:rPr>
              <w:br/>
              <w:t>10. Element za držanje i otpuštanje</w:t>
            </w:r>
            <w:r w:rsidRPr="00984859">
              <w:rPr>
                <w:rFonts w:ascii="Arial" w:eastAsia="Times New Roman" w:hAnsi="Arial" w:cs="Arial"/>
                <w:lang w:eastAsia="sr-Latn-RS"/>
              </w:rPr>
              <w:br/>
              <w:t>11. Ploča za postavljanje u položaj</w:t>
            </w:r>
            <w:r w:rsidRPr="00984859">
              <w:rPr>
                <w:rFonts w:ascii="Arial" w:eastAsia="Times New Roman" w:hAnsi="Arial" w:cs="Arial"/>
                <w:lang w:eastAsia="sr-Latn-RS"/>
              </w:rPr>
              <w:br/>
              <w:t xml:space="preserve">12. Međunakovanj (zamenjivi) </w:t>
            </w:r>
            <w:r w:rsidRPr="00984859">
              <w:rPr>
                <w:rFonts w:ascii="Symbol" w:eastAsia="Times New Roman" w:hAnsi="Symbol" w:cs="Arial"/>
                <w:sz w:val="20"/>
                <w:szCs w:val="20"/>
                <w:lang w:eastAsia="sr-Latn-RS"/>
              </w:rPr>
              <w:t></w:t>
            </w:r>
            <w:r w:rsidRPr="00984859">
              <w:rPr>
                <w:rFonts w:ascii="Arial" w:eastAsia="Times New Roman" w:hAnsi="Arial" w:cs="Arial"/>
                <w:lang w:eastAsia="sr-Latn-RS"/>
              </w:rPr>
              <w:t xml:space="preserve"> 26 x 26</w:t>
            </w:r>
            <w:r w:rsidRPr="00984859">
              <w:rPr>
                <w:rFonts w:ascii="Arial" w:eastAsia="Times New Roman" w:hAnsi="Arial" w:cs="Arial"/>
                <w:lang w:eastAsia="sr-Latn-RS"/>
              </w:rPr>
              <w:br/>
              <w:t>13. Prsten sa otvorima</w:t>
            </w:r>
            <w:r w:rsidRPr="00984859">
              <w:rPr>
                <w:rFonts w:ascii="Arial" w:eastAsia="Times New Roman" w:hAnsi="Arial" w:cs="Arial"/>
                <w:lang w:eastAsia="sr-Latn-RS"/>
              </w:rPr>
              <w:br/>
              <w:t xml:space="preserve">14. Uređaj za udar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021"/>
        <w:gridCol w:w="4091"/>
      </w:tblGrid>
      <w:tr w:rsidR="00984859" w:rsidRPr="00984859" w:rsidTr="00984859">
        <w:trPr>
          <w:tblCellSpacing w:w="0" w:type="dxa"/>
        </w:trPr>
        <w:tc>
          <w:tcPr>
            <w:tcW w:w="732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4c. Uređaj za ispitivanje osetljivosti </w:t>
            </w:r>
            <w:r w:rsidRPr="00984859">
              <w:rPr>
                <w:rFonts w:ascii="Arial" w:eastAsia="Times New Roman" w:hAnsi="Arial" w:cs="Arial"/>
                <w:lang w:eastAsia="sr-Latn-RS"/>
              </w:rPr>
              <w:br/>
              <w:t xml:space="preserve">na udar za čvrste supstance i paste </w:t>
            </w:r>
          </w:p>
        </w:tc>
        <w:tc>
          <w:tcPr>
            <w:tcW w:w="78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4d. Uređaj za ispitivanje osetljivosti </w:t>
            </w:r>
            <w:r w:rsidRPr="00984859">
              <w:rPr>
                <w:rFonts w:ascii="Arial" w:eastAsia="Times New Roman" w:hAnsi="Arial" w:cs="Arial"/>
                <w:lang w:eastAsia="sr-Latn-RS"/>
              </w:rPr>
              <w:br/>
              <w:t xml:space="preserve">na udar tečnih supstanci </w:t>
            </w:r>
          </w:p>
        </w:tc>
      </w:tr>
      <w:tr w:rsidR="00984859" w:rsidRPr="00984859" w:rsidTr="00984859">
        <w:trPr>
          <w:tblCellSpacing w:w="0" w:type="dxa"/>
        </w:trPr>
        <w:tc>
          <w:tcPr>
            <w:tcW w:w="732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59D06D18" wp14:editId="2BF61380">
                  <wp:extent cx="2600325" cy="2057400"/>
                  <wp:effectExtent l="0" t="0" r="9525" b="0"/>
                  <wp:docPr id="21" name="Picture 21" descr="C:\Program Files (x86)\ParagrafLex\browser\Files\Old\t\t2013_12\t12_0570_s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 (x86)\ParagrafLex\browser\Files\Old\t\t2013_12\t12_0570_s04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0325" cy="2057400"/>
                          </a:xfrm>
                          <a:prstGeom prst="rect">
                            <a:avLst/>
                          </a:prstGeom>
                          <a:noFill/>
                          <a:ln>
                            <a:noFill/>
                          </a:ln>
                        </pic:spPr>
                      </pic:pic>
                    </a:graphicData>
                  </a:graphic>
                </wp:inline>
              </w:drawing>
            </w:r>
          </w:p>
        </w:tc>
        <w:tc>
          <w:tcPr>
            <w:tcW w:w="78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1A56F0EA" wp14:editId="14650B90">
                  <wp:extent cx="2019300" cy="1847850"/>
                  <wp:effectExtent l="0" t="0" r="0" b="0"/>
                  <wp:docPr id="20" name="Picture 20" descr="C:\Program Files (x86)\ParagrafLex\browser\Files\Old\t\t2013_12\t12_0570_s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 (x86)\ParagrafLex\browser\Files\Old\t\t2013_12\t12_0570_s04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0" cy="1847850"/>
                          </a:xfrm>
                          <a:prstGeom prst="rect">
                            <a:avLst/>
                          </a:prstGeom>
                          <a:noFill/>
                          <a:ln>
                            <a:noFill/>
                          </a:ln>
                        </pic:spPr>
                      </pic:pic>
                    </a:graphicData>
                  </a:graphic>
                </wp:inline>
              </w:drawing>
            </w:r>
          </w:p>
        </w:tc>
      </w:tr>
      <w:tr w:rsidR="00984859" w:rsidRPr="00984859" w:rsidTr="00984859">
        <w:trPr>
          <w:tblCellSpacing w:w="0" w:type="dxa"/>
        </w:trPr>
        <w:tc>
          <w:tcPr>
            <w:tcW w:w="732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Pri čemu je:</w:t>
            </w:r>
            <w:r w:rsidRPr="00984859">
              <w:rPr>
                <w:rFonts w:ascii="Arial" w:eastAsia="Times New Roman" w:hAnsi="Arial" w:cs="Arial"/>
                <w:lang w:eastAsia="sr-Latn-RS"/>
              </w:rPr>
              <w:br/>
              <w:t>1. Čelični cilindri</w:t>
            </w:r>
            <w:r w:rsidRPr="00984859">
              <w:rPr>
                <w:rFonts w:ascii="Arial" w:eastAsia="Times New Roman" w:hAnsi="Arial" w:cs="Arial"/>
                <w:lang w:eastAsia="sr-Latn-RS"/>
              </w:rPr>
              <w:br/>
              <w:t>2. Prstenasta vođica za čelične cilindre</w:t>
            </w:r>
            <w:r w:rsidRPr="00984859">
              <w:rPr>
                <w:rFonts w:ascii="Arial" w:eastAsia="Times New Roman" w:hAnsi="Arial" w:cs="Arial"/>
                <w:lang w:eastAsia="sr-Latn-RS"/>
              </w:rPr>
              <w:br/>
              <w:t>3. Prsten sa otvorima za postavljanje u položaj</w:t>
            </w:r>
            <w:r w:rsidRPr="00984859">
              <w:rPr>
                <w:rFonts w:ascii="Arial" w:eastAsia="Times New Roman" w:hAnsi="Arial" w:cs="Arial"/>
                <w:lang w:eastAsia="sr-Latn-RS"/>
              </w:rPr>
              <w:br/>
              <w:t>4. Gumeni prsten</w:t>
            </w:r>
            <w:r w:rsidRPr="00984859">
              <w:rPr>
                <w:rFonts w:ascii="Arial" w:eastAsia="Times New Roman" w:hAnsi="Arial" w:cs="Arial"/>
                <w:lang w:eastAsia="sr-Latn-RS"/>
              </w:rPr>
              <w:br/>
              <w:t>5. Tečna supstanca 40 mm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br/>
              <w:t xml:space="preserve">6. Prostor bez tečnosti </w:t>
            </w:r>
          </w:p>
        </w:tc>
        <w:tc>
          <w:tcPr>
            <w:tcW w:w="78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037962E4" wp14:editId="62D3748E">
                  <wp:extent cx="1666875" cy="1362075"/>
                  <wp:effectExtent l="0" t="0" r="9525" b="9525"/>
                  <wp:docPr id="19" name="Picture 19" descr="C:\Program Files (x86)\ParagrafLex\browser\Files\Old\t\t2013_12\t12_0570_s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 Files (x86)\ParagrafLex\browser\Files\Old\t\t2013_12\t12_0570_s04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6875" cy="1362075"/>
                          </a:xfrm>
                          <a:prstGeom prst="rect">
                            <a:avLst/>
                          </a:prstGeom>
                          <a:noFill/>
                          <a:ln>
                            <a:noFill/>
                          </a:ln>
                        </pic:spPr>
                      </pic:pic>
                    </a:graphicData>
                  </a:graphic>
                </wp:inline>
              </w:drawing>
            </w:r>
          </w:p>
        </w:tc>
      </w:tr>
      <w:tr w:rsidR="00984859" w:rsidRPr="00984859" w:rsidTr="00984859">
        <w:trPr>
          <w:tblCellSpacing w:w="0" w:type="dxa"/>
        </w:trPr>
        <w:tc>
          <w:tcPr>
            <w:tcW w:w="732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r>
              <w:rPr>
                <w:rFonts w:ascii="Times New Roman" w:eastAsia="Times New Roman" w:hAnsi="Times New Roman" w:cs="Times New Roman"/>
                <w:noProof/>
                <w:sz w:val="24"/>
                <w:szCs w:val="24"/>
                <w:lang w:val="en-US"/>
              </w:rPr>
              <w:drawing>
                <wp:inline distT="0" distB="0" distL="0" distR="0" wp14:anchorId="652B6079" wp14:editId="4C20E995">
                  <wp:extent cx="2181225" cy="3067050"/>
                  <wp:effectExtent l="0" t="0" r="9525" b="0"/>
                  <wp:docPr id="18" name="Picture 18" descr="C:\Program Files (x86)\ParagrafLex\browser\Files\Old\t\t2013_12\t12_0570_s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 (x86)\ParagrafLex\browser\Files\Old\t\t2013_12\t12_0570_s08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1225" cy="3067050"/>
                          </a:xfrm>
                          <a:prstGeom prst="rect">
                            <a:avLst/>
                          </a:prstGeom>
                          <a:noFill/>
                          <a:ln>
                            <a:noFill/>
                          </a:ln>
                        </pic:spPr>
                      </pic:pic>
                    </a:graphicData>
                  </a:graphic>
                </wp:inline>
              </w:drawing>
            </w:r>
          </w:p>
        </w:tc>
        <w:tc>
          <w:tcPr>
            <w:tcW w:w="789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Slika 4e. Malj (masa koja pada 5 kg)</w:t>
            </w:r>
            <w:r w:rsidRPr="00984859">
              <w:rPr>
                <w:rFonts w:ascii="Arial" w:eastAsia="Times New Roman" w:hAnsi="Arial" w:cs="Arial"/>
                <w:lang w:eastAsia="sr-Latn-RS"/>
              </w:rPr>
              <w:br/>
              <w:t>Pri čemu je:</w:t>
            </w:r>
            <w:r w:rsidRPr="00984859">
              <w:rPr>
                <w:rFonts w:ascii="Arial" w:eastAsia="Times New Roman" w:hAnsi="Arial" w:cs="Arial"/>
                <w:lang w:eastAsia="sr-Latn-RS"/>
              </w:rPr>
              <w:br/>
              <w:t>1. Prsten za kačenje</w:t>
            </w:r>
            <w:r w:rsidRPr="00984859">
              <w:rPr>
                <w:rFonts w:ascii="Arial" w:eastAsia="Times New Roman" w:hAnsi="Arial" w:cs="Arial"/>
                <w:lang w:eastAsia="sr-Latn-RS"/>
              </w:rPr>
              <w:br/>
              <w:t>2. Pokazivač visine</w:t>
            </w:r>
            <w:r w:rsidRPr="00984859">
              <w:rPr>
                <w:rFonts w:ascii="Arial" w:eastAsia="Times New Roman" w:hAnsi="Arial" w:cs="Arial"/>
                <w:lang w:eastAsia="sr-Latn-RS"/>
              </w:rPr>
              <w:br/>
              <w:t>3. Žleb za pozicioniranje</w:t>
            </w:r>
            <w:r w:rsidRPr="00984859">
              <w:rPr>
                <w:rFonts w:ascii="Arial" w:eastAsia="Times New Roman" w:hAnsi="Arial" w:cs="Arial"/>
                <w:lang w:eastAsia="sr-Latn-RS"/>
              </w:rPr>
              <w:br/>
              <w:t>4. Cilindrična udarna glava</w:t>
            </w:r>
            <w:r w:rsidRPr="00984859">
              <w:rPr>
                <w:rFonts w:ascii="Arial" w:eastAsia="Times New Roman" w:hAnsi="Arial" w:cs="Arial"/>
                <w:lang w:eastAsia="sr-Latn-RS"/>
              </w:rPr>
              <w:br/>
              <w:t xml:space="preserve">5. Odbojnik </w:t>
            </w:r>
          </w:p>
        </w:tc>
      </w:tr>
      <w:tr w:rsidR="00984859" w:rsidRPr="00984859" w:rsidTr="00984859">
        <w:trPr>
          <w:tblCellSpacing w:w="0" w:type="dxa"/>
        </w:trPr>
        <w:tc>
          <w:tcPr>
            <w:tcW w:w="0" w:type="auto"/>
            <w:gridSpan w:val="2"/>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gridSpan w:val="2"/>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5. Uređaj za ispitivanje osetljivosti na trenje </w:t>
            </w:r>
          </w:p>
        </w:tc>
      </w:tr>
      <w:tr w:rsidR="00984859" w:rsidRPr="00984859" w:rsidTr="00984859">
        <w:trPr>
          <w:tblCellSpacing w:w="0" w:type="dxa"/>
        </w:trPr>
        <w:tc>
          <w:tcPr>
            <w:tcW w:w="0" w:type="auto"/>
            <w:gridSpan w:val="2"/>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25ADDAFD" wp14:editId="19B6D7EE">
                  <wp:extent cx="5172075" cy="3171825"/>
                  <wp:effectExtent l="0" t="0" r="9525" b="9525"/>
                  <wp:docPr id="17" name="Picture 17" descr="C:\Program Files (x86)\ParagrafLex\browser\Files\Old\t\t2013_12\t12_0570_s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 (x86)\ParagrafLex\browser\Files\Old\t\t2013_12\t12_0570_s044.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2075" cy="3171825"/>
                          </a:xfrm>
                          <a:prstGeom prst="rect">
                            <a:avLst/>
                          </a:prstGeom>
                          <a:noFill/>
                          <a:ln>
                            <a:noFill/>
                          </a:ln>
                        </pic:spPr>
                      </pic:pic>
                    </a:graphicData>
                  </a:graphic>
                </wp:inline>
              </w:drawing>
            </w:r>
          </w:p>
        </w:tc>
      </w:tr>
      <w:tr w:rsidR="00984859" w:rsidRPr="00984859" w:rsidTr="00984859">
        <w:trPr>
          <w:tblCellSpacing w:w="0" w:type="dxa"/>
        </w:trPr>
        <w:tc>
          <w:tcPr>
            <w:tcW w:w="732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 čemu je:</w:t>
            </w:r>
            <w:r w:rsidRPr="00984859">
              <w:rPr>
                <w:rFonts w:ascii="Arial" w:eastAsia="Times New Roman" w:hAnsi="Arial" w:cs="Arial"/>
                <w:lang w:eastAsia="sr-Latn-RS"/>
              </w:rPr>
              <w:br/>
              <w:t>1. Čelično postolje</w:t>
            </w:r>
            <w:r w:rsidRPr="00984859">
              <w:rPr>
                <w:rFonts w:ascii="Arial" w:eastAsia="Times New Roman" w:hAnsi="Arial" w:cs="Arial"/>
                <w:lang w:eastAsia="sr-Latn-RS"/>
              </w:rPr>
              <w:br/>
              <w:t>2. Pokretna vođica</w:t>
            </w:r>
            <w:r w:rsidRPr="00984859">
              <w:rPr>
                <w:rFonts w:ascii="Arial" w:eastAsia="Times New Roman" w:hAnsi="Arial" w:cs="Arial"/>
                <w:lang w:eastAsia="sr-Latn-RS"/>
              </w:rPr>
              <w:br/>
              <w:t>3. Porcelanska ploča (koju drži vođica) 25 mm x 25 mm x 5 mm</w:t>
            </w:r>
            <w:r w:rsidRPr="00984859">
              <w:rPr>
                <w:rFonts w:ascii="Arial" w:eastAsia="Times New Roman" w:hAnsi="Arial" w:cs="Arial"/>
                <w:lang w:eastAsia="sr-Latn-RS"/>
              </w:rPr>
              <w:br/>
              <w:t xml:space="preserve">4. Fiksni porcelanski klin </w:t>
            </w:r>
            <w:r w:rsidRPr="00984859">
              <w:rPr>
                <w:rFonts w:ascii="Symbol" w:eastAsia="Times New Roman" w:hAnsi="Symbol" w:cs="Arial"/>
                <w:sz w:val="20"/>
                <w:szCs w:val="20"/>
                <w:lang w:eastAsia="sr-Latn-RS"/>
              </w:rPr>
              <w:t></w:t>
            </w:r>
            <w:r w:rsidRPr="00984859">
              <w:rPr>
                <w:rFonts w:ascii="Arial" w:eastAsia="Times New Roman" w:hAnsi="Arial" w:cs="Arial"/>
                <w:lang w:eastAsia="sr-Latn-RS"/>
              </w:rPr>
              <w:t xml:space="preserve"> 10 mm x 15 mm</w:t>
            </w:r>
            <w:r w:rsidRPr="00984859">
              <w:rPr>
                <w:rFonts w:ascii="Arial" w:eastAsia="Times New Roman" w:hAnsi="Arial" w:cs="Arial"/>
                <w:lang w:eastAsia="sr-Latn-RS"/>
              </w:rPr>
              <w:br/>
            </w:r>
            <w:r w:rsidRPr="00984859">
              <w:rPr>
                <w:rFonts w:ascii="Arial" w:eastAsia="Times New Roman" w:hAnsi="Arial" w:cs="Arial"/>
                <w:lang w:eastAsia="sr-Latn-RS"/>
              </w:rPr>
              <w:lastRenderedPageBreak/>
              <w:t>5. Uzorak koji se ispituje 10 mm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br/>
              <w:t xml:space="preserve">6. Držač klina </w:t>
            </w:r>
          </w:p>
        </w:tc>
        <w:tc>
          <w:tcPr>
            <w:tcW w:w="78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7. Ručka za punjenje</w:t>
            </w:r>
            <w:r w:rsidRPr="00984859">
              <w:rPr>
                <w:rFonts w:ascii="Arial" w:eastAsia="Times New Roman" w:hAnsi="Arial" w:cs="Arial"/>
                <w:lang w:eastAsia="sr-Latn-RS"/>
              </w:rPr>
              <w:br/>
              <w:t>8. Protivteg</w:t>
            </w:r>
            <w:r w:rsidRPr="00984859">
              <w:rPr>
                <w:rFonts w:ascii="Arial" w:eastAsia="Times New Roman" w:hAnsi="Arial" w:cs="Arial"/>
                <w:lang w:eastAsia="sr-Latn-RS"/>
              </w:rPr>
              <w:br/>
              <w:t>9. Sklopka</w:t>
            </w:r>
            <w:r w:rsidRPr="00984859">
              <w:rPr>
                <w:rFonts w:ascii="Arial" w:eastAsia="Times New Roman" w:hAnsi="Arial" w:cs="Arial"/>
                <w:lang w:eastAsia="sr-Latn-RS"/>
              </w:rPr>
              <w:br/>
              <w:t>10. Kolo za postavljanje vođice u početni položaj</w:t>
            </w:r>
            <w:r w:rsidRPr="00984859">
              <w:rPr>
                <w:rFonts w:ascii="Arial" w:eastAsia="Times New Roman" w:hAnsi="Arial" w:cs="Arial"/>
                <w:lang w:eastAsia="sr-Latn-RS"/>
              </w:rPr>
              <w:br/>
              <w:t xml:space="preserve">11. Pravac prema elektromotornom </w:t>
            </w:r>
            <w:r w:rsidRPr="00984859">
              <w:rPr>
                <w:rFonts w:ascii="Arial" w:eastAsia="Times New Roman" w:hAnsi="Arial" w:cs="Arial"/>
                <w:lang w:eastAsia="sr-Latn-RS"/>
              </w:rPr>
              <w:lastRenderedPageBreak/>
              <w:t xml:space="preserve">pogonu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A.15. TEMPERATURA SAMOZAPALJENJA </w:t>
      </w:r>
      <w:r w:rsidRPr="00984859">
        <w:rPr>
          <w:rFonts w:ascii="Arial" w:eastAsia="Times New Roman" w:hAnsi="Arial" w:cs="Arial"/>
          <w:b/>
          <w:bCs/>
          <w:lang w:eastAsia="sr-Latn-RS"/>
        </w:rPr>
        <w:br/>
        <w:t xml:space="preserve">(ZA TEČNOSTI I GASOVE)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se ne ispituju eksplozivne supstance i supstance koje se spontano pale u kontaktu sa vazduhom na sobnoj temperaturi. Ispitivanje se primenjuje na gasove, tečnosti i isparenja koji u prisustvu vazduha mogu biti zapaljeni vrelom površinom.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Temperaturu samozapaljenja mogu značajno sniziti prisutne katalitičke nečistoće, površina materijala ili veća zapremina posude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Stepen samozapaljivosti izražava se u vidu temperature samozapaljenja.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samozapaljenja jeste najniža temperatura pri kojoj se ispitivana supstanca zapali kada se pomeša sa vazduhom u uslovima definisanim u ovoj metodi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navedene su u standardima (videti odeljak 1.6.3. ove metode). One prvenstveno služe za povremenu proveru metode i omogućavaju poređenje sa rezultatima drugih metoda.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određuje se minimalna temperatura unutrašnje površine kućišta koja dovodi do paljenja gasa, isparenja ili tečnosti ubrizganih u kućište.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Ponovljivost se menja u zavisnosti od opsega temperatura samozapaljenja i korišćene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Osetljivost i specifičnost zavise od korišćene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je opisana u metodama datim u odeljku 1.6.3.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ispitivane supstance ispituje se u skladu sa metodama datim u odeljku 1.6.3.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1.6.3.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standard SRPS EN 60079-20-11:2011, Eksplozivne atmosfere - Deo 20-1: Klasifikacija materijalnih karakteristika gasova i para - Metode ispitivanja i podaci.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Beleži se temperatura ispitivanja, atmosferski pritisak, količina korišćenog uzorka i vreme do pojave paljenja.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precizan opis supstance (identifikaciju i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količinu korišćenog uzorka i atmosferski pritisak;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korišćenu aparaturu;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merenja (temperature ispitivanja, rezultate koji se odnose na paljenje, odgovarajuće vreme do pojave paljenja);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dodatne napomene relevantne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A.16. RELATIVNA TEMPERATURA SAMOZAPALJENJA </w:t>
      </w:r>
      <w:r w:rsidRPr="00984859">
        <w:rPr>
          <w:rFonts w:ascii="Arial" w:eastAsia="Times New Roman" w:hAnsi="Arial" w:cs="Arial"/>
          <w:b/>
          <w:bCs/>
          <w:lang w:eastAsia="sr-Latn-RS"/>
        </w:rPr>
        <w:br/>
        <w:t xml:space="preserve">(ZA ČVRSTE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se ne ispituju eksplozivne supstance i supstance koje se spontano pale u kontaktu sa vazduhom na sobnoj temperaturi.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ispitivanja jeste dobijanje preliminarnih podataka o samozapaljivosti čvrstih supstanci na povišenim temperaturama.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toplota koja se oslobađa u reakciji supstance sa kiseonikom ili pri egzotermnom razlaganju ne odaje dovoljno brzo u okolinu, dolazi do njenog samozagrevanja koje dovodi do samozapaljenja. Samozapaljenje se javlja kada je brzina oslobađanja toplote veća od brzine odavanja toplote.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Ovaj postupak ispitivanja koristan je za preliminarno skrining ispitivanje čvrstih supstanci. S obzirom na složenu prirodu paljenja i sagorevanja čvrstih supstanci, temperatura samozapaljenja određena ovom metodom koristiti se samo za potrebe poređenja.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samozapaljenja određena ovom metodom predstavlja minimalnu temperaturu okoline izraženu u stepenima Celzijusa (°C) pri kojoj se određena zapremina supstance zapali pod definisanim uslovima.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Određena zapremina supstance koja se ispituje stavlja se u peć na sobnoj temperaturi. Beleži se kriva odnosa vremena i temperature u centru uzorka dok se temperatura u peći podiže do 400° C ili do tačke topljenja ukoliko je niža od pomenute, brzinom 0,5° C/min.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potrebe ovog ispitivanja, temperatura samozapaljenja jeste temperatura peći pri kojoj temperatura uzorka dostiže 400° C samozagrevanjem.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Aparatura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Peć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Laboratorijska peć sa mogućnošću programiranja temperature (zapremine oko 2 litra), sa prirodnom cirkulacijom vazduha i ispustom za slučaj eksplozije. Radi izbegavanja potencijalnog rizika od eksplozije, ne sme se dozvoliti da gasovi nastali razlaganjem dođu u dodir sa električnim grejnim elementima.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Kocka od žičane mreže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Parče žičane mreže od nerđajućeg čelika sa otvorima od 0,045 mm iseče se prema šablonu datom na Slici 1. Mreža se ispresavija i osigura žicom u oblik kocke sa otvorom na vrhu.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Termoelementi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Odgovarajući termopar.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Zapisivanje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Bilo koji dvokanalni sistem za zapisivanje kalibrisan od 0° C do 600° C ili na odgovarajući napon.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se ispituju u obliku u kome su primljene.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Kocka se puni supstancom koja se ispituje. Supstanca se blago sabija i dodaje dok se kocka potpuno ne popuni. Zatim se kocka okači u centar peći na sobnoj temperaturi. Jedan termoelement postavlja se u centar kocke, a drugi između kocke i zida peći da meri temperaturu u peći.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Temperature peći i uzorka neprekidno se beleže dok se temperatura u peći povećava do 400° C ili do tačke topljenja ukoliko je niža, brzinom 0,5° C/min.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dođe do paljenja supstance, termoelement koji se nalazi u uzorku pokazuje veoma oštar porast temperature u odnosu na temperaturu u peći.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peći pri kojoj temperatura uzorka dostiže 400° C samozagrevanjem jeste temperatura relevantna za procenu (videti Sliku 2).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supstance koja se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merenja uključujući i krivu temperatura/vreme;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dodatne napomene važne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NF T 20-036 (September 85) Chemical products for industrial use. Determination of the relative temperature of the spontaneous flammability of solids.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1. Šema kocke (20 mm)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16868BE5" wp14:editId="42B1A024">
            <wp:extent cx="3695700" cy="3190875"/>
            <wp:effectExtent l="0" t="0" r="0" b="9525"/>
            <wp:docPr id="16" name="Picture 16" descr="C:\Program Files (x86)\ParagrafLex\browser\Files\Old\t\t2013_12\t12_0570_s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 (x86)\ParagrafLex\browser\Files\Old\t\t2013_12\t12_0570_s04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5700" cy="31908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2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335957A6" wp14:editId="05845B97">
            <wp:extent cx="5172075" cy="3724275"/>
            <wp:effectExtent l="0" t="0" r="9525" b="9525"/>
            <wp:docPr id="15" name="Picture 15" descr="C:\Program Files (x86)\ParagrafLex\browser\Files\Old\t\t2013_12\t12_0570_s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 (x86)\ParagrafLex\browser\Files\Old\t\t2013_12\t12_0570_s046.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2075" cy="37242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A.17. OKSIDUJUĆA SVOJSTVA </w:t>
      </w:r>
      <w:r w:rsidRPr="00984859">
        <w:rPr>
          <w:rFonts w:ascii="Arial" w:eastAsia="Times New Roman" w:hAnsi="Arial" w:cs="Arial"/>
          <w:b/>
          <w:bCs/>
          <w:lang w:eastAsia="sr-Latn-RS"/>
        </w:rPr>
        <w:br/>
        <w:t xml:space="preserve">(ZA ČVRSTE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nego što se pristupi ispitivanju korisno je imati podatke o potencijalnim eksplozivnim svojstvima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se ne primenjuje na tečnosti, gasove, eksplozivne ili lako zapaljive supstance i organske perokside.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 ispitivanje se ne sprovodi kada se na osnovu strukturne formule dovoljno pouzdano može utvrditi da supstanca ne može da razvije egzotermnu reakciju u kontaktu sa zapaljivim materijalom.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izvršiti preliminarna ispitivanja radi provere da li ispitivanje treba vršiti pod posebnim uslovima.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gorenja jeste vreme reakcije, izraženo u sekundama, potrebno da se zona reakcije proširi kroz supstancu prema postupku opisanom u odeljku 1.6.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Brzina gorenja izražava se u milimetrima po sekundi.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Maksimalna brzina gorenja jeste najviša vrednost brzine gorenja dobijena ispitivanjem smeša koje sadrže 10% do 90% (masenih) oksidujućeg sredstva.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1.3. REFERENTNA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Barijum-nitrat (analitičke čistoće) koristi se kao referentna supstanca pri ispitivanju i pri preliminarnom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Referentna smeša jeste smeša barijum-nitrata sa sprašenom celulozom (obično smeša sa 60% (masenih) barijum-nitrata), pripremljena prema uputstvima iz odeljka 1.6. ove metode, koja ima maksimalnu brzinu gorenja.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PRINCIPI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Preliminarno ispitivanje vrši se iz bezbednosnih razloga. Kada preliminarno ispitivanje jasno pokaže da ispitivana supstanca ima oksidujuća svojstva nema potrebe za daljim ispitivanjima. U suprotnom vrši se potpuni postupak ispitivanja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potpunog ispitivanja, supstanca koja se ispituje i definisana zapaljiva supstanca mešaju se u različitim odnosima. Svaka tako napravljena smeša zatim se oblikuje u gomilu. Gomila se na jednom kraju zapali. Određena maksimalna brzina gorenja zatim se upoređuje sa maksimalnom brzinom gorenja referentne smeše.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je potrebno, primenjuje se bilo koja metoda usitnjavanja i mešanja, ako se maksimalna brzina gorenja u šest odvojenih ispitivanja razlikuje od aritmetičke srednje vrednosti za najviše 10%.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za ispitivanje usitniti do čestica veličine &lt; 0,125 mm na sledeći način: prosejati ispitivanu supstancu, deo koji se zadržao na situ samleti, pa ponoviti ovaj postupak tako da sva količina uzorka prođe kroz sito.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bilo koja metoda mlevenja i prosejavanja koja zadovoljava kriterijume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nego što se pripremi smeša, supstanca se suši na 105° C, do postizanja konstantne mase. Ukoliko je temperatura razlaganja supstance niža od 105° C, ona se suši na odgovarajućoj nižoj temperaturi.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Zapaljiva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zapaljiva supstanca koristi se celuloza u prahu. U ovim ispitivanjima koristi se tip celuloze koja se koristi u hromatografiji na tankom sloju ili u kolonskoj hromatografiji. Kao najpodesnija pokazala se celuloza kod koje 85% vlakana ima dužinu između 0,020 mm i 0,075 mm. Celulozni prah pušta se kroz sito sa otvorima veličine 0,125 mm. Ista serija celuloze koristi se sve vreme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nego što se pripremi smeša, celulozni prah se suši na temperaturi od 105° C do postizanja konstantne 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Ukoliko se pri preliminarnom ispitivanju koristi drveno brašno, priprema se brašno od mekog drveta na taj način što se sakupi deo koji prolazi kroz sito otvora veličine 1,6 mm, promeša, zatim suši na temperaturi od 105° C četiri sata u sloju debljine manje od 25 mm. Brašno se ohladi i čuva u hermetički zatvorenoj posudi, napunjenoj količinom potrebnom za ispitivanje, ako je moguće u roku od 24 sata od sušenja.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Inicijator paljenja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inicijator paljenja koristi se vreo plamen iz gasnog gorionika (minimalnog prečnika 5 mm). Ukoliko se koristi drugi inicijator paljenja (npr. kada se ispitivanje vrši u inertnoj atmosferi), u izveštaju se opisuje izvor i objašnjava zbog čega se koristi.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Smeše oksidujućih sredstava sa celulozom ili drvenim brašnom smatraju se potencijalno eksplozivnim materijama i njima se pažljivo rukuje.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Preliminarno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Osušena supstanca dobro se izmeša sa osušenom celulozom ili drvenim brašnom u odnosu dva težinska dela ispitivane supstance prema jednom težinskom delu celuloze ili drvenog brašna. Smeša se oblikuje u malu gomilu kupastog oblika dimenzija 3,5 cm (prečnik osnove) x 2,5 cm (visina) tako što se ispuni posuda u obliku kupe, bez sabijanja (npr. laboratorijski stakleni levak čija je cev zapušena).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Gomila se postavlja na hladno, nezapaljivo, neporozno ravno postolje koje slabo provodi toplotu. Ispitivanje se izvodi u digestoru kao što je opisano u odeljku 1.6.2.2.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Inicijator paljenja dovodi se u kontakt sa kupom. Prate se i beleže intenzitet i trajanje reakcije.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reakcija burna supstanca se smatra oksidujućom.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dobijanja sumnjivih rezultata, potrebno je izvršiti celu seriju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Serija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Pripremiti smeše celuloze sa oksidujućom supstancom. Smeše sadrže od 10 do 90 masenih procenata oksidujuće supstance sa korakom povećanja 10%. U graničnim slučajevima koriste se srednje smeše oksidujuće supstance sa celulozom kako bi se preciznije dobila maksimalna brzina gorenja.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Gomila se pravi uz pomoć kalupa. Kalup je sačinjen od metala, dužine 250 mm, sa trouglastim poprečnim presekom, unutrašnje visine 10 mm, a širine 20 mm. Sa obe strane kalupa, uzdužno, postavljaju se dva metalna graničnika koji prelaze 2 mm iznad gornje ivice trouglastog poprečnog preseka (videti Sliku). Ova posuda se napuni sa većom količinom smeše. Nakon što se kalup baci sa visine od 2 cm na čvrstu podlogu, preostali višak supstance ukloni se pomoću koso postavljene ploče.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Bočni graničnici se uklone, a ostatak praškaste materije poravna se pomoću valjka.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Nezapaljivo, neporozno postolje koja slabo provodi toplotu zatim se postavlja na vrh kalupa, cela aparatura se obrne, a kalup se ukloni.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Ovako formirana gomila stavlja se u digestor.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Brzina vazduha treba da bude dovoljna da se izbegne širenje dima po laboratoriji i ne treba da se menja u toku ispitivanja. Oko aparature se podiže zaštita od promaje.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 obzirom da su celuloza, kao i neke supstance koje se ispituju higroskopne, ispitivanje se vrši što je brže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Zapaliti jedan deo gomile uz pomoć plamena.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Meriti vreme trajanja reakcije na dužini od 200 mm, nakon što se zona reakcije proširi 30 mm od inicijalne tačke.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vrši sa referentnom supstancom i najmanje po jednom sa svakom od smeša ispitivane supstance sa celulozom.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je maksimalna brzina gorenja znatno veća od brzine gorenja referentne smeše, ispitivanje se može obustaviti. U suprotnom, ispitivanje se ponavlja pet puta sa svakom od tri smeše koje imaju najveće brzine gorenja.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posumnja u verodostojnost pozitivnog rezultata, ispitivanje se ponavlja sa inertnom supstancom sa sličnom veličinom čestica, kao što je dijatomejska zemlja, umesto celuloze. Druga mogućnost je ispitivanje smeše koja sadrži celulozu i koja ima najveću brzinu gorenja, u inertnoj atmosferi (sadržaj kiseonika &lt; 2% v/v).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 bezbednosnih razloga karakterističnim oksidujućim svojstvom ispitivane supstance smatra se maksimalna brzina gorenja, a ne njena srednja vrednost.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relevantna za procenu jeste najveća dobijena vrednost brzine gorenja od šest ispitivanja određene smeše.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Nacrtati grafik zavisnosti najveće vrednosti brzine gorenja od koncentracije oksidujuće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Maksimalna brzina gorenja očitava se sa grafika.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Šest izmerenih vrednosti brzine gorenja koje se odnose na smešu sa najvećom brzinom gorenja ne smeju da se razlikuju od aritmetičke srednje vrednosti za više od 10%. U suprotnom, poboljšavaju se metode usitnjavanja i mešanja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Uporediti maksimalne brzine gorenja ispitivane i referentne smeše (videti odeljak 1.3.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ispitivanja sprovode u inertnoj atmosferi, maksimalna brzina reakcije poredi se sa brzinom reakcije referentne smeše izmerene u inertnoj atmosferi.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identitetu, sastavu, stepenu čistoće, sadržaju vlage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obradi uzorka za ispitivanje (npr. mlevenje, sušenje i dr.);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inicijatoru paljenja korišćen pri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rezultatima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načinu reakcije (npr. blesak i gorenje po površini, gorenje cele mase, podatke o proizvodima sagorevanja,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svim primedbama značajnim za tumačenje rezultata, uključujući i opis intenziteta reakcije (plamen, varnice, dim, slabo tinjanje, itd.) i približnu dužinu trajanja koja je dobijena pri preliminarnom ispitivanju iz bezbednosnih razloga/skrining ispitivanja za ispitivanu i referentnu supstancu;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rezultatima ispitivanja sa inertnom supstancom, ako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rezultatima ispitivanja sprovedenih u inertnoj atmosferi, ako postoje.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se smatra oksidujućom kada: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pri preliminarnom ispitivanju dođe do snažne reakcije;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pri potpunom ispitivanju, maksimalna brzina gorenja ispitivane smeše je veća ili jednaka maksimalnoj brzini gorenja referentne smeše celuloze i barijum-nitrata.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se izbegnu lažni pozitivni rezultati, uzimaju se u obzir i rezultati dobijeni ispitivanjem supstance u smeši sa nekim inertnom materijalom i/ili kada se ispituje u inertnoj atmosferi.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NF T 20-035 (September 85) Chemical products for industrial use. Determination of the oxidising properties of solids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Kalup i pribor za pripremu gomile (sve dimenzije date su u milimetrima)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41BA72FE" wp14:editId="28DA4A86">
            <wp:extent cx="5162550" cy="5524500"/>
            <wp:effectExtent l="0" t="0" r="0" b="0"/>
            <wp:docPr id="14" name="Picture 14" descr="C:\Program Files (x86)\ParagrafLex\browser\Files\Old\t\t2013_12\t12_0570_s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rogram Files (x86)\ParagrafLex\browser\Files\Old\t\t2013_12\t12_0570_s04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62550" cy="55245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A.18. SREDNJE MOLEKULSKE MASE I RASPODELA MOLEKULSKIH MASA POLIMERA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Opisana metoda gel propusne hromatografije zasniva se na Uputstvu za ispitivanje OECD 118 (1996). Osnovni principi metode i detaljne tehničke informacije date su u literaturi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Polimeri imaju različita svojstva. Iz navedenog razloga nemoguće je dati jednu metodu koja postavlja precizne uslove za razdvajanje i procenu i koja pokriva sve mogućnosti i sve specifičnosti razdvajanja polimera. Ovo posebno važi za složene polimerne sisteme na koje se često ne može primeniti gel propusna hromatografija (Gel permeation chromatography, u daljem tekstu: GPC). Kada nije moguće primeniti GPC molekulska masa se određuje primenom drugih metoda (videti Deo drugi ove metode). U takvim slučajevima, opisuju se svi detalji i navode razlozi zbog kojih se koristi druga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Metoda koja je opisana zasniva se na standardu SRPS ISO 138851. U ovom standardu date su detaljne informacije o izvođenju eksperimenata i evaluaciji dobijenih podataka. Kada je neophodno izmeniti eksperimentalne uslove, ove izmene se opravdavaju. Koriste se i drugi standardi ukoliko imaju reference. Uzorci polistirena, čija je poludisperzivnost poznata, koriste se za kalibraciju prema ovoj metodi. Metoda se može izmeniti kako bi odgovarala određenim polimerima, npr. polimerima rastvornim u vodi i dugolančanim razgranatim polimerima.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Srednja molekulska masa po brojnoj zastupljenosti (u daljem tekstu: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i srednja molekulska masa po masenoj zastupljenosti (u daljem tekstu: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određuju se na osnovu jednačina: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5969BEC2" wp14:editId="48C80EA3">
            <wp:extent cx="5172075" cy="1162050"/>
            <wp:effectExtent l="0" t="0" r="9525" b="0"/>
            <wp:docPr id="13" name="Picture 13" descr="C:\Program Files (x86)\ParagrafLex\browser\Files\Old\t\t2013_12\t12_0570_s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rogram Files (x86)\ParagrafLex\browser\Files\Old\t\t2013_12\t12_0570_s048.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2075" cy="11620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 xml:space="preserve">i </w:t>
      </w:r>
      <w:r w:rsidRPr="00984859">
        <w:rPr>
          <w:rFonts w:ascii="Arial" w:eastAsia="Times New Roman" w:hAnsi="Arial" w:cs="Arial"/>
          <w:lang w:eastAsia="sr-Latn-RS"/>
        </w:rPr>
        <w:t>jeste nivo detektorskog signala od bazne linije za retencionu zapreminu V</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molekulska masa frakcije polimera pri retencionoj zapremini V</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 jeste broj relevantnih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Opseg raspodele molekulske mase koji predstavlja meru disperzije sistema dat je kroz odnos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GPC je relativna metoda, pa se vrši kalibracija. Za kalibraciju se najčešće koriste standardi linearnog polistirena sa poznatim prosečnim molekulskim masama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i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i sa poznatom uskom distribucijom molekulske mase. Kalibraciona kriva koristi se samo pri određivanju molekulske mase nepoznatog uzorka ukoliko su uslovi za razdvajanje uzorka i standarda izabrani na identičan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Određeni odnos molekulske mase i zapremine eluata validan je jedino pod definisanim uslovima određenog eksperimenta. Navedeni uslovi obuhvataju, pre svega, temperaturu, rastvarač (smešu rastvarača), uslove hromatografije i kolonu za razdvajanje ili sistem kolona za razdvajanje.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Molekulske mase uzorka određene na ovaj način jesu relativne vrednosti i nazivaju se: "molekulske mase ekvivalentne polistirenu". Ovo znači da u zavisnosti od strukturnih i hemijskih razlika između uzorka i standarda, molekulske mase mogu odstupati od apsolutnih vrednosti u većem ili manjem stepenu. Ukoliko se koriste drugi standardi, npr. poli(etilenglikol), poli(etilen-oksid), poli(metil-metakrilat), poliakrilna kiselina, navode se razlozi za ovo korišćenje.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PRINCIPI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Raspodele molekulske mase uzorka i srednje molekulske mase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određuju se primenom GPC. GPC je poseban tip tečne hromatografije kojom se uzorak odvaja na osnovu hidrodinamičkih zapremina pojedinačnih sastojaka.</w:t>
      </w:r>
      <w:r w:rsidRPr="00984859">
        <w:rPr>
          <w:rFonts w:ascii="Arial" w:eastAsia="Times New Roman" w:hAnsi="Arial" w:cs="Arial"/>
          <w:b/>
          <w:bCs/>
          <w:sz w:val="15"/>
          <w:szCs w:val="15"/>
          <w:vertAlign w:val="superscript"/>
          <w:lang w:eastAsia="sr-Latn-RS"/>
        </w:rPr>
        <w:t>2</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Razdvajanje se postiže tako što uzorak prolazi kroz kolonu ispunjenu poroznim materijalom, najčešće nekim organskim gelom. Mali molekuli mogu da prođu kroz pore dok veliki molekuli ne mogu. Put koji prolaze veliki molekuli je kraći i oni prvi izlaze sa kolone. Molekuli srednje veličine prolaze kroz neke od pora i eluiraju se kasnije. Najmanji molekuli, sa prosečnim hidrodinamičkim prečnikom manjim od pora gela, mogu ući u sve pore i oni se eluiraju poslednji.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idealnim uslovima, na razdvajanje utiče jedino veličina molekula, ali u praksi je teško izbeći uticaj apsorpcionih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Neujednačena pakovanja kolona i mrtve zapremine mogu da pogoršaju situaciju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se detektuju pomoću indeksa refrakcije ili UV apsorpcijom i na taj način se dobija prosta kriva raspodele. Da bi se odredile stvarne vrednosti molekulskih masa, neophodno je kalibrisati kolonu propuštanjem polimera čije su molekulske mase poznate i, idealno, takvih struktura koje su slične sa strukturama mnogih drugih polimera, kao npr. različiti standardi polistirena. Najčešći rezultat je Gausova kriva, koja je ponekad deformisana malim repom na strani gde se nalaze vrednosti malih molekulskih masa. Vertikalna osa označava količinu, prema masi, čestica različitih molekulskih masa koje su eluirane, a horizontalna osa označava logaritam molekulske mase.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Ponovljivost (Relativna standardna devijacija, u daljem tekstu: RSD) eluirane zapremine treba da bude bolja od 0,3%. Zahtevana ponovljivost analiza obezbeđuje se korekcijom internim standardom ako se hromatogram procenjuje na osnovu vremena zadržavanja i ako ne odgovara navedenom kriterijumu</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Polidisperzivnost zavisi od molekulskih masa standarda. Tipične vrednosti za polistirenske standarde su: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450"/>
        <w:gridCol w:w="5662"/>
      </w:tblGrid>
      <w:tr w:rsidR="00984859" w:rsidRPr="00984859" w:rsidTr="00984859">
        <w:trPr>
          <w:tblCellSpacing w:w="0" w:type="dxa"/>
        </w:trPr>
        <w:tc>
          <w:tcPr>
            <w:tcW w:w="334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&lt; 2000 </w:t>
            </w:r>
          </w:p>
        </w:tc>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&lt; 1,20 </w:t>
            </w:r>
          </w:p>
        </w:tc>
      </w:tr>
      <w:tr w:rsidR="00984859" w:rsidRPr="00984859" w:rsidTr="00984859">
        <w:trPr>
          <w:tblCellSpacing w:w="0" w:type="dxa"/>
        </w:trPr>
        <w:tc>
          <w:tcPr>
            <w:tcW w:w="334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2000 &lt;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&lt; 10</w:t>
            </w:r>
            <w:r w:rsidRPr="00984859">
              <w:rPr>
                <w:rFonts w:ascii="Arial" w:eastAsia="Times New Roman" w:hAnsi="Arial" w:cs="Arial"/>
                <w:sz w:val="15"/>
                <w:szCs w:val="15"/>
                <w:vertAlign w:val="superscript"/>
                <w:lang w:eastAsia="sr-Latn-RS"/>
              </w:rPr>
              <w:t>6</w:t>
            </w:r>
          </w:p>
        </w:tc>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&lt; 1,05 </w:t>
            </w:r>
          </w:p>
        </w:tc>
      </w:tr>
      <w:tr w:rsidR="00984859" w:rsidRPr="00984859" w:rsidTr="00984859">
        <w:trPr>
          <w:tblCellSpacing w:w="0" w:type="dxa"/>
        </w:trPr>
        <w:tc>
          <w:tcPr>
            <w:tcW w:w="334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 xml:space="preserve">p </w:t>
            </w:r>
            <w:r w:rsidRPr="00984859">
              <w:rPr>
                <w:rFonts w:ascii="Arial" w:eastAsia="Times New Roman" w:hAnsi="Arial" w:cs="Arial"/>
                <w:lang w:eastAsia="sr-Latn-RS"/>
              </w:rPr>
              <w:t>&gt; 10</w:t>
            </w:r>
            <w:r w:rsidRPr="00984859">
              <w:rPr>
                <w:rFonts w:ascii="Arial" w:eastAsia="Times New Roman" w:hAnsi="Arial" w:cs="Arial"/>
                <w:sz w:val="15"/>
                <w:szCs w:val="15"/>
                <w:vertAlign w:val="superscript"/>
                <w:lang w:eastAsia="sr-Latn-RS"/>
              </w:rPr>
              <w:t>6</w:t>
            </w:r>
          </w:p>
        </w:tc>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&lt; 1,20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jeste molekulska masa standarda na maksimumu pika.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standardnih rastvora polistirena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Standardi polistirena rastvaraju se pažljivim mešanjem u izabranom eluentu. Pri pripremanju rastvora uzimaju se u obzir preporuke proizvođača.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Koncentracije izabranih standarda zavise od različitih faktora, npr. zapremine koja se injektuje, viskoziteta rastvora i osetljivosti detektora. Maksimalna zapremina koja se injektuje prilagođava se dužini kolone, da se izbegne preopterećenje. Tipične vrednosti zapremina koje se injektuju pri analitičkim razdvajanjima pomoću GPC za kolone dimenzija 30 cm x 7,8 mm kreću se između 40 ml i 100 ml. Koriste se i veće zapremine, ali one ne treba da pređu </w:t>
      </w:r>
      <w:r w:rsidRPr="00984859">
        <w:rPr>
          <w:rFonts w:ascii="Arial" w:eastAsia="Times New Roman" w:hAnsi="Arial" w:cs="Arial"/>
          <w:lang w:eastAsia="sr-Latn-RS"/>
        </w:rPr>
        <w:lastRenderedPageBreak/>
        <w:t xml:space="preserve">vrednost od 250 ml. Optimalni odnos između injektovane zapremine i koncentracije određuje se pre kalibracije kolone.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Priprema rastvora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pripremu rastvora uzoraka primenjuju se isti zahtevi kao i za standardne rastvore. Uzorak se pažljivim mućkanjem rastvara u odgovarajućem rastvaraču, npr. tetrahidrofuranu (u daljem tekstu: THF). Korišćenje ultrazvučne kade za rastvaranje ne preporučuje se. Kada je neophodno, rastvor uzorka se prečišćava pomoću membranskog filtera veličine pora između 0,2 mm i 2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Prisustvo nerastvornih čestica navodi se u završnom izveštaju jer se one mogu pojaviti usled prisustva čestica velike molekulske mase. Za određivanje masenog procenta nerastvornih čestica primenjuje se odgovarajuća metoda. Rastvori se koriste u roku od 24 sata.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Aparaturu čine: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posuda za rastvarač;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degaziranje (ako je potreban);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pumpa;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pulsni prigušivač (ako je potreban);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sistem za injektovanje;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hromatografske kolone;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detektor;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merač protoka (ako je potreban);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procesor za prikupljanje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posuda za prikupljanje otpada.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obezbediti da GPC sistem bude inertan prema korišćenom rastvaraču (npr. upotreba čeličnih kapilara za tetrahidrofuran).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Sistem za injektovanje i uvođenje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Određena zapremina rastvora uzorka uvodi se u kolonu pomoću automatskog unošenja uzorka ili ručno u precizno određenoj zoni. Prebrzo povlačenje ili pritiskanje klipa šprica, ukoliko se vrši ručno, može dovesti do promena u ispitivanoj raspodeli molekulskih masa. Sistem za uvođenje rastvarača treba u najvećoj mogućoj meri da bude oslobođen od pulsiranja, ako je moguće tako što će sadržati pulsni prigušivač. Brzina protoka treba da bude u okviru 1 ml/min.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Kolona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U zavisnosti od uzorka, određivanje polimera vrši se upotrebom ili jedne kolone ili više međusobno povezanih kolona u nizu. Komercijalno su dostupni brojni porozni materijali za kolone sa definisanim svojstvima (npr. veličina pora, ekskluzioni limit - gornja granica molekulske mase iznad koje će se molekuli eluirati u retencionoj zapremini). Izbor gela za razdvajanje ili dužine kolone zavise od svojstava uzorka (hidrodinamičke zapremine, raspodele molekulske mase) i specifičnih uslova za razdvajanje kao što su: rastvarač, temperatura i brzina protoka</w:t>
      </w:r>
      <w:r w:rsidRPr="00984859">
        <w:rPr>
          <w:rFonts w:ascii="Arial" w:eastAsia="Times New Roman" w:hAnsi="Arial" w:cs="Arial"/>
          <w:b/>
          <w:bCs/>
          <w:sz w:val="15"/>
          <w:szCs w:val="15"/>
          <w:vertAlign w:val="superscript"/>
          <w:lang w:eastAsia="sr-Latn-RS"/>
        </w:rPr>
        <w:t>1,2,3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1.6.6. Teorijski podovi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kolonu ili kombinaciju kolona koje se koriste za razdvajanje određuje se broj teorijskih podova. To podrazumeva, u slučaju primene THF-a kao rastvarača, nanošenje rastvora etilbenzena ili druge odgovarajuće nepolarne rastvorene supstance na kolonu poznate dužine. Broj teorijskih podova određuje se pomoću jednačine: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3DE66E37" wp14:editId="4C1EF624">
            <wp:extent cx="4276725" cy="685800"/>
            <wp:effectExtent l="0" t="0" r="9525" b="0"/>
            <wp:docPr id="12" name="Picture 12" descr="C:\Program Files (x86)\ParagrafLex\browser\Files\Old\t\t2013_12\t12_0570_s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 (x86)\ParagrafLex\browser\Files\Old\t\t2013_12\t12_0570_s049.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 jeste broj teorijskih podova;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V</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jeste eluciona zapremina na maksimumu pika;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W</w:t>
      </w:r>
      <w:r w:rsidRPr="00984859">
        <w:rPr>
          <w:rFonts w:ascii="Arial" w:eastAsia="Times New Roman" w:hAnsi="Arial" w:cs="Arial"/>
          <w:lang w:eastAsia="sr-Latn-RS"/>
        </w:rPr>
        <w:t xml:space="preserve"> jeste širina pika na baznoj liniji;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W</w:t>
      </w:r>
      <w:r w:rsidRPr="00984859">
        <w:rPr>
          <w:rFonts w:ascii="Arial" w:eastAsia="Times New Roman" w:hAnsi="Arial" w:cs="Arial"/>
          <w:sz w:val="15"/>
          <w:szCs w:val="15"/>
          <w:vertAlign w:val="subscript"/>
          <w:lang w:eastAsia="sr-Latn-RS"/>
        </w:rPr>
        <w:t xml:space="preserve">1/2 </w:t>
      </w:r>
      <w:r w:rsidRPr="00984859">
        <w:rPr>
          <w:rFonts w:ascii="Arial" w:eastAsia="Times New Roman" w:hAnsi="Arial" w:cs="Arial"/>
          <w:lang w:eastAsia="sr-Latn-RS"/>
        </w:rPr>
        <w:t xml:space="preserve">jeste širina pika na polovini visine.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1.6.7. Efikasnost razdvajanja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Pored broja teorijskih podova koji kvantitativno određuje širinu traka, važnu ulogu ima i efikasnost razdvajanja, koja je određena nagibom kalibracione krive. Efikasnost razdvajanja kolona dobija se na osnovu odnosa:</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5AD5ABD4" wp14:editId="522DBB4E">
            <wp:extent cx="4762500" cy="638175"/>
            <wp:effectExtent l="0" t="0" r="0" b="9525"/>
            <wp:docPr id="11" name="Picture 11" descr="C:\Program Files (x86)\ParagrafLex\browser\Files\Old\t\t2013_12\t12_0570_s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ParagrafLex\browser\Files\Old\t\t2013_12\t12_0570_s05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6381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V</w:t>
      </w:r>
      <w:r w:rsidRPr="00984859">
        <w:rPr>
          <w:rFonts w:ascii="Arial" w:eastAsia="Times New Roman" w:hAnsi="Arial" w:cs="Arial"/>
          <w:sz w:val="15"/>
          <w:szCs w:val="15"/>
          <w:vertAlign w:val="subscript"/>
          <w:lang w:eastAsia="sr-Latn-RS"/>
        </w:rPr>
        <w:t xml:space="preserve">e.Mx </w:t>
      </w:r>
      <w:r w:rsidRPr="00984859">
        <w:rPr>
          <w:rFonts w:ascii="Arial" w:eastAsia="Times New Roman" w:hAnsi="Arial" w:cs="Arial"/>
          <w:lang w:eastAsia="sr-Latn-RS"/>
        </w:rPr>
        <w:t>jeste eluciona zapremina polistirena molekulske mase M</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V</w:t>
      </w:r>
      <w:r w:rsidRPr="00984859">
        <w:rPr>
          <w:rFonts w:ascii="Arial" w:eastAsia="Times New Roman" w:hAnsi="Arial" w:cs="Arial"/>
          <w:sz w:val="15"/>
          <w:szCs w:val="15"/>
          <w:vertAlign w:val="subscript"/>
          <w:lang w:eastAsia="sr-Latn-RS"/>
        </w:rPr>
        <w:t xml:space="preserve">e (10Mx) </w:t>
      </w:r>
      <w:r w:rsidRPr="00984859">
        <w:rPr>
          <w:rFonts w:ascii="Arial" w:eastAsia="Times New Roman" w:hAnsi="Arial" w:cs="Arial"/>
          <w:lang w:eastAsia="sr-Latn-RS"/>
        </w:rPr>
        <w:t xml:space="preserve">jeste eluciona zapremina polistirena sa deset puta većom molekulskom masom.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Rezolucija sistema definiše se kao: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3F7790A1" wp14:editId="68F43C8A">
            <wp:extent cx="3105150" cy="762000"/>
            <wp:effectExtent l="0" t="0" r="0" b="0"/>
            <wp:docPr id="10" name="Picture 10" descr="C:\Program Files (x86)\ParagrafLex\browser\Files\Old\t\t2013_12\t12_0570_s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 (x86)\ParagrafLex\browser\Files\Old\t\t2013_12\t12_0570_s05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5150" cy="7620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V</w:t>
      </w:r>
      <w:r w:rsidRPr="00984859">
        <w:rPr>
          <w:rFonts w:ascii="Arial" w:eastAsia="Times New Roman" w:hAnsi="Arial" w:cs="Arial"/>
          <w:sz w:val="15"/>
          <w:szCs w:val="15"/>
          <w:vertAlign w:val="subscript"/>
          <w:lang w:eastAsia="sr-Latn-RS"/>
        </w:rPr>
        <w:t>e1</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V</w:t>
      </w:r>
      <w:r w:rsidRPr="00984859">
        <w:rPr>
          <w:rFonts w:ascii="Arial" w:eastAsia="Times New Roman" w:hAnsi="Arial" w:cs="Arial"/>
          <w:sz w:val="15"/>
          <w:szCs w:val="15"/>
          <w:vertAlign w:val="subscript"/>
          <w:lang w:eastAsia="sr-Latn-RS"/>
        </w:rPr>
        <w:t xml:space="preserve">e2 </w:t>
      </w:r>
      <w:r w:rsidRPr="00984859">
        <w:rPr>
          <w:rFonts w:ascii="Arial" w:eastAsia="Times New Roman" w:hAnsi="Arial" w:cs="Arial"/>
          <w:lang w:eastAsia="sr-Latn-RS"/>
        </w:rPr>
        <w:t xml:space="preserve">jesu elucione zapremine dva standarda polistirena na maksimumu pika;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W</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W</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jeste širina pikova na baznoj liniji;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M</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M</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jesu molekulske mase na maksimumu pika (treba da se razlikuju za faktor 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R</w:t>
      </w:r>
      <w:r w:rsidRPr="00984859">
        <w:rPr>
          <w:rFonts w:ascii="Arial" w:eastAsia="Times New Roman" w:hAnsi="Arial" w:cs="Arial"/>
          <w:lang w:eastAsia="sr-Latn-RS"/>
        </w:rPr>
        <w:t>-vrednost za sistem kolona treba da bude veća od 1,7 (videti u literaturi</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1.6.8. Rastvarači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 rastvarači treba da budu visoke čistoće (koristi se THF čistoće 99,5%). Posuda za rastvarač (ukoliko je neophodno u atmosferi inertnog gasa) treba da bude dovoljna za kalibraciju kolone i nekoliko analiza uzorka. Rastvarač se degazira pre nego što se ubaci u kolonu pomoću pumpe.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1.6.9. Kontrola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kritičnih unutrašnjih delova (petlje za injektovanje, kolone, detektora i cevi) treba da bude konstantna i u skladu sa izabranim rastvaračem.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1.6.10. Detektor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detektora je da beleži koncentraciju uzorka eluiranog sa kolone. Da bi se izbeglo nepotrebno širenje pikova, zapremina kivete ćelije detektora treba da bude što je moguće manja. Ona ne sme biti veća od 10 ml, osim u slučaju detektora zasnovanih na rasipanju svetlosti i viskoznosti. Za detekciju se najčešće koristi diferencijalna refraktometrija. Ukoliko uzorak ili rastvarač imaju neka posebna svojstva mogu se koristiti i druge vrste detektora, kao npr. UV/VIS, IC, detektor viskoznosti i sl.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Standard SRPS ISO 13885</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služi kao literatura za detalje o kriterijumima za procenu, kao i u vezi zahteva za prikupljanje i obradu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svaki uzorak se vrše dva nezavisna eksperimenta. Oni se odvojeno analiziraju.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i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se daju za svako merenje. Neophodno je jasno naznačiti da izmerene vrednosti predstavljaju relativne vrednosti ekvivalentne molekulskim masama korišćenih standarda.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Nakon što se odrede retencione zapremine ili retenciona vremena (mogu se korigovati pomoću internih standarda), na grafik se ucrtavaju ove vrednosti prema logaritmu M</w:t>
      </w:r>
      <w:r w:rsidRPr="00984859">
        <w:rPr>
          <w:rFonts w:ascii="Arial" w:eastAsia="Times New Roman" w:hAnsi="Arial" w:cs="Arial"/>
          <w:sz w:val="15"/>
          <w:szCs w:val="15"/>
          <w:vertAlign w:val="subscript"/>
          <w:lang w:eastAsia="sr-Latn-RS"/>
        </w:rPr>
        <w:t xml:space="preserve">p </w:t>
      </w:r>
      <w:r w:rsidRPr="00984859">
        <w:rPr>
          <w:rFonts w:ascii="Arial" w:eastAsia="Times New Roman" w:hAnsi="Arial" w:cs="Arial"/>
          <w:lang w:eastAsia="sr-Latn-RS"/>
        </w:rPr>
        <w:t>vrednosti (pri čemu je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maksimum pika kalibracionog standarda). Potrebne su najmanje </w:t>
      </w:r>
      <w:r w:rsidRPr="00984859">
        <w:rPr>
          <w:rFonts w:ascii="Arial" w:eastAsia="Times New Roman" w:hAnsi="Arial" w:cs="Arial"/>
          <w:lang w:eastAsia="sr-Latn-RS"/>
        </w:rPr>
        <w:lastRenderedPageBreak/>
        <w:t xml:space="preserve">dve tačke za kalibraciju u dekadnom opsegu molekulskih masa (1 kD-10 kD, 10 kD-100 kD, 100 kD-1.000 kD) i najmanje pet mernih tačaka za ceo grafik koje pokrivaju raspon očekivanih molekulskih masa. Krajnja tačka male molekulske mase na kalibracionoj krivoj definiše se </w:t>
      </w:r>
      <w:r w:rsidRPr="00984859">
        <w:rPr>
          <w:rFonts w:ascii="Arial" w:eastAsia="Times New Roman" w:hAnsi="Arial" w:cs="Arial"/>
          <w:i/>
          <w:iCs/>
          <w:lang w:eastAsia="sr-Latn-RS"/>
        </w:rPr>
        <w:t>n</w:t>
      </w:r>
      <w:r w:rsidRPr="00984859">
        <w:rPr>
          <w:rFonts w:ascii="Arial" w:eastAsia="Times New Roman" w:hAnsi="Arial" w:cs="Arial"/>
          <w:lang w:eastAsia="sr-Latn-RS"/>
        </w:rPr>
        <w:t>-heksilbenzenom ili nekim drugim odgovarajućim nepolarnim rastvaračem. Srednje molekulske mase po brojnoj zastupljenosti i po masenoj zastupljenosti određuju se elektronskom obradom podataka na osnovu formula datih u odeljku 1.2. ove metode, a mogu se određivati i ručno</w:t>
      </w:r>
      <w:r w:rsidRPr="00984859">
        <w:rPr>
          <w:rFonts w:ascii="Arial" w:eastAsia="Times New Roman" w:hAnsi="Arial" w:cs="Arial"/>
          <w:b/>
          <w:bCs/>
          <w:sz w:val="15"/>
          <w:szCs w:val="15"/>
          <w:vertAlign w:val="superscript"/>
          <w:lang w:eastAsia="sr-Latn-RS"/>
        </w:rPr>
        <w:t>XXVI</w:t>
      </w:r>
      <w:r w:rsidRPr="00984859">
        <w:rPr>
          <w:rFonts w:ascii="Arial" w:eastAsia="Times New Roman" w:hAnsi="Arial" w:cs="Arial"/>
          <w:lang w:eastAsia="sr-Latn-RS"/>
        </w:rPr>
        <w:t xml:space="preserve">. Kriva raspodele se daje u obliku tabele ili slike (diferencijalna frekvencija ili zbir procentualnih iznosa prema vrednosti log M). Kod grafičkog prikaza jedan dekadni opseg molekulskih masa treba da bude širine oko 4 cm, a maksimalna visina pika da iznosi 8 cm. U slučaju integraljenja krive raspodele razmak ordinate između 0% i 100% treba da bude oko 10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XXVI</w:t>
      </w:r>
      <w:r w:rsidRPr="00984859">
        <w:rPr>
          <w:rFonts w:ascii="Arial" w:eastAsia="Times New Roman" w:hAnsi="Arial" w:cs="Arial"/>
          <w:lang w:eastAsia="sr-Latn-RS"/>
        </w:rPr>
        <w:t xml:space="preserve"> Može se koristiti ASTM D 3536-91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poznate podatke o ispitivanoj supstanci (identitet, aditivi,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obrade uzorka, zapažanja, problemi.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2.2.2. Instrumentima: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posuda za rastvarač, inertni gas, degaziranje eluenta, sastav eluenta,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pumpa, pulsni prigušivač, sistem za injektovanje;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hromatografske kolone (proizvođač, informacije o karakteristikama kolona kao što su: veličina pora, vrsta materijala za odvajanje itd., broj, dužina i redosled upotrebljenih kolona);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teorijskih podova kolone (ili kombinacije), efikasnost razdvajanja (rezolucija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simetriji pikova;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kolona, način kontrole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detektor (princip merenja, vrsta, zapremina kivete);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merač protoka ukoliko je korišćen (proizvođač, princip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sistem za prikupljanje i obradu podataka (hardver, softver).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2.2.3. Kalibraciji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metode korišćene u izradi kalibracione krive;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kriterijumima kvaliteta koji se odnose na ovu metodu (npr. koeficijent korelacije, greška metodom najmanjih kvadrata,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podatke o svim primenjenim ekstrapolacijama, pretpostavkama i aproksimacijama prilikom ispitivanja, proceni i obradi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 merenja korišćena pri izradi kalibracione krive se dokumentuju u vidu tabele koja sadrži sledeće podatke za svaku kalibracionu tačku: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ime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ime proizvođača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karakteristične vrednosti standarda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onako kako ih je dostavio proizvođač ili koje su izvedene na osnovu dodatnih merenja, zajedno sa detaljima o metodi njihovog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injektovanu zapreminu i injektovanu koncentraciju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vrednost koja je korišćena za kalibraciju;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elucionu zapreminu ili korigovano retenciono vreme izmereno na maksimumu pika;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izračunato na maksimumu pika;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procentualnu grešku izračunate vrednosti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i kalibrisane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2.2.4. Proceni: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procena na osnovu retencionog vremena: metode koje se koriste da bi se obezbedila neophodna reproduktivnost (metoda korekcije, interni standardi,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podatak o tome da li je evaluacija izvršena na osnovu elucione zapremine ili na osnovu retencionog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granicama procene ako pikovi nisu potpuno analizirani;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metode poravnavanja, ukoliko su korišćene;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priprema i postupci prethodne obrade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prisustvo nerastvornih čestica, ukoliko su prisutne;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injektovana zapremina (m1) i injektovana koncentracija uzorka(mg/ml);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zapažanja koja ukazuju na efekte koji dovode do odstupanja od idealnog GPC profila;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izmena u postupku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opsezima greške;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bilo koje druge podatke i zapažanja relevantni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 SRPS ISO 13885-1:2011, Punioci za boje i lakove - Gel propustljiva hromatografija - Deo I: tetrahidrofuran kao eluent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Yau, W.W., Kirkland, J.J., and Bly, D.D. eds., (1979) Modern Size Exclusion Liquid Chromatography, J. Wiley and Sons.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ASTM D 3536-91, (1991) Standard Test Method for Molecular Weight Averages and Molecular Weight Distribution by Liquid Exclusion Chromatography (Gel Permeation Chromatography-GPC) American Society for Testing and Materials, Philadelphia, Pennsylvania.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ASTM D 5296-92, (1992) Standard Test Method for Molecular Weight Averages and Molecular Weight Distribution of Polystyrene by High Performance Size-Exclusion Chromatography. American Society for Testing and Materials, Philadelphia, Pennsylvania.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PRIMERI DRUGIH METODA ZA ODREĐIVANJE SREDNJE MOLEKULSKE MASE PO BROJNOJ ZASTUPLJENOSTI (M</w:t>
      </w:r>
      <w:r w:rsidRPr="00984859">
        <w:rPr>
          <w:rFonts w:ascii="Arial" w:eastAsia="Times New Roman" w:hAnsi="Arial" w:cs="Arial"/>
          <w:b/>
          <w:bCs/>
          <w:sz w:val="15"/>
          <w:szCs w:val="15"/>
          <w:vertAlign w:val="subscript"/>
          <w:lang w:eastAsia="sr-Latn-RS"/>
        </w:rPr>
        <w:t>n</w:t>
      </w:r>
      <w:r w:rsidRPr="00984859">
        <w:rPr>
          <w:rFonts w:ascii="Arial" w:eastAsia="Times New Roman" w:hAnsi="Arial" w:cs="Arial"/>
          <w:b/>
          <w:bCs/>
          <w:lang w:eastAsia="sr-Latn-RS"/>
        </w:rPr>
        <w:t xml:space="preserve">) ZA POLIMERE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Gel propusna hromatografija (GPC) je preporučena metoda (posebno kada je dostupan set standarda koji ima sličnu strukturu kao i polimer) za određivanje vrednosti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Kada postoje praktični problemi koji onemogućuju upotrebu ove metode ili ako se očekuje da supstanca neće ispuniti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kriterijume (što treba da bude potvrđeno) mogu se koristiti raspoložive alternativne metode, kao što su: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UPOTREBA KOLIGATIVNIH SVOJSTAVA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Ebulioskopija/krioskopija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obuhvata merenja povišenja tačke ključanja (ebulioskopija) ili sniženje tačke mržnjenja (krioskopija) rastvarača kada se doda polimer. Zasniva se na činjenici da uticaj rastvorenog polimera na tačku ključanja/mržnjenja tečnosti zavisi od molekulske mase polimera</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Primenljivost, za Mn &lt; 20.000.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Sniženje napona pare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obuhvata merenje napona pare izabrane referentne tečnosti pre i posle dodavanja poznatih količina polimera</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Primenljivost za Mn &lt; 20.000 (teoretski, u praksi limitirana vrednost).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Membranska osmometrija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se zasniva na principu osmoze, tj. prirodnoj težnji molekula rastvarača da kroz polupropustljivu membranu pređu iz razblaženog u koncentrovani rastvor da bi se uspostavila ravnoteža. Pri ispitivanju, razblaženi rastvor ima koncentraciju nula, dok koncentrovani rastvor sadrži polimer. Efekat prolaska rastvarača kroz membranu dovodi do razlike u pritiscima što zavisi od koncentracije i molekulske mase polimera</w:t>
      </w:r>
      <w:r w:rsidRPr="00984859">
        <w:rPr>
          <w:rFonts w:ascii="Arial" w:eastAsia="Times New Roman" w:hAnsi="Arial" w:cs="Arial"/>
          <w:b/>
          <w:bCs/>
          <w:sz w:val="15"/>
          <w:szCs w:val="15"/>
          <w:vertAlign w:val="superscript"/>
          <w:lang w:eastAsia="sr-Latn-RS"/>
        </w:rPr>
        <w:t>1,3,4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Primenljivost, za Mn između 20.000 i 200.000.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Osmometrija parne faze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Ova metoda podrazumeva poređenje brzine isparavanja čistog aerosola rastvarača i najmanje tri aerosola koji sadrže polimer u različitim koncentracijama</w:t>
      </w:r>
      <w:r w:rsidRPr="00984859">
        <w:rPr>
          <w:rFonts w:ascii="Arial" w:eastAsia="Times New Roman" w:hAnsi="Arial" w:cs="Arial"/>
          <w:b/>
          <w:bCs/>
          <w:sz w:val="15"/>
          <w:szCs w:val="15"/>
          <w:vertAlign w:val="superscript"/>
          <w:lang w:eastAsia="sr-Latn-RS"/>
        </w:rPr>
        <w:t>1,5,6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Primenljivost za Mn &lt; 20.000.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ANALIZA TERMINALNIH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koristila ova metoda potrebno je poznavanje strukture polimera i vrste terminalnih grupa u njegovom lancu (koje se razlikuju od osnovnog lanca npr. pomoću nuklearne magnetne rezonance (NMR) ili titracije/derivatizacije). Utvrđivanje molekulske koncentracije grupa kojima se završava polimerni lanac koristi se za utvrđivanja molekulske mase</w:t>
      </w:r>
      <w:r w:rsidRPr="00984859">
        <w:rPr>
          <w:rFonts w:ascii="Arial" w:eastAsia="Times New Roman" w:hAnsi="Arial" w:cs="Arial"/>
          <w:b/>
          <w:bCs/>
          <w:sz w:val="15"/>
          <w:szCs w:val="15"/>
          <w:vertAlign w:val="superscript"/>
          <w:lang w:eastAsia="sr-Latn-RS"/>
        </w:rPr>
        <w:t>7,8,9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Primenljivost za Mn do 50.000 (uz smanjenu pouzdanost).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Billmeyer, F.W. Jr., (1984). Textbook of Polymer Science, 3rd Edn., John Wiley,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Glover, C.A., (1975). Absolute Colligative Property Methods. Chapter 4. In: Polymer Molecular Weights, Part I P.E. Slade, Jr. ed., Marcel Dekker,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ASTM D 3750-79, (1979). Standard Practice for Determination of Number-Average Molecular Weightof Polymers by Membrane Osmometry. American Society for Testing and Materials, Philadelphia, Pennsylvania.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Coll, H. (1989). membrane Osmometry. In: Determination of Molecular Weight, A.R. Cooper ed., J.Wiley and Sons, pp. 25-52.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ASTM 3592-77, (1977). Standard Recommended Practice for Determination of Molecular Weight by Vapour Pressure, American Society for Testing and Materials, Philadelphia, Pennsylvania.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Morris, C.E.M., (1989). Vapour Pressure osmometry. In: Determinationn of Molecular Weight, A.R.Cooper ed., John Wiley and Sons.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Schröder, E., Müller, G., and Arndt, K-F., (1989). Polymer Characterisation, Carl Hanser Verlag, Munich.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Garmon, R.G., (1975). End-Group Determinations, Chapter 3 In: Polymer Molecular Weights, Part I, P.E. Slade, Jr. ed. Marcel Dekker,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Amiya, S., et al. (1990). Pure and Applied Chemistry, 62, 2139-2146.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A.19. SADRŽAJ MOLEKULA SA MALIM MOLEKULSKIM MASAMA U POLIMERU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gel propusne hromatografije zasniva se na Uputstvu za ispitivanje OECD 119 (1996). Osnovni principi metode i detaljnije tehničke informacije date su u literaturi.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Polimeri imaju različita svojstva. Zbog navedenog nemoguće je dati jednu metodu koja postavlja precizne uslove za razdvajanje i procenu i koja pokriva sve mogućnosti i sve specifičnosti koje se javljaju tokom razdvajanja polimera.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Posebno važi za složene polimerne sisteme na koje se često ne može primeniti gel propusna hromatografija (Gel permeation chromatography, u daljem tekstu: GPC). Kada nije moguće primeniti GPC molekulska masa se određuje primenom drugih metoda (videti Deo drugi ove metode). U takvim slučajevima opisuju se svi detalji i navode razlozi zbog kojih se koristi druga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Opisana metoda zasniva se na Standardu SRPS ISO 13885</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Detaljne informacije o izvođenju eksperimenta i načinu procene dobijenih podataka date su u navedenom standardu. U slučaju da je neophodno izvršiti izmenu eksperimentalnih uslova, ove izmene se opravdavaju. Koriste se i drugi standardi ukoliko su potpuno navedeni u literaturi. Metoda koja je data koristi polistirenske uzorke poznate polidisperzivnosti za kalibraciju, ali se modifikuje, ako je neophodno, kako bi odgovarala određenim polimerima, npr. polimerima rastvornim u vodi ili dugolančanim razgranatim polimerima.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Molekuli sa malim molekulskim masama jesu molekuli sa molekulskom masom ispod 1.000 daltona.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Srednja molekulska masa po brojnoj zastupljenosti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i srednja molekulska masa po masenoj zastupljenosti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određuju se prema jednačinama: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7CC361FB" wp14:editId="6E92D0F1">
            <wp:extent cx="5172075" cy="1123950"/>
            <wp:effectExtent l="0" t="0" r="9525" b="0"/>
            <wp:docPr id="9" name="Picture 9" descr="C:\Program Files (x86)\ParagrafLex\browser\Files\Old\t\t2013_12\t12_0570_s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 (x86)\ParagrafLex\browser\Files\Old\t\t2013_12\t12_0570_s05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2075" cy="11239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nivo signala detektora od bazne linije za retencionu zapreminu V</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molekulska masa frakcije polimera pri retencionoj zapremini V</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 jeste broj relevantnih tačaka.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Opseg raspodele molekulskih masa koji predstavlja meru disperzije sistema dat je kroz odnos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GPC je relativna metoda. Zbog navedenog se vrši kalibracija. Za kalibraciju se najčešće koriste standardi linearnog polistirena sa poznatim prosečnim molekulskim masama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i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i sa poznatom uskom distribucijom molekulske mase. Kalibraciona kriva se koristi samo za određivanje molekulske mase nepoznatog uzorka ukoliko su uslovi za razdvajanje uzorka i standarda odabrani na identičan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Određeni odnos molekulske mase i elucione zapremine validan je samo pod specifičnim uslovima određenog eksperimenta. Ovi uslovi obuhvataju, između ostalog, temperaturu, rastvarač (ili smešu rastvarača), uslove hromatografije i kolonu za razdvajanje ili sistem kolona.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Molekulske mase uzorka utvrđene na ovaj način jesu relativne vrednosti i nazivaju se: "molekulske mase koje odgovaraju polistirenu". Navedeno znači da u zavisnosti od strukturnih i hemijskih razlika između uzorka i standarda, molekulske mase mogu da odstupaju od apsolutnih vrednosti u manjoj ili većoj meri. Ukoliko se koriste drugi standardi, npr. poli(etilenglikol), poli(etilenoksid), poli(metil-metakrilat), poliakrilna kiselina, navode se i razlozi za njihovo korišćenje.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GPC metodom određuje se raspodela molekulske mase uzorka i srednje molekulske mase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i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GPC jeste posebna vrsta tečne hromatografije kod koje se uzorak razdvaja na osnovu hidrodinamičkih zapremina pojedinačnih sastojaka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Razdvajanje se zasniva na prolasku uzorka kroz kolonu ispunjenu nekim poroznim materijalom, obično nekim organskim gelom. Manji molekuli mogu da uđu u pore dok veliki molekuli prolaze bez zadržavanja. Put koji prolaze veći molekuli je kraći te oni prvi silaze sa kolone. Molekuli srednje veličine ulaze u neke od pora i oni kasnije silaze sa kolone. Najmanji molekuli, sa prosečnim hidrodinamičkim poluprečnikom manjim od pora gela, mogu da uđu u sve pore. Stoga oni poslednji silaze sa kolone.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idealnim uslovima na razdvajanje utiče samo veličina molekula, ali u praksi je teško izbeći uticaj apsorpciopnih efekata. Neujednačena pakovanja kolona i mrtve zapremine mogu da pogoršaju situaciju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Detekcija se vrši pomoću indeksa refrakcije ili UV apsorpcije, a rezultat je prosta kriva raspodele. Da bi se na krivu unele stvarne molekulske mase neophodno je da kolone budu kalibrisane tako što će kroz njih proći polimeri čija je molekulska masa poznata i, koji u idealnim uslovima, imaju sličnu strukturu kao što su različiti polistirenski standardi. Najčešće se dobija Gausova kriva, koju ponekad narušava mali rep na kraju na kome se nalaze male molekulske mase. Vertikalna osa krive predstavlja količinu, po težini, eluiranih molekula različitih masa, dok horizontalna osa predstavlja logaritamsku vrednost molekulskih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molekula malih molekulskih masa očitava se sa navedene krive. Ovo računsko izvođenje je tačno samo ako molekuli različitih malih molekulskih masa odgovaraju, na osnovu mase, polimeru kao celini.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Ponovljivost (Relativna standardna devijacija) elucione zapremine treba da bude veća od 0,3%. Zahtevana ponovljivost analiza obezbeđuje se korekcijom internim standardom ukoliko se hromatogram procenjuje na osnovu retencionih vremena i ne odgovara navedenom kriterijumu</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Polidisperzivnost zavisi od molekulskih masa standarda. Tipične vrednosti za polistirenske standarde su: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450"/>
        <w:gridCol w:w="5662"/>
      </w:tblGrid>
      <w:tr w:rsidR="00984859" w:rsidRPr="00984859" w:rsidTr="00984859">
        <w:trPr>
          <w:tblCellSpacing w:w="0" w:type="dxa"/>
        </w:trPr>
        <w:tc>
          <w:tcPr>
            <w:tcW w:w="334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Mp &lt; 2000 </w:t>
            </w:r>
          </w:p>
        </w:tc>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Mw/Mn &lt; 1.20 </w:t>
            </w:r>
          </w:p>
        </w:tc>
      </w:tr>
      <w:tr w:rsidR="00984859" w:rsidRPr="00984859" w:rsidTr="00984859">
        <w:trPr>
          <w:tblCellSpacing w:w="0" w:type="dxa"/>
        </w:trPr>
        <w:tc>
          <w:tcPr>
            <w:tcW w:w="334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2000 ≤ Mp ≤ 10</w:t>
            </w:r>
            <w:r w:rsidRPr="00984859">
              <w:rPr>
                <w:rFonts w:ascii="Arial" w:eastAsia="Times New Roman" w:hAnsi="Arial" w:cs="Arial"/>
                <w:sz w:val="15"/>
                <w:szCs w:val="15"/>
                <w:vertAlign w:val="superscript"/>
                <w:lang w:eastAsia="sr-Latn-RS"/>
              </w:rPr>
              <w:t>6</w:t>
            </w:r>
          </w:p>
        </w:tc>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Mw/Mn &lt; 1.05 </w:t>
            </w:r>
          </w:p>
        </w:tc>
      </w:tr>
      <w:tr w:rsidR="00984859" w:rsidRPr="00984859" w:rsidTr="00984859">
        <w:trPr>
          <w:tblCellSpacing w:w="0" w:type="dxa"/>
        </w:trPr>
        <w:tc>
          <w:tcPr>
            <w:tcW w:w="334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Mp &gt; 10</w:t>
            </w:r>
            <w:r w:rsidRPr="00984859">
              <w:rPr>
                <w:rFonts w:ascii="Arial" w:eastAsia="Times New Roman" w:hAnsi="Arial" w:cs="Arial"/>
                <w:sz w:val="15"/>
                <w:szCs w:val="15"/>
                <w:vertAlign w:val="superscript"/>
                <w:lang w:eastAsia="sr-Latn-RS"/>
              </w:rPr>
              <w:t xml:space="preserve">6 </w:t>
            </w:r>
          </w:p>
        </w:tc>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Mw/Mn &lt; 1.20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jeste molekulska masa standarda na maksimumu pika.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standardnih rastvora polistirena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Standardi polistirena rastvaraju se pažljivim mešanjem u izabranom eluentu. Pri pripremanju rastvora uzimaju se u obzir preporuke proizvođača. Koncentracije izabranih standarda zavise od različitih faktora, npr. zapremine koja se injektuje, viskoziteta rastvora i osetljivosti analitičkog detektora. Maksimalna zapremina koja se injektuje prilagođena je dužini kolone, tako da se izbegne preopterećenje.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Tipične zapremine injektiranja za analitička razdvajanja u metodi gel propusne hromatografije, sa kolonama dimenzija 30 cm x 7,8 mm, kreću se između 40 ml i 100 ml. Moguće su i veće zapremine, ali one ne bi trebalo da prelaze 250 ml. Optimalni odnos između injektovane zapremine i koncentracije određuje se pre kalibracije kolona.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Priprema rastvora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pripremu rastvora uzorka primenjuju se isti zahtevi kao i za pripremu standardnih rastvora. Uzorak se rastvara u odgovarajućem rastvaraču, npr. tetrahidrofuranu (u daljem tekstu: THF), pažljivim mućkanjem. Ne preporučuje se korišćenje ultrazvučne kade za rastvaranje. Kada je neophodno, rastvor uzorka se prečišćava pomoću membranskog filtera veličine pora između 0,2 mm i 2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Prisustvo nerastvornih čestica navodi se u završnom izveštaju jer se one mogu pojaviti usled prisustva čestica velike molekulske mase. Za određivanje masenog procenta nerastvornih čestica primenjuje se odgovarajuća metoda. Rastvori se koriste u roku od 24 h.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Korekcija sadržaja zbog prisutnih nečistoća i aditiva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vrši korekcija sadržaja molekula čija je M &lt; 1.000 zbog udela specifičnih komponenti koje nisu polimeri, a koje su prisutne u rastvoru (npr. nečistoće i/ili aditivi), izuzev ukoliko izmereni sadržaj nije &lt; 1%. Ovo se postiže direktnim analizama rastvora polimera ili eluata. U slučajevima kada je eluent, nakon prolaska kroz kolonu, previše razblažen da bi se mogao analizirati, on se koncentruje. Nekada treba eluent upariti do suvog, pa zatim ponovo rastvoriti. Koncentrovanje eluenta se vrši pod takvim uslovima da se spreče sve moguće izmene njegovog sastava. Obrada eluenta dobijenog metodom gel propusne hromatografije zavisi od analitičke metode koja se koristi za kvantitativno određivanje.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GPC aparatura se sastoji 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posude za rastvarač;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uređaja za degaziranje (kada je neophodno);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pumpe;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pulsnog prigušivača (kada je neophodno);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sistema za injektovanje;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hromatografske kolone;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detektora;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merača protoka (kada je neophodno);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procesora za prikupljanje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posude za prikupljanje otpada.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obezbediti da GPC sistem bude inertan prema korišćenom rastvaraču (npr. upotreba čeličnih kapilara za THF kao rastvarač).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Sistem za injektovanje i uvođenje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Određena zapremina rastvora uzorka uvodi se u kolonu pomoću automatskog unošenja uzorka ili ručno u precizno određenoj zoni. Prebrzo povlačenje ili pritiskanje klipa šprica, ukoliko se vrši ručno, može dovesti do promena u ispitivanoj raspodeli molekulske mase. Sistem za uvođenje rastvarača treba, u najvećoj mogućoj meri, da bude oslobođen od pulsiranja, ako je moguće tako što će sadržati pulsni prigušivač. Brzina protoka treba da bude u okviru 1 ml/min.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1.6.6. Kolona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zavisnosti od uzorka, određivanje polimera vrši se upotrebom ili jedne kolone ili više međusobno povezanih kolona u nizu. Komercijalno su dostupni brojni porozni materijali za kolone sa definisanim svojstvima (npr. veličina pora, ekskluzioni limit (gornja granica molekulske mase iznad koje će se molekuli eluirati u retencionoj zapremini)) Izbor gela za razdvajanje ili dužina kolone zavise od svojstava uzorka (hidrodinamičke zapremine, raspodele molekulske mase) i od specifičnih uslova za razdvajanje kao što su rastvarač, temperatura i brzina protoka</w:t>
      </w:r>
      <w:r w:rsidRPr="00984859">
        <w:rPr>
          <w:rFonts w:ascii="Arial" w:eastAsia="Times New Roman" w:hAnsi="Arial" w:cs="Arial"/>
          <w:b/>
          <w:bCs/>
          <w:sz w:val="15"/>
          <w:szCs w:val="15"/>
          <w:vertAlign w:val="superscript"/>
          <w:lang w:eastAsia="sr-Latn-RS"/>
        </w:rPr>
        <w:t>1,2,3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1.6.7. Teorijski podovi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kolonu ili kombinaciju kolona koje se koriste za razdvajanje određuje se broj teorijskih podova. To podrazumeva, u slučaju primene THF kao rastvarača, nanošenje rastvora etil-benzena ili neke druge odgovarajuće nepolarne supstance na kolonu poznate dužine. Broj teorijskih podova određuje se pomoću jednačine: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1166AA03" wp14:editId="2A94DD54">
            <wp:extent cx="4619625" cy="685800"/>
            <wp:effectExtent l="0" t="0" r="9525" b="0"/>
            <wp:docPr id="8" name="Picture 8" descr="C:\Program Files (x86)\ParagrafLex\browser\Files\Old\t\t2013_12\t12_0570_s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Program Files (x86)\ParagrafLex\browser\Files\Old\t\t2013_12\t12_0570_s053.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9625" cy="6858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 jeste broj teorijskih podova;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V</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jeste eluciona zapremina na maksimumu pika;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W</w:t>
      </w:r>
      <w:r w:rsidRPr="00984859">
        <w:rPr>
          <w:rFonts w:ascii="Arial" w:eastAsia="Times New Roman" w:hAnsi="Arial" w:cs="Arial"/>
          <w:lang w:eastAsia="sr-Latn-RS"/>
        </w:rPr>
        <w:t xml:space="preserve"> jeste širina pika na baznoj liniji;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lastRenderedPageBreak/>
        <w:t>W</w:t>
      </w:r>
      <w:r w:rsidRPr="00984859">
        <w:rPr>
          <w:rFonts w:ascii="Arial" w:eastAsia="Times New Roman" w:hAnsi="Arial" w:cs="Arial"/>
          <w:sz w:val="15"/>
          <w:szCs w:val="15"/>
          <w:vertAlign w:val="subscript"/>
          <w:lang w:eastAsia="sr-Latn-RS"/>
        </w:rPr>
        <w:t>1/2</w:t>
      </w:r>
      <w:r w:rsidRPr="00984859">
        <w:rPr>
          <w:rFonts w:ascii="Arial" w:eastAsia="Times New Roman" w:hAnsi="Arial" w:cs="Arial"/>
          <w:lang w:eastAsia="sr-Latn-RS"/>
        </w:rPr>
        <w:t xml:space="preserve"> jeste širina pika na polovini visine.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1.6.8. Efikasnost razdvajanja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Pored broja teorijskih podova koji kvantitativno određuje širinu traka, važnu ulogu ima efikasnost razdvajanja koja je određena nagibom kalibracione krive. Efikasnost razdvajanja kolone dobija se na osnovu odnosa: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2BFBA7C0" wp14:editId="705F281F">
            <wp:extent cx="4762500" cy="638175"/>
            <wp:effectExtent l="0" t="0" r="0" b="9525"/>
            <wp:docPr id="7" name="Picture 7" descr="C:\Program Files (x86)\ParagrafLex\browser\Files\Old\t\t2013_12\t12_0570_s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Program Files (x86)\ParagrafLex\browser\Files\Old\t\t2013_12\t12_0570_s054.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6381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V</w:t>
      </w:r>
      <w:r w:rsidRPr="00984859">
        <w:rPr>
          <w:rFonts w:ascii="Arial" w:eastAsia="Times New Roman" w:hAnsi="Arial" w:cs="Arial"/>
          <w:sz w:val="15"/>
          <w:szCs w:val="15"/>
          <w:vertAlign w:val="subscript"/>
          <w:lang w:eastAsia="sr-Latn-RS"/>
        </w:rPr>
        <w:t xml:space="preserve">e.Mx </w:t>
      </w:r>
      <w:r w:rsidRPr="00984859">
        <w:rPr>
          <w:rFonts w:ascii="Arial" w:eastAsia="Times New Roman" w:hAnsi="Arial" w:cs="Arial"/>
          <w:lang w:eastAsia="sr-Latn-RS"/>
        </w:rPr>
        <w:t>jeste eluciona zapremina polistirena molekulske mase M</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V</w:t>
      </w:r>
      <w:r w:rsidRPr="00984859">
        <w:rPr>
          <w:rFonts w:ascii="Arial" w:eastAsia="Times New Roman" w:hAnsi="Arial" w:cs="Arial"/>
          <w:sz w:val="15"/>
          <w:szCs w:val="15"/>
          <w:vertAlign w:val="subscript"/>
          <w:lang w:eastAsia="sr-Latn-RS"/>
        </w:rPr>
        <w:t xml:space="preserve">e(10Mx) </w:t>
      </w:r>
      <w:r w:rsidRPr="00984859">
        <w:rPr>
          <w:rFonts w:ascii="Arial" w:eastAsia="Times New Roman" w:hAnsi="Arial" w:cs="Arial"/>
          <w:lang w:eastAsia="sr-Latn-RS"/>
        </w:rPr>
        <w:t xml:space="preserve">jeste eluciona zapremina polistirena sa deset puta većom molekulskom masom.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Rezolucija sistema definiše se kao: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0D931005" wp14:editId="5DDA52BA">
            <wp:extent cx="3105150" cy="828675"/>
            <wp:effectExtent l="0" t="0" r="0" b="9525"/>
            <wp:docPr id="6" name="Picture 6" descr="C:\Program Files (x86)\ParagrafLex\browser\Files\Old\t\t2013_12\t12_0570_s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gram Files (x86)\ParagrafLex\browser\Files\Old\t\t2013_12\t12_0570_s05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5150" cy="8286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V</w:t>
      </w:r>
      <w:r w:rsidRPr="00984859">
        <w:rPr>
          <w:rFonts w:ascii="Arial" w:eastAsia="Times New Roman" w:hAnsi="Arial" w:cs="Arial"/>
          <w:sz w:val="15"/>
          <w:szCs w:val="15"/>
          <w:vertAlign w:val="subscript"/>
          <w:lang w:eastAsia="sr-Latn-RS"/>
        </w:rPr>
        <w:t>e1</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V</w:t>
      </w:r>
      <w:r w:rsidRPr="00984859">
        <w:rPr>
          <w:rFonts w:ascii="Arial" w:eastAsia="Times New Roman" w:hAnsi="Arial" w:cs="Arial"/>
          <w:sz w:val="15"/>
          <w:szCs w:val="15"/>
          <w:vertAlign w:val="subscript"/>
          <w:lang w:eastAsia="sr-Latn-RS"/>
        </w:rPr>
        <w:t>e2</w:t>
      </w:r>
      <w:r w:rsidRPr="00984859">
        <w:rPr>
          <w:rFonts w:ascii="Arial" w:eastAsia="Times New Roman" w:hAnsi="Arial" w:cs="Arial"/>
          <w:lang w:eastAsia="sr-Latn-RS"/>
        </w:rPr>
        <w:t xml:space="preserve"> jesu elucione zapremine dva polistirenska standarda na maksimumu pika;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W</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W</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jesu širine pikova na baznoj liniji;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M</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M</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jesu molekulske mase na maksimumu pika (treba da se razlikuju za faktor 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R-vrednost za sistem kolona treba da bude veća od 1,7</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1.6.9. Rastvarači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 rastvarači treba da budu visoke čistoće (koristi se THF čistoće 99,5%). Posuda za rastvarač (ukoliko je neophodno u atmosferi inertnog gasa) treba da bude dovoljna za kalibraciju kolone i nekoliko analiza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Rastvarač se degazira pre nego što se ubaci u kolonu uz pomoć pumpe.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1.6.10. Kontrola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kritičnih unutrašnjih delova (petlje za injektovanje, kolone, detektor i cevi) treba da bude konstantna i u skladu sa izabranim rastvaračem.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1.6.11. Detektor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Svrha detektora je da beleži koncentraciju uzorka eluiranog sa kolone. Da bi se izbeglo nepotrebno širenje pikova, zapremina kivete ćelije detektora treba da bude što je moguće manja. Ona ne sme da bude veća od 10 ml osim u slučaju detektora zasnovanih na rasipanju svetlosti i viskoznosti. Za detekciju se najčešće koristi diferencijalna refraktometrija. Ukoliko uzorak ili rastvarač imaju neka posebna svojstva, mogu se koristiti i drugi tipovi detektora, npr. UV/VIS, IC, detektori viskoznosti i dr.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Standard SRPS ISO 13885</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služi kao literatura za detalje o kriterijumima za procenu kao i u vezi zahteva koji se odnose na prikupljanje i obradu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svaki uzorak se vrše dva nezavisna eksperimenta. Oni se odvojeno analiziraju. U svim slučajevima važno je izvršiti ispitivanje slepe probe pod istim uslovima kao i uzorak.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jasno naznačiti da su izmerene vrednosti relativne vrednosti ekvivalentne molekulskim masama korišćenih standarda.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Nakon što se odrede retencione zapremine ili retenciona vremena (mogu se korigovati pomoću internih standarda) na grafik se ucrtavaju ove vrednosti prema logaritmu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vrednosti (pri čemu je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maksimum pika kalibracionog standarda). Potrebne su najmanje dve kalibracione tačke u dekadnom opsegu molekulskih masa (1 kD-10 kD, 10 kD-100 kD, 100 kD-1.000 kD) i najmanje pet mernih tačaka za ceo grafik koje pokrivaju raspon očekivanih molekulskih masa. Završna tačka malih molekulskih masa koja se nalazi na kraju kalibracione krive definiše se pomoću </w:t>
      </w:r>
      <w:r w:rsidRPr="00984859">
        <w:rPr>
          <w:rFonts w:ascii="Arial" w:eastAsia="Times New Roman" w:hAnsi="Arial" w:cs="Arial"/>
          <w:i/>
          <w:iCs/>
          <w:lang w:eastAsia="sr-Latn-RS"/>
        </w:rPr>
        <w:t>n</w:t>
      </w:r>
      <w:r w:rsidRPr="00984859">
        <w:rPr>
          <w:rFonts w:ascii="Arial" w:eastAsia="Times New Roman" w:hAnsi="Arial" w:cs="Arial"/>
          <w:lang w:eastAsia="sr-Latn-RS"/>
        </w:rPr>
        <w:t>-heksilbenzena ili nekog drugog odgovarajućeg nepolarnog rastvarača. Deo krive koji odgovara molekulskim masama ispod 1.000 kD određuje se i koriguje ako je potrebno zbog sadržaja nečistoća i aditiva. Podaci sa krive eluiranja uglavnom se obrađuju elektronski, ali se mogu vršiti i ručna izračunavanja</w:t>
      </w:r>
      <w:r w:rsidRPr="00984859">
        <w:rPr>
          <w:rFonts w:ascii="Arial" w:eastAsia="Times New Roman" w:hAnsi="Arial" w:cs="Arial"/>
          <w:b/>
          <w:bCs/>
          <w:sz w:val="15"/>
          <w:szCs w:val="15"/>
          <w:vertAlign w:val="superscript"/>
          <w:lang w:eastAsia="sr-Latn-RS"/>
        </w:rPr>
        <w:t>XXVII</w:t>
      </w:r>
      <w:r w:rsidRPr="00984859">
        <w:rPr>
          <w:rFonts w:ascii="Arial" w:eastAsia="Times New Roman" w:hAnsi="Arial" w:cs="Arial"/>
          <w:lang w:eastAsia="sr-Latn-RS"/>
        </w:rPr>
        <w:t xml:space="preserve">. Ukoliko se u koloni zadržao neki od nerastvornih polimera, njegova molekulska masa je verovatno veća od one koju ima rastvorna frakcija, i ukoliko se zanemari može doći do loše procene sadržaja molekula sa malim molekulskim masama.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Uputstvo za korigovanje sadržaja molekula sa malim molekulskim masama kod nerastvornih polimera dato je u Delu drugom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Kriva raspodele se daje u obliku tabele ili slike (diferencijalna frekvencija ili zbir iznosa u procentima prema vrednosti log M). Kod grafičkog prikaza jedan dekadni opseg molekulskih masa treba da bude širine oko 4 cm, a maksimalna visina pika da iznosi 8 cm. U slučaju integraljenja krive raspodele razmak ordinate između 0% i 100% treba da bude oko 10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XXVII</w:t>
      </w:r>
      <w:r w:rsidRPr="00984859">
        <w:rPr>
          <w:rFonts w:ascii="Arial" w:eastAsia="Times New Roman" w:hAnsi="Arial" w:cs="Arial"/>
          <w:lang w:eastAsia="sr-Latn-RS"/>
        </w:rPr>
        <w:t xml:space="preserve"> Koristi se ASTM D 3536-91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poznate podatke o ispitivanoj supstanci (identitet, aditivi,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obrade uzorka, zapažanja problemi.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2.2.2. Instrumentima: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posuda za rastvarač, inertni gas, degaziranje eluenta, sastav eluenta, nečistoće;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pumpa, pulsni prigušivač, sistem za injektovanje;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hromatografske kolone (proizvođač, informacije o karakteristikama kolona, kao što su veličina pora, vrsta materijala za odvajanje itd., broj, dužina i redosled upotrebljenih kolona);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teorijskih podova kolone (ili kombinacije), efikasnost razdvajanja (rezolucija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simetriji pikova;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kolona, način kontrole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detektor (princip merenja, vrsta, zapremina kivete);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merač protoka ukoliko je korišćen (proizvođač, princip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sistem za prikupljanje i obradu podataka (hardver i softver).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2.2.3. Kalibraciji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metode korišćene u izradi kalibracione krive;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kriterijumima kvaliteta koji se odnose na ovu metodu (npr. koeficijent korelacije, greška metodom najmanjih kvadrata,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svim primenjenim ekstrapolacijama, pretpostavkama i aproksomacijama prilikom ispitivanja, proceni i obradi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 merenja korišćena pri izradi kalibracione krive se dokumentuju u vidu tabele koja sadrži sledeće podatke za svaku kalibracionu tačku: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ime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ime proizvođača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karakteristične vrednosti standarda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onako kako ih je dostavio proizvođač ili koje su izvedene na osnovu dodatnih merenja zajedno sa detaljima o metodi njihovog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injektovana zapremina i injektovana koncentracija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vrednost koja je korišćena za kalibraciju;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eluciona zapremina ili korigovano retenciono vreme izmereno na maksimumu pika;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izračunato na maksimumu pika;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procentualna greška izračunate vrednosti M</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i kalibrisane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2.2.4. Sadržaju molekula sa malim molekulskim masama: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korišćene metode i način na koji su izvršeni eksperimenti;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procentu molekula sa malim molekulskim masama (m/m) u odnosu na ceo uzorak;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nečistoćama, aditivima i drugim vrstama koje nisu polimeri izražene kao maseni procenat u odnosu na ceo uzorak.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2.2.5. Proceni: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procena na osnovu retencionog vremena: sve metode koje obezbeđuju zahtevanu reproduktivnost (metoda korekcije, interni standardi i dr.);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podatak o tome da li je procena izvršena na osnovu elucione zapremine ili na osnovu retencionog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ograničenjima procene ako pikovi nisu potpuno analizirani;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metode poravnavanja, ukoliko su korišćene;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priprema i prethodna obrada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prisustvo nerastvornih čestica, ukoliko ih 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injektovana zapremina (m1) i koncentracija injektovanog uzorka (mg/ml);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zapažanja koja se odnose na uticaje koji dovode do odstupanja od idealnog profila gel propusne hromatografije;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izmena postupka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opsezima greške;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druge podatke i zapažanja relevantne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SRPS ISO 13885-1:2011, Punioci za boje i lakove - Gel propustljiva hromatografija - Deo I: tetrahidrofuran kao eluent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Yau, W.W., Kirkland, J.J., and Bly, D.D. eds, (1979). Modern Size Exclusion Liquid Chromatography, J. Wiley and Sons.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ASTM D 3536-91, (1991) Standard Test Method for Molecular Weight Averages and Molecular Weight Distribution by Liquid Exclusion Chromatography (Gel Permeation Chromatography-GPC). American Society for Testing and Materials, Philadelphia, Pennsylvania.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ASTM D 5296-92, (1992). Standard Test Method for Molecular Weight Averages and Molecular Weight Distribution of Polystyrene by High Performance Size-Exclusion Chromatography. American Society for Testing and Materials, Philadelphia, Pennsylvania.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UPUTSTVO ZA KORIGOVANJE SADRŽAJA MOLEKULA SA MALIM MOLEKULSKIM MASAMA ZBOG PRISUSTVA NERASTVORNIH POLIMERA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u uzorku prisutan nerastvorni polimer dolazi do gubitka mase u toku GPC analize. Nerastvorni polimer ireverzibilno se zadržava na koloni ili filteru dok njegov rastvorni deo prolazi kroz kolonu. U slučaju kada se može izmeriti ili pretpostaviti povećanje indeksa refrakcije (dn/dc) polimera, moguće je proceniti gubitak mase uzorka na koloni. U tom slučaju vrši se korekcija korišćenjem eksterne kalibracije sa standardnim materijalima poznate koncentracije i dn/dc da bi se kalibrisao odgovor refraktometra. U primeru koji sledi korišćen je standard poli(metil-metakrilata) (pMMA).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eksterne kalibracije u analizi akrilnih polimera, pMMA standard poznate koncentracije u tetrahidrofuranu analizira se gel propusnom hromatografijom, a dobijeni rezultati koriste se za izračunavanje konstante refraktometra na osnovu jednačine: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 = R/(C x V x dn/dc)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 jeste konstantna refraktometra (u mikrovoltima / sekund/ml);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 jeste odgovor pMMA standarda/ (u mikrovoltima / sekund);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 jeste koncentracija pMMA standarda (u mg/ml);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jeste injektovana zapreminu (u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dn/dc jeste uvećanje indeksa refrakcije za pMMA u tetrahidrofuranu (u ml/mg).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pMMA standard tipične vrednosti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 = 2 937 891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 = 1.07 mg/ml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 0,1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dn/dc = 9 x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ml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ovaj način dobijena vrednost K, 3.05 x 10</w:t>
      </w:r>
      <w:r w:rsidRPr="00984859">
        <w:rPr>
          <w:rFonts w:ascii="Arial" w:eastAsia="Times New Roman" w:hAnsi="Arial" w:cs="Arial"/>
          <w:sz w:val="15"/>
          <w:szCs w:val="15"/>
          <w:vertAlign w:val="superscript"/>
          <w:lang w:eastAsia="sr-Latn-RS"/>
        </w:rPr>
        <w:t>11</w:t>
      </w:r>
      <w:r w:rsidRPr="00984859">
        <w:rPr>
          <w:rFonts w:ascii="Arial" w:eastAsia="Times New Roman" w:hAnsi="Arial" w:cs="Arial"/>
          <w:lang w:eastAsia="sr-Latn-RS"/>
        </w:rPr>
        <w:t xml:space="preserve"> koristi se da se izračuna teorijski odgovor detektora ukoliko je 100% injektovanog polimera izdvojeno preko detektora.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A.20. PONAŠANJE POLIMERA U VODI (RASTVORLJIVOST/EKSTRAKTIVNOST)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zasniva se na revidiranoj verziji Uputstva za ispitivanje OECD 120 (1997). Detaljnije tehničke informacije date su u literaturi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pojedine polimere, kao što su emulzioni polimeri, da bi se koristila ova metoda potrebna je prethodna priprema. Metoda se ne primenjuje na tečne polimere niti na polimere koji reaguju sa vodom pri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ispitivanje ovom metodom nije moguće ili nije praktično za izvođenje, ponašanje rastvorljivosti/ekstraktivnosti ispituje se drugim metodama. U takvim slučajevima navode se svi detalji i razlozi korišćenja tih metoda.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Ponašanje polimera u vodenoj sredini rastvorljivost/ekstraktivnost određuje se primenom metode staklenog suda (videti metodu A.6. Rastvorljivost u vodi, metoda staklenog suda, koja je data u ovom prilogu) sa izmenama koje su date u ovoj metodi.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ovu metodu neophodno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mlevenje, tj. mlin za proizvodnju čestica poznatih veličina;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aparat za mešanje sa mogućnošću kontrolisanja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membranski sistem za filtriranje;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odgovarajuća analitička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standardizovana sita.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Priprema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Reprezentativni uzorak se prvo pomoću odgovarajućih sita svede na čestice veličine od 0,125 mm do 0,25 mm. Nekada je potrebno ohladiti uzorak zbog njegove stabilnosti ili procesa mlevenja. Gumasti materijali mogu se usitniti na temperaturi tečnog azota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nije moguće dobiti čestice traženih veličina, materijal se usitnjava što je više moguće, a postignut rezultat navodi se u izveštaju. U izveštaju se navodi način na koji je samleveni uzorak čuvan pre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 uzorka po 10 g supstance koja se ispituje odmeri se u svaku od tri posude sa staklenim zapušačima i doda 1.000 ml vode u svaku posudu. Ako se količina od 10 g polimera pokaže </w:t>
      </w:r>
      <w:r w:rsidRPr="00984859">
        <w:rPr>
          <w:rFonts w:ascii="Arial" w:eastAsia="Times New Roman" w:hAnsi="Arial" w:cs="Arial"/>
          <w:lang w:eastAsia="sr-Latn-RS"/>
        </w:rPr>
        <w:lastRenderedPageBreak/>
        <w:t xml:space="preserve">nepodesnom, koristi se sledeća najveća količina sa kojom se može raditi. Količinu vode prilagođava se u skladu sa tim.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Posude se čvrsto zapuše i zatim mućkaju na 20° C. Koriste se uređaji za mućkanje ili mešanje koji mogu da rade na konstantnoj temperaturi. Nakon 24 časa, sadržaj svake posude se centrifugira ili filtrira, a koncentracija polimera u bistrom vodenom sloju određuje se odgovarajućom analitičkom metodom.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ne postoje odgovarajuće analitičke metode za određivanje polimera u vodenoj fazi, ukupna rastvorljivost - ekstraktivnost procenjuje se iz mase osušenog taloga sa filtera ili osušenog taloga dobijenog centrifugiranjem.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Najčešće je potrebno da se napravi kvantitativna razlika između nečistoća i aditiva sa jedne strane, i polimera sa malim molekulskim masama sa druge strane. U slučaju gravimetrijskog određivanja važno je ispitati slepu probu u kojoj ispitivana supstanca nije prisutna, kako bi se izračunao talog koji nastaje u eksperimentalnom postupku.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Rastvorljivost/ekstraktivnost - ponašanje polimera u vodi na 37° C na pH 2 i pH 9 određuje se na isti način kao što je opisano za eksperiment na 20° C. pH vrednosti postižu se dodavanjem ili odgovarajućih pufera, ili odgovarajućih kiselina ili baza kao što su hlorovodonična kiselina, sirćetna kiselina, natrijum ili kalijum hidroksid analitičke čistoće ili NH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zavisnosti od primenjene metode analize, vrši se jedno ili dva ispitivanja. Kada postoji dovoljno specifičnih metoda za direktnu analizu polimera u vodenoj fazi, dovoljno je jedno ispitivanje. Kada navedene metode ne postoje i kada je određivanje ponašanja polimera rastvorljivosti/ekstraktivnosti ograničeno na indirektne analize kojima se određuje samo ukupni sadržaj organskog ugljenika (Total organic carbon, u daljem tekstu: TOC) vodenog ekstrakta, vrše se i dodatna ispitivanja. Dodatno ispitivanje se vrši na tri uzorka, koristeći deset puta manje količine uzorka polimera i iste količine vode kao u prvom ispitivanju.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Analiza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1.5.4.1. Ispitivanje izvršeno sa jednom količinom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Postoje metode za direktnu analizu komponenti polimera u vodenom ekstraktu. Alternativno se razmatra indirektna analiza rastvorenih/ekstrahovanih komponenti polimera određivanjem ukupnog sadržaja rastvornih komponenti korigovanog za nepolimerne komponente.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 ukupnog sadržaja polimernih vrsta u vodenom ekstraktu izvodi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ili dovoljno osetljivom metodom odnosno: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TOC koristeći digestiju persulfatom ili dihromatom za prevođenje u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koji se određuje infracrvenom spektrometrijom (u daljem tekstu: IR) ili hemijskom analizom;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Atomska apsorpciona spektrometrija (u daljem tekstu: AAS) ili induktivno kuplovana plazma (u daljem tekstu: ICP), emisioni ekvivalent za polimere koji sadrže metale ili silicijum;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UV apsorpcija ili spektrofluorimetrija za aril-polimere;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LC-MS za uzorke male molekulske 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 ili isparavanjem u vakuumu do suvog vodenog ekstrakta i spektroskopskom (IR, UV itd.) ili AAS/ICP analizom taloga.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analiza vodenog ekstrakta kao takva ne može primeniti, vodeni ekstrakt se ekstrahuje organskim rastvaračem koji se ne meša sa vodom, tj. hlorovanim ugljovodonikom. Rastvarač se zatim upari i talog analizira kako je opisano da bi se odredio sadržaj polimera. Svaka komponenta u ovom talogu koja je identifikovana kao nečistoća ili aditiv oduzima se u cilju određivanja stepena rastvorljivosti/ekstraktivnosti samog polimera.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su prisutne relativno velike količine takvog materijala talog se analizira npr. HPLC ili GC analizom da bi se razlikovale nečistoće od monomera i prisutnih vrsta nastalih od monomera, tako da se odredi pravi sadržaj onoga što je nastalo.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nekim slučajevima je dovoljno jednostavno isparavanje organskog rastvarača do suvog i merenje suvog ostatka.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1.5.4.2. Ispitivanje izvršeno sa dve različite količine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 ekstrakti taloga analiziraju se na TOC.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Nerastvorni/neekstrahovani deo uzorka određuje se gravimetrijski. Ukoliko, nakon centrifugiranja ili filtriranja sadržaja svake posude, talog polimera ostane zalepljen za zid posude, posuda se ispira filtratom sve dok se ne prebaci sav talog. Nakon toga, filtrat se opet centrifugira ili filtrira. Talog koji ostane na filteru ili u kiveti centrifuge suši se na 40°C u vakuumu i meri se. Sušenje se nastavlja do konstantne mase.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ISPITIVANJE JEDNE KOLIČINE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Navode se pojedinačni rezultati za svaku od tri boce i njihova srednja vrednost izražena u jedinicama mase po zapremini rastvora (uobičajeno mg/L) ili jedinicama mase po masi uzorka polimera (uobičajeno mg/g).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Navodi se i gubitak mase uzorka (izračunat kao masa rastvorene supstance podeljena sa masom početnog uzorka). Računaju se relativne standardne devijacije (RSD). Navode se pojedinačne cifre za ukupnu supstancu (polimer + glavni aditivi itd.) i samo za polimer (tj. nakon oduzimanja doprinosa aditiva).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ISPITIVANJE DVE RAZLIČITE KOLIČINE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Pojedinačne TOC vrednosti vodenih ekstrakta iz dva eksperimenta pri kojima su vršena po tri ispitivanja i srednja vrednost za svaki eksperiment, izražavaju se kao jedinice mase po zapremini rastvora (uobičajeno mgC/L), kao i u jedinicama mase po masi početnog uzorka (uobičajeno mgC/g).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ne postoji razlika između rezultata dobijenih sa većim i manjim odnosom voda/uzorak, ovo može da ukazuje na to da su sve komponente koje mogu da se ekstrahuju zaista i bile ekstrahovane. U tom slučaju, direktna analiza nije potrebna.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Navode se pojedinačne mase taloga i izražavaju u procentima od početnih masa uzorka. Srednje vrednosti računaju se za svaki eksperiment. Razlike između 100% i nađenih </w:t>
      </w:r>
      <w:r w:rsidRPr="00984859">
        <w:rPr>
          <w:rFonts w:ascii="Arial" w:eastAsia="Times New Roman" w:hAnsi="Arial" w:cs="Arial"/>
          <w:lang w:eastAsia="sr-Latn-RS"/>
        </w:rPr>
        <w:lastRenderedPageBreak/>
        <w:t xml:space="preserve">procenata predstavljaju procenat rastvornog materijala i materijala koji se ekstrahuje u originalnom uzorku.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3.1.1. Supstanci koja se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dostupne podatke o ispitivanoj supstanci (identitet, aditivi, nečistoće, sadržaj molekula malih molekulskih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3.1.2. Eksperimentalnim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postupaka i eksperimentalnih uslova;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analitičkih metoda i metoda detekcije.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3.1.3.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rastvorljivosti/ekstraktivnosti u mg/l; pojedinačne i srednje vrednosti ekstrahovanja različitim rastvaračima, razdvojene na sadržaj polimera i nečistoća, aditiva,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rastvorljivosti/ekstraktivnosti u mg/g polimera;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TOC vrednosti vodenih ekstrakta, mase rastvorene supstance i izračunate procente, ako su merene;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svakog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vrednostima slepih proba;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kada je potrebno, napomene o hemijskoj nestabilnosti ispitivane supstance, tokom postupka ispitivanja i analitičkog postupka;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podatke koji su važni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DIN 53733 (1976) Zerkleinerung von Kunststofferzeugnissen für Prüfzwecke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A.21. OKSIDUJUĆA SVOJSTVA (ZA TEČNOSTI)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osmišljena je za merenje potencijala tečnih supstanci da povećaju i razviju brzinu ili intenzitet gorenja zapaljivih supstanci, ili da naprave smešu sa zapaljivom supstancom koja ima sposobnost spontanog paljenja, kada se ovakva smeša dobro izmeša. Zasniva se na UN metodi ispitivanja tečnosti sa oksidujućim svojstvima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Metoda A.21. </w:t>
      </w:r>
      <w:r w:rsidRPr="00984859">
        <w:rPr>
          <w:rFonts w:ascii="Arial" w:eastAsia="Times New Roman" w:hAnsi="Arial" w:cs="Arial"/>
          <w:lang w:eastAsia="sr-Latn-RS"/>
        </w:rPr>
        <w:lastRenderedPageBreak/>
        <w:t>osmišljena je tako da pre svega ispunjava zahteve Uredbe Evropskog parlamenta i Saveta (EZ) broj 1907/2006, pa je potrebno izvršiti poređenje sa jednom referentnom supstancom. Ispitivanje i poređenje sa dodatnim referentnim supstancama je potrebno u slučaju kada se očekuje da će rezultati ispitivanja biti korišćeni u druge svrhe</w:t>
      </w:r>
      <w:r w:rsidRPr="00984859">
        <w:rPr>
          <w:rFonts w:ascii="Arial" w:eastAsia="Times New Roman" w:hAnsi="Arial" w:cs="Arial"/>
          <w:b/>
          <w:bCs/>
          <w:sz w:val="15"/>
          <w:szCs w:val="15"/>
          <w:vertAlign w:val="superscript"/>
          <w:lang w:eastAsia="sr-Latn-RS"/>
        </w:rPr>
        <w:t>XXVIII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ne mora vršiti kada je na osnovu strukturne formule pouzdano jasno da supstanca nema sposobnost da egzotermno reaguje sa zapaljivim materijalom.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nego što se pristupi ispitivanju korisno je imati preliminarne podatke o potencijalnim eksplozivnim svojstvima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 ispitivanje se ne primenjuje na supstance u čvrstom stanju, gasove, eksplozive ili visoko zapaljive supstance ili organske perokside.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Kada postoje rezultati za ispitivanu supstancu u UN metodama ispitivanja za oksidujuće tečnosti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nije neophodno izvršiti njeno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XXVIII</w:t>
      </w:r>
      <w:r w:rsidRPr="00984859">
        <w:rPr>
          <w:rFonts w:ascii="Arial" w:eastAsia="Times New Roman" w:hAnsi="Arial" w:cs="Arial"/>
          <w:i/>
          <w:iCs/>
          <w:lang w:eastAsia="sr-Latn-RS"/>
        </w:rPr>
        <w:t>Kao na primer u okviru propisa UN o transportu.</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porasta pritiska jeste prosečna vrednost izmerenog vremena koje je potrebno da se pritisak smeše koja se ispituje podigne sa 690 kPa na 2.070 kPa iznad atmosferskog pritiska.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Kao referentna supstanca koristi se 65% (m/m) vodeni rastvor azotne kiseline (analitičke čistoće)</w:t>
      </w:r>
      <w:r w:rsidRPr="00984859">
        <w:rPr>
          <w:rFonts w:ascii="Arial" w:eastAsia="Times New Roman" w:hAnsi="Arial" w:cs="Arial"/>
          <w:b/>
          <w:bCs/>
          <w:sz w:val="15"/>
          <w:szCs w:val="15"/>
          <w:vertAlign w:val="superscript"/>
          <w:lang w:eastAsia="sr-Latn-RS"/>
        </w:rPr>
        <w:t>XXIX</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Ukoliko lice koje vrši ispitivanje smatra da se rezultati ovog ispitivanja mogu koristiti i u neke druge svrhe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postoji mogućnost da se ispitaju i dodatne referentne supstance</w:t>
      </w:r>
      <w:r w:rsidRPr="00984859">
        <w:rPr>
          <w:rFonts w:ascii="Arial" w:eastAsia="Times New Roman" w:hAnsi="Arial" w:cs="Arial"/>
          <w:b/>
          <w:bCs/>
          <w:sz w:val="15"/>
          <w:szCs w:val="15"/>
          <w:vertAlign w:val="superscript"/>
          <w:lang w:eastAsia="sr-Latn-RS"/>
        </w:rPr>
        <w:t>XXX</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XXIX</w:t>
      </w:r>
      <w:r w:rsidRPr="00984859">
        <w:rPr>
          <w:rFonts w:ascii="Arial" w:eastAsia="Times New Roman" w:hAnsi="Arial" w:cs="Arial"/>
          <w:lang w:eastAsia="sr-Latn-RS"/>
        </w:rPr>
        <w:t xml:space="preserve"> Kiselina se titruje pre ispitivanja kako bi se potvrdila njena koncentracija.</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XXX </w:t>
      </w:r>
      <w:r w:rsidRPr="00984859">
        <w:rPr>
          <w:rFonts w:ascii="Arial" w:eastAsia="Times New Roman" w:hAnsi="Arial" w:cs="Arial"/>
          <w:lang w:eastAsia="sr-Latn-RS"/>
        </w:rPr>
        <w:t>Npr: 50% (m/m) perhlorna kiselina i 40% (m/m) natrijum-hlorat se koriste u literaturi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Tečnost koja se ispituje meša se u masenom odnosu jedan prema jedan sa vlaknastom celulozom i stavlja se u sud pod pritiskom. Ukoliko tokom mešanja ili punjenja posude dođe do spontanog paljenja, nije potrebno dalje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ne dođe do spontanog paljenja sprovodi se kompletno ispitivanje. Smeša se zagreva u posudi pod pritiskom i određuje se vreme koje je potrebno da se pritisak poveća sa 690 kPa na 2.070 kPa (iznad atmosferskog pritiska). Ova vrednost se upoređuje sa prosečnom vrednošću vremena porasta pritiska referentne supstance u smeši sa celulozom u odnosu 1:1.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seriji od pet ispitivanja jedne supstance rezultati pojedinačnih ispitivanja ne treba da odstupaju za više od 30% u odnosu na aritmetičku srednju vrednost. Rezultati koji odstupaju </w:t>
      </w:r>
      <w:r w:rsidRPr="00984859">
        <w:rPr>
          <w:rFonts w:ascii="Arial" w:eastAsia="Times New Roman" w:hAnsi="Arial" w:cs="Arial"/>
          <w:lang w:eastAsia="sr-Latn-RS"/>
        </w:rPr>
        <w:lastRenderedPageBreak/>
        <w:t xml:space="preserve">više od 30% od srednje vrednosti odbacuju se, poboljšava se postupak mešanja supstanci i punjenja posude za ispitivanje i zatim se ispitivanje ponavlja.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Zapaljive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Osušena vlaknasta celuloza sa vlaknima dužine između 50 µm i 250 µm i srednjim prečnikom od 25 µm</w:t>
      </w:r>
      <w:r w:rsidRPr="00984859">
        <w:rPr>
          <w:rFonts w:ascii="Arial" w:eastAsia="Times New Roman" w:hAnsi="Arial" w:cs="Arial"/>
          <w:b/>
          <w:bCs/>
          <w:sz w:val="15"/>
          <w:szCs w:val="15"/>
          <w:vertAlign w:val="superscript"/>
          <w:lang w:eastAsia="sr-Latn-RS"/>
        </w:rPr>
        <w:t>XXXI</w:t>
      </w:r>
      <w:r w:rsidRPr="00984859">
        <w:rPr>
          <w:rFonts w:ascii="Arial" w:eastAsia="Times New Roman" w:hAnsi="Arial" w:cs="Arial"/>
          <w:lang w:eastAsia="sr-Latn-RS"/>
        </w:rPr>
        <w:t xml:space="preserve"> koristi se kao zapaljivi materijal. Celuloza se suši do konstantne mase u sloju čija debljina ne prelazi 25 mm na temperaturi od 105° C tokom 4 sata i drži se u eksikatoru bez sredstva za sušenje dok se ne ohladi i dalje do ispitivanja. Sadržaj vode u osušenoj celulozi ne treba da bude veći od 0,5% po jedinici suve mase</w:t>
      </w:r>
      <w:r w:rsidRPr="00984859">
        <w:rPr>
          <w:rFonts w:ascii="Arial" w:eastAsia="Times New Roman" w:hAnsi="Arial" w:cs="Arial"/>
          <w:b/>
          <w:bCs/>
          <w:sz w:val="15"/>
          <w:szCs w:val="15"/>
          <w:vertAlign w:val="superscript"/>
          <w:lang w:eastAsia="sr-Latn-RS"/>
        </w:rPr>
        <w:t>XXXII</w:t>
      </w:r>
      <w:r w:rsidRPr="00984859">
        <w:rPr>
          <w:rFonts w:ascii="Arial" w:eastAsia="Times New Roman" w:hAnsi="Arial" w:cs="Arial"/>
          <w:lang w:eastAsia="sr-Latn-RS"/>
        </w:rPr>
        <w:t>. Ukoliko je potrebno, vreme sušenja se produžava</w:t>
      </w:r>
      <w:r w:rsidRPr="00984859">
        <w:rPr>
          <w:rFonts w:ascii="Arial" w:eastAsia="Times New Roman" w:hAnsi="Arial" w:cs="Arial"/>
          <w:b/>
          <w:bCs/>
          <w:sz w:val="15"/>
          <w:szCs w:val="15"/>
          <w:vertAlign w:val="superscript"/>
          <w:lang w:eastAsia="sr-Latn-RS"/>
        </w:rPr>
        <w:t>XXXIII</w:t>
      </w:r>
      <w:r w:rsidRPr="00984859">
        <w:rPr>
          <w:rFonts w:ascii="Arial" w:eastAsia="Times New Roman" w:hAnsi="Arial" w:cs="Arial"/>
          <w:lang w:eastAsia="sr-Latn-RS"/>
        </w:rPr>
        <w:t xml:space="preserve">. Ista šarža celuloze koristi se u toku celog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XXXI </w:t>
      </w:r>
      <w:r w:rsidRPr="00984859">
        <w:rPr>
          <w:rFonts w:ascii="Arial" w:eastAsia="Times New Roman" w:hAnsi="Arial" w:cs="Arial"/>
          <w:lang w:eastAsia="sr-Latn-RS"/>
        </w:rPr>
        <w:t>Npr. Vatman kolonska hromatografija celulozni prah CF 11, kataloški broj 4021 050</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XXXII</w:t>
      </w:r>
      <w:r w:rsidRPr="00984859">
        <w:rPr>
          <w:rFonts w:ascii="Arial" w:eastAsia="Times New Roman" w:hAnsi="Arial" w:cs="Arial"/>
          <w:lang w:eastAsia="sr-Latn-RS"/>
        </w:rPr>
        <w:t xml:space="preserve"> Potvrđena npr. Karl-Fišerovom titracijom</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XXXIII </w:t>
      </w:r>
      <w:r w:rsidRPr="00984859">
        <w:rPr>
          <w:rFonts w:ascii="Arial" w:eastAsia="Times New Roman" w:hAnsi="Arial" w:cs="Arial"/>
          <w:lang w:eastAsia="sr-Latn-RS"/>
        </w:rPr>
        <w:t xml:space="preserve">Ovaj sadržaj vode se postiže i npr. zagrevanjem na 105°C u vakumu 24 časa.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Oprema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1.6.1.2.1. Sud pod pritiskom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Zahteva se korišćenje suda pod pritiskom. Ovaj sud se sastoji od cilindričnog tela izrađenog od čelika, dužine 89 mm i spoljnog prečnika od 60 mm (videti Sliku 1). Dve suprotne strane mašinski su obrađene (čime se poprečni presek posude smanjuje na 50 mm) da bi se olakšalo navijanje zapušača na kome se nalazi sistem za paljenje i ventil oduška. Sud, koji ima šupljinu prečnika 20 mm, iznutra se svodi na dubinu od 19 mm i narezuje se da primi 1" po Britanskom standardnom sistemu ili veličinu ekvivalentnu ovoj prema metričkom sistemu. Ventil za odušak, u obliku ručke koja se montira na bočnu stranu aparata, zavrne se za krivu površinu suda pod pritiskom na udaljenosti od 35 mm od jednog od njegovih krajeva i pod uglom od 90° u odnosu na prirubnice. Izdubi se otvor dubine 12 mm i nareže tako da primi veličinu od 1/2" po Britanskom standardnom sistemu (ili veličinu ekvivalentu ovoj prema metričkom sistemu) na kraju bočne strane. Po potrebi koristi se inertni zaptivač kako bi sud bio nepropustan za gasove. Ručka koja se nalazi sa strane proteže se 55 mm od tela suda pod pritiskom i ima navoj od 6 mm. Kraj ove ručke ima navoj koji omogućava da u njega stane pretvarač pritiska sa dijafragmom. Koristi se bilo koji uređaj za merenje pritiska ako nije u kontaktu sa vrelim gasovima ili proizvodima razlaganja i ako može da izdrži porast pritiska od 690 kPa do 2.070 kPa u vremenu koje nije veće od 5 ms.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Kraj suda pod pritiskom koji je na većoj udaljenosti od ove ručke zatvara se zapušačem na kome se nalazi sistem za paljenje opremljen sa dve elektrode, od kojih je jedna izolovana u odnosu na telo zaptivača a druga uzemljena na njega. Drugi kraj suda pod pritiskom zatvara se sigurnosnim diskom koji štiti od eksplozije (pritisak eksplozije oko 2.200 kPa) koji je pričvršćen poklopcem za zaptivanje sa otvorom od 20 mm. Ako je potrebno koristi se inertni zaptivač kako bi sud bio nepropustan za gasove. Stalak (viseti Sliku 2) drži aparaturu u odgovarajućem položaju u toku upotrebe. Sastoji se od osnove izrađene od mekog čelika dimenzija 235 mm x 184 mm x 6 mm i šupljeg četvrtastog profila dužine 185 mm i dimenzija 70 mm x 70 mm x 4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Sa jedne strane četvrtastog profila izrežu se po dužini dve suprotne stranice tako da se dobije konstrukcija sa dve noge ravnih stranica sa visinom kućišta od 86 mm. Krajevi ovih nogu ravnih stranica seku se pod uglom od 60° po horizontalnoj ravni da bi se zavarili za oslonac. Žleb širine 22 mm i dubine 46 mm montira se na jednu stranu kućišta suda tako da kada se sud spusti na oslonac zapušač na kome se nalazi sistem za paljenje bude okrenut prema izolatorskoj kutiji, a ručka koja je montirana sa strane upada u ovaj žleb. Komad čelika širine 30 mm i debljine 6 mm vari se za donju unutrašnju stranu izolatorske kutije da bi održavao rastojanje. Dva šrafa od 7 mm koji se prišrafljuju sa suprotne strane drže sud pod pritiskom čvrsto na svom mestu. Dve trake od čelika širine 12 mm i debljine 6 mm zavarene sa donje strane gde se sastavni delovi dodiruju sa izolatorskom kutijom, obezbeđuju sud pod pritiskom odozdo.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1.6.1.2.2. Sistem za paljenje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Sistem za paljenje sastoji se od žičanog provodnika dužine 25 cm izrađenog od Ni/Cr, čiji je prečnik 0,6 mm i otpornost 3,85 Ω/m. Žica je navijena na šipku prečnika 5 mm, u obliku kalema i pričvršćena je za elektrode zapušača na kome se nalazi sistem za paljenje. Ovaj kalem ima jedan od oblika koji su prikazani na Slici 3. Razmak između dna suda i donje strane provodnika pomoću koga se pali smeša je 20 mm. Ukoliko se elektrode ne mogu podešavati, krajevi provodnika pomoću koga se pali smeša i dna posude treba da budu izolovani keramičkom oblogom. Provodnik se zagreva stalnim izvorom struje od najmanje 10 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1.6.2. Postupak ispitivanja</w:t>
      </w:r>
      <w:r w:rsidRPr="00984859">
        <w:rPr>
          <w:rFonts w:ascii="Arial" w:eastAsia="Times New Roman" w:hAnsi="Arial" w:cs="Arial"/>
          <w:b/>
          <w:bCs/>
          <w:sz w:val="15"/>
          <w:szCs w:val="15"/>
          <w:vertAlign w:val="superscript"/>
          <w:lang w:eastAsia="sr-Latn-RS"/>
        </w:rPr>
        <w:t>XXXIV</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Aparatura, spojena sa pretvaračem pritiska i sistemom za paljenje, ali bez sigurnosnog diska koji štiti od eksplozije, nalazi se na podlozi pri čemu je zapušač sa sistemom za paljenje u donjoj poziciji. U staklenoj čaši se pomeša 2,5 g tečnosti koja se ispituje sa 2,5 g osušene celuloze pomoću staklenog štapića</w:t>
      </w:r>
      <w:r w:rsidRPr="00984859">
        <w:rPr>
          <w:rFonts w:ascii="Arial" w:eastAsia="Times New Roman" w:hAnsi="Arial" w:cs="Arial"/>
          <w:b/>
          <w:bCs/>
          <w:sz w:val="15"/>
          <w:szCs w:val="15"/>
          <w:vertAlign w:val="superscript"/>
          <w:lang w:eastAsia="sr-Latn-RS"/>
        </w:rPr>
        <w:t>XXXV</w:t>
      </w:r>
      <w:r w:rsidRPr="00984859">
        <w:rPr>
          <w:rFonts w:ascii="Arial" w:eastAsia="Times New Roman" w:hAnsi="Arial" w:cs="Arial"/>
          <w:lang w:eastAsia="sr-Latn-RS"/>
        </w:rPr>
        <w:t>. Iz bezbednosnih razloga, prilikom mešanja lice koje rukuje smešom se štiti sigurnosnim štitom. Ukoliko smeša počne da gori tokom mešanja ili stavljanja u posudu za ispitivanje, ispitivanje se ne mora sprovesti do kraja. Smeša se dodaje u malim količinama u sud pod pritiskom uz sabijanje. Vodi se računa da smeša bude postavljena oko provodnika pomoću koga se vrši paljenje smeše i da kontakt između smeše i provodnika bude dobar. Važno je da se provodnik ne iskrivi tokom procesa nanošenja smeše jer to može dovesti do pogrešnih rezultata</w:t>
      </w:r>
      <w:r w:rsidRPr="00984859">
        <w:rPr>
          <w:rFonts w:ascii="Arial" w:eastAsia="Times New Roman" w:hAnsi="Arial" w:cs="Arial"/>
          <w:b/>
          <w:bCs/>
          <w:sz w:val="15"/>
          <w:szCs w:val="15"/>
          <w:vertAlign w:val="superscript"/>
          <w:lang w:eastAsia="sr-Latn-RS"/>
        </w:rPr>
        <w:t>XXXVI</w:t>
      </w:r>
      <w:r w:rsidRPr="00984859">
        <w:rPr>
          <w:rFonts w:ascii="Arial" w:eastAsia="Times New Roman" w:hAnsi="Arial" w:cs="Arial"/>
          <w:lang w:eastAsia="sr-Latn-RS"/>
        </w:rPr>
        <w:t xml:space="preserve">. Sigurnosni disk koji štiti od eksplozije stavlja se u odgovarajuću poziciju i pričvršćuje poklopcem za zaptivanje. Napunjen sud postavlja se na stalak tako da se sigurnosni disk koji štiti od eksplozije nalazi na vrhu, a aparat se postavlja u digestor ili u jedinicu za ispitivanje zapaljivih materija. Izvor struje pričvrsti se za spoljne kleme zapušača sa sistemom za paljenje i pusti se struja jačine 10 A. Vreme između pripreme smeše za ispitivanje i uključivanja struje ne treba da bude duže od 10 minuta.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Signal koji dolazi sa pretvarača pritiska beleži odgovarajući sistem koji istovremeno beleži podatke o razvoju pritiska tokom vremena i analizira ih (npr. program za beleženje podataka dobijenih tokom ispitivanja povezan sa programom za izradu grafikona). Smeša se zagreva sve dok ne pukne sigurnosni disk koji štiti od eksplozije ili najmanje 60 s. Ukoliko se sigurnosni disk koji štiti od eksplozije ne rasprsne, smeša se ostavlja da se ohladi pre nego što se aparat pažljivo rastavi, vodeći računa da može doći do pojave nadpritiska. Izvodi se po pet ispitivanja sa supstancom koja se ispituje i sa supstancom koja služi kao referentna supstanca. Beleži se vreme koje je potrebno da pritisak od 690 kPa poraste do pritiska od 2.070 kPa. Izračunava se srednja vrednost vremena koje protekne do porasta pritiska.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Može se dogoditi da supstanca dovodi do porasta pritiska (prebrzo ili presporo) usled hemijskih reakcija koje nisu karakteristične za oksidujuća svojstva. Tada može biti potrebno </w:t>
      </w:r>
      <w:r w:rsidRPr="00984859">
        <w:rPr>
          <w:rFonts w:ascii="Arial" w:eastAsia="Times New Roman" w:hAnsi="Arial" w:cs="Arial"/>
          <w:lang w:eastAsia="sr-Latn-RS"/>
        </w:rPr>
        <w:lastRenderedPageBreak/>
        <w:t xml:space="preserve">da se ponovi ispitivanje sa nekom inertnom supstancom, npr dijatomejskom zemljom, umesto sa celulozom, kako bi se utvrdila priroda reakcije.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XXXIV</w:t>
      </w:r>
      <w:r w:rsidRPr="00984859">
        <w:rPr>
          <w:rFonts w:ascii="Arial" w:eastAsia="Times New Roman" w:hAnsi="Arial" w:cs="Arial"/>
          <w:lang w:eastAsia="sr-Latn-RS"/>
        </w:rPr>
        <w:t xml:space="preserve"> Smeše oksidujućih supstanci sa celulozom potencijalno su eksplozivne i sa njima se pažljivo rukuje.</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XXXV</w:t>
      </w:r>
      <w:r w:rsidRPr="00984859">
        <w:rPr>
          <w:rFonts w:ascii="Arial" w:eastAsia="Times New Roman" w:hAnsi="Arial" w:cs="Arial"/>
          <w:lang w:eastAsia="sr-Latn-RS"/>
        </w:rPr>
        <w:t xml:space="preserve"> U praksi se postiže pripremanjem smeše tečnosti koja se ispituje i celuloze u odnosu 1:1 u većoj količini od one koja je potrebna za ispitivanje i prebacivanjem 5 ± 0,1 g u posudu pod pritiskom. Smeša se sveže priprema za svako ispitivanje.</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XXXVI</w:t>
      </w:r>
      <w:r w:rsidRPr="00984859">
        <w:rPr>
          <w:rFonts w:ascii="Arial" w:eastAsia="Times New Roman" w:hAnsi="Arial" w:cs="Arial"/>
          <w:lang w:eastAsia="sr-Latn-RS"/>
        </w:rPr>
        <w:t xml:space="preserve"> Kontakt između susednih namotaja se izbegava.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Vremena porasta pritiska ispitivane supstance i referentnih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Vremena porasta pritiska inertne supstance ukoliko je takvo ispitivanje sprovedeno.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Izračunava se prosečno vreme porasta pritiska za ispitivanu supstancu i za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Izračunava se i prosečno vreme porasta pritiska za inertnu supstancu (ukoliko su ispitivanja izvršena).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Primeri rezultata dati su u Tabeli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Primeri rezultata</w:t>
      </w:r>
      <w:r w:rsidRPr="00984859">
        <w:rPr>
          <w:rFonts w:ascii="Arial" w:eastAsia="Times New Roman" w:hAnsi="Arial" w:cs="Arial"/>
          <w:b/>
          <w:bCs/>
          <w:sz w:val="15"/>
          <w:szCs w:val="15"/>
          <w:vertAlign w:val="superscript"/>
          <w:lang w:eastAsia="sr-Latn-RS"/>
        </w:rPr>
        <w:t xml:space="preserve">(a)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201"/>
        <w:gridCol w:w="4931"/>
      </w:tblGrid>
      <w:tr w:rsidR="00984859" w:rsidRPr="00984859" w:rsidTr="00984859">
        <w:trPr>
          <w:tblCellSpacing w:w="0" w:type="dxa"/>
        </w:trPr>
        <w:tc>
          <w:tcPr>
            <w:tcW w:w="23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w:t>
            </w:r>
            <w:r w:rsidRPr="00984859">
              <w:rPr>
                <w:rFonts w:ascii="Arial" w:eastAsia="Times New Roman" w:hAnsi="Arial" w:cs="Arial"/>
                <w:sz w:val="15"/>
                <w:szCs w:val="15"/>
                <w:vertAlign w:val="superscript"/>
                <w:lang w:eastAsia="sr-Latn-RS"/>
              </w:rPr>
              <w:t>(b)</w:t>
            </w:r>
          </w:p>
        </w:tc>
        <w:tc>
          <w:tcPr>
            <w:tcW w:w="27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Prosečno vreme porasta pritiska za smešu sa celulozom 1:1 (ms)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Amonijum-dihromat, zasićeni vodeni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20 800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Kalcijum-nitrat, zasićeni vodeni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6 700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Feri-nitrat, zasićeni vodeni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4 133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Litijum-perhlorat, zasićeni vodeni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1 686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Magnezijum-perhlorat, zasićeni vodeni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777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Nikal-nitrat, zasićeni vodeni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6 250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Azotna kiselina, 65%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4 767</w:t>
            </w:r>
            <w:r w:rsidRPr="00984859">
              <w:rPr>
                <w:rFonts w:ascii="Arial" w:eastAsia="Times New Roman" w:hAnsi="Arial" w:cs="Arial"/>
                <w:sz w:val="15"/>
                <w:szCs w:val="15"/>
                <w:vertAlign w:val="superscript"/>
                <w:lang w:eastAsia="sr-Latn-RS"/>
              </w:rPr>
              <w:t>(c)</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Perhlorna kiselina, 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121</w:t>
            </w:r>
            <w:r w:rsidRPr="00984859">
              <w:rPr>
                <w:rFonts w:ascii="Arial" w:eastAsia="Times New Roman" w:hAnsi="Arial" w:cs="Arial"/>
                <w:sz w:val="15"/>
                <w:szCs w:val="15"/>
                <w:vertAlign w:val="superscript"/>
                <w:lang w:eastAsia="sr-Latn-RS"/>
              </w:rPr>
              <w:t>(c)</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Perhlorna kiselina, 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Kalijum nitrat, 30% vodeni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26 690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Srebro-nitrat, zasićeni vodeni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w:t>
            </w:r>
            <w:r w:rsidRPr="00984859">
              <w:rPr>
                <w:rFonts w:ascii="Arial" w:eastAsia="Times New Roman" w:hAnsi="Arial" w:cs="Arial"/>
                <w:sz w:val="15"/>
                <w:szCs w:val="15"/>
                <w:vertAlign w:val="superscript"/>
                <w:lang w:eastAsia="sr-Latn-RS"/>
              </w:rPr>
              <w:t>d</w:t>
            </w: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Natrijum-hlorat, 40% vodeni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2 555</w:t>
            </w:r>
            <w:r w:rsidRPr="00984859">
              <w:rPr>
                <w:rFonts w:ascii="Arial" w:eastAsia="Times New Roman" w:hAnsi="Arial" w:cs="Arial"/>
                <w:sz w:val="15"/>
                <w:szCs w:val="15"/>
                <w:vertAlign w:val="superscript"/>
                <w:lang w:eastAsia="sr-Latn-RS"/>
              </w:rPr>
              <w:t>(c)</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Natrijum-nitrat, 45% vodeni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4 133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Inertna 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Voda: celuloza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w:t>
            </w:r>
            <w:r w:rsidRPr="00984859">
              <w:rPr>
                <w:rFonts w:ascii="Arial" w:eastAsia="Times New Roman" w:hAnsi="Arial" w:cs="Arial"/>
                <w:sz w:val="15"/>
                <w:szCs w:val="15"/>
                <w:vertAlign w:val="superscript"/>
                <w:lang w:eastAsia="sr-Latn-RS"/>
              </w:rPr>
              <w:t>d</w:t>
            </w:r>
            <w:r w:rsidRPr="00984859">
              <w:rPr>
                <w:rFonts w:ascii="Arial" w:eastAsia="Times New Roman" w:hAnsi="Arial" w:cs="Arial"/>
                <w:lang w:eastAsia="sr-Latn-RS"/>
              </w:rPr>
              <w:t xml:space="preserve">)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sz w:val="15"/>
          <w:szCs w:val="15"/>
          <w:vertAlign w:val="superscript"/>
          <w:lang w:eastAsia="sr-Latn-RS"/>
        </w:rPr>
        <w:lastRenderedPageBreak/>
        <w:t>(a)</w:t>
      </w:r>
      <w:r w:rsidRPr="00984859">
        <w:rPr>
          <w:rFonts w:ascii="Arial" w:eastAsia="Times New Roman" w:hAnsi="Arial" w:cs="Arial"/>
          <w:lang w:eastAsia="sr-Latn-RS"/>
        </w:rPr>
        <w:t xml:space="preserve"> Videti u literaturi1 za klasifikaciju prema transportnoj šemi UN.</w:t>
      </w:r>
      <w:r w:rsidRPr="00984859">
        <w:rPr>
          <w:rFonts w:ascii="Arial" w:eastAsia="Times New Roman" w:hAnsi="Arial" w:cs="Arial"/>
          <w:lang w:eastAsia="sr-Latn-RS"/>
        </w:rPr>
        <w:br/>
      </w:r>
      <w:r w:rsidRPr="00984859">
        <w:rPr>
          <w:rFonts w:ascii="Arial" w:eastAsia="Times New Roman" w:hAnsi="Arial" w:cs="Arial"/>
          <w:sz w:val="15"/>
          <w:szCs w:val="15"/>
          <w:vertAlign w:val="superscript"/>
          <w:lang w:eastAsia="sr-Latn-RS"/>
        </w:rPr>
        <w:t>(b)</w:t>
      </w:r>
      <w:r w:rsidRPr="00984859">
        <w:rPr>
          <w:rFonts w:ascii="Arial" w:eastAsia="Times New Roman" w:hAnsi="Arial" w:cs="Arial"/>
          <w:lang w:eastAsia="sr-Latn-RS"/>
        </w:rPr>
        <w:t xml:space="preserve"> Zasićeni rastvori treba da budu pripremljeni na 20° C.</w:t>
      </w:r>
      <w:r w:rsidRPr="00984859">
        <w:rPr>
          <w:rFonts w:ascii="Arial" w:eastAsia="Times New Roman" w:hAnsi="Arial" w:cs="Arial"/>
          <w:lang w:eastAsia="sr-Latn-RS"/>
        </w:rPr>
        <w:br/>
      </w:r>
      <w:r w:rsidRPr="00984859">
        <w:rPr>
          <w:rFonts w:ascii="Arial" w:eastAsia="Times New Roman" w:hAnsi="Arial" w:cs="Arial"/>
          <w:sz w:val="15"/>
          <w:szCs w:val="15"/>
          <w:vertAlign w:val="superscript"/>
          <w:lang w:eastAsia="sr-Latn-RS"/>
        </w:rPr>
        <w:t>(c)</w:t>
      </w:r>
      <w:r w:rsidRPr="00984859">
        <w:rPr>
          <w:rFonts w:ascii="Arial" w:eastAsia="Times New Roman" w:hAnsi="Arial" w:cs="Arial"/>
          <w:lang w:eastAsia="sr-Latn-RS"/>
        </w:rPr>
        <w:t xml:space="preserve"> Srednja vrednost iz međulaboratorijskih uporednih ispitivanja.</w:t>
      </w:r>
      <w:r w:rsidRPr="00984859">
        <w:rPr>
          <w:rFonts w:ascii="Arial" w:eastAsia="Times New Roman" w:hAnsi="Arial" w:cs="Arial"/>
          <w:lang w:eastAsia="sr-Latn-RS"/>
        </w:rPr>
        <w:br/>
      </w:r>
      <w:r w:rsidRPr="00984859">
        <w:rPr>
          <w:rFonts w:ascii="Arial" w:eastAsia="Times New Roman" w:hAnsi="Arial" w:cs="Arial"/>
          <w:sz w:val="15"/>
          <w:szCs w:val="15"/>
          <w:vertAlign w:val="superscript"/>
          <w:lang w:eastAsia="sr-Latn-RS"/>
        </w:rPr>
        <w:t>(d)</w:t>
      </w:r>
      <w:r w:rsidRPr="00984859">
        <w:rPr>
          <w:rFonts w:ascii="Arial" w:eastAsia="Times New Roman" w:hAnsi="Arial" w:cs="Arial"/>
          <w:lang w:eastAsia="sr-Latn-RS"/>
        </w:rPr>
        <w:t xml:space="preserve"> Maksimalni pritisak od 2070 kPa nije dostignut.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identitetu, sastavu, čistoći itd. podatke o supstanci koja se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postupku sušenja celuloze koja je korišćena pri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sadržaju vode u celulozi koja je korišćena pri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rezultatima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rezultatima ispitivanja sa inertnom supstancom, ako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izračunatom prosečnom vremenu porasta pritiska;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odstupanju od standardnog postupka ispitivanja i razloge za 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svim dodatnim informacijama i primedbama značajnim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3.2. TUMAČENJE REZULTATA</w:t>
      </w:r>
      <w:r w:rsidRPr="00984859">
        <w:rPr>
          <w:rFonts w:ascii="Arial" w:eastAsia="Times New Roman" w:hAnsi="Arial" w:cs="Arial"/>
          <w:b/>
          <w:bCs/>
          <w:i/>
          <w:iCs/>
          <w:sz w:val="15"/>
          <w:szCs w:val="15"/>
          <w:vertAlign w:val="superscript"/>
          <w:lang w:eastAsia="sr-Latn-RS"/>
        </w:rPr>
        <w:t>XXXVII</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ispitivanja procenjuju se na osnovu: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činjenice da li se smeša ispitivane supstance i celuloze spontano pali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poređenjem prosečnih vremena porasta pritiska sa vrednosti 690 kPa na pritisak od 2.070 kPa ispitivane supstance i referentnih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Tečna supstanca smatra se oksidujućom supstancom ukoliko: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se smeša ispitivane supstance i celuloze u masenom odnosu 1:1 spontano pali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smeša ispitivane supstance i celuloze u masenom odnosu 1:1 ima prosečno vreme povećanja pritiska manje ili jednako smeši vodenog rastvora azotne kiseline 65% (m/m) i celuloze u masenom odnosu 1:1.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izbegao lažni pozitivni rezultat, prilikom analize dobijenih rezultata uzima se u razmatranje i ispitivanje sa inertnim materijalom.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XXXVII</w:t>
      </w:r>
      <w:r w:rsidRPr="00984859">
        <w:rPr>
          <w:rFonts w:ascii="Arial" w:eastAsia="Times New Roman" w:hAnsi="Arial" w:cs="Arial"/>
          <w:lang w:eastAsia="sr-Latn-RS"/>
        </w:rPr>
        <w:t xml:space="preserve"> Videti u literaturi1 za tumačenje rezultata koji su u okviru UN propisa o transportu za korišćenje nekoliko referentnih supstanci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Recommendations on the Transport of Dangerous Goods, Manual of Tests and Criteria. 3rd evised edition. UN Publication No: ST/SG/AC.10/11/Rev. 3, 1999, str. 342. Test O.2: Test for oxidising liquids.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1BA48B48" wp14:editId="127FF73E">
            <wp:extent cx="4038600" cy="4505325"/>
            <wp:effectExtent l="0" t="0" r="0" b="9525"/>
            <wp:docPr id="5" name="Picture 5" descr="C:\Program Files (x86)\ParagrafLex\browser\Files\Old\t\t2013_12\t12_0570_s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Program Files (x86)\ParagrafLex\browser\Files\Old\t\t2013_12\t12_0570_s056.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38600" cy="45053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 čemu je:</w:t>
      </w:r>
      <w:r w:rsidRPr="00984859">
        <w:rPr>
          <w:rFonts w:ascii="Arial" w:eastAsia="Times New Roman" w:hAnsi="Arial" w:cs="Arial"/>
          <w:lang w:eastAsia="sr-Latn-RS"/>
        </w:rPr>
        <w:br/>
        <w:t>A - Telo suda pod pritiskom;</w:t>
      </w:r>
      <w:r w:rsidRPr="00984859">
        <w:rPr>
          <w:rFonts w:ascii="Arial" w:eastAsia="Times New Roman" w:hAnsi="Arial" w:cs="Arial"/>
          <w:lang w:eastAsia="sr-Latn-RS"/>
        </w:rPr>
        <w:br/>
        <w:t>B - Zadržni ventil diska koji štiti od eksplozije;</w:t>
      </w:r>
      <w:r w:rsidRPr="00984859">
        <w:rPr>
          <w:rFonts w:ascii="Arial" w:eastAsia="Times New Roman" w:hAnsi="Arial" w:cs="Arial"/>
          <w:lang w:eastAsia="sr-Latn-RS"/>
        </w:rPr>
        <w:br/>
        <w:t>C - Zadržni ventil za vatru;</w:t>
      </w:r>
      <w:r w:rsidRPr="00984859">
        <w:rPr>
          <w:rFonts w:ascii="Arial" w:eastAsia="Times New Roman" w:hAnsi="Arial" w:cs="Arial"/>
          <w:lang w:eastAsia="sr-Latn-RS"/>
        </w:rPr>
        <w:br/>
        <w:t>D - Zaptivač od mekog olova;</w:t>
      </w:r>
      <w:r w:rsidRPr="00984859">
        <w:rPr>
          <w:rFonts w:ascii="Arial" w:eastAsia="Times New Roman" w:hAnsi="Arial" w:cs="Arial"/>
          <w:lang w:eastAsia="sr-Latn-RS"/>
        </w:rPr>
        <w:br/>
        <w:t>E - Disk koji štiti od eksplozije;</w:t>
      </w:r>
      <w:r w:rsidRPr="00984859">
        <w:rPr>
          <w:rFonts w:ascii="Arial" w:eastAsia="Times New Roman" w:hAnsi="Arial" w:cs="Arial"/>
          <w:lang w:eastAsia="sr-Latn-RS"/>
        </w:rPr>
        <w:br/>
        <w:t>F - Ručka;</w:t>
      </w:r>
      <w:r w:rsidRPr="00984859">
        <w:rPr>
          <w:rFonts w:ascii="Arial" w:eastAsia="Times New Roman" w:hAnsi="Arial" w:cs="Arial"/>
          <w:lang w:eastAsia="sr-Latn-RS"/>
        </w:rPr>
        <w:br/>
        <w:t>G - Glava prenosnika pritiska;</w:t>
      </w:r>
      <w:r w:rsidRPr="00984859">
        <w:rPr>
          <w:rFonts w:ascii="Arial" w:eastAsia="Times New Roman" w:hAnsi="Arial" w:cs="Arial"/>
          <w:lang w:eastAsia="sr-Latn-RS"/>
        </w:rPr>
        <w:br/>
        <w:t>H - Zaptivač;</w:t>
      </w:r>
      <w:r w:rsidRPr="00984859">
        <w:rPr>
          <w:rFonts w:ascii="Arial" w:eastAsia="Times New Roman" w:hAnsi="Arial" w:cs="Arial"/>
          <w:lang w:eastAsia="sr-Latn-RS"/>
        </w:rPr>
        <w:br/>
        <w:t>J - Izolovana elektroda;</w:t>
      </w:r>
      <w:r w:rsidRPr="00984859">
        <w:rPr>
          <w:rFonts w:ascii="Arial" w:eastAsia="Times New Roman" w:hAnsi="Arial" w:cs="Arial"/>
          <w:lang w:eastAsia="sr-Latn-RS"/>
        </w:rPr>
        <w:br/>
        <w:t>K - Uzemljena elektroda;</w:t>
      </w:r>
      <w:r w:rsidRPr="00984859">
        <w:rPr>
          <w:rFonts w:ascii="Arial" w:eastAsia="Times New Roman" w:hAnsi="Arial" w:cs="Arial"/>
          <w:lang w:eastAsia="sr-Latn-RS"/>
        </w:rPr>
        <w:br/>
        <w:t>L - Izolacija;</w:t>
      </w:r>
      <w:r w:rsidRPr="00984859">
        <w:rPr>
          <w:rFonts w:ascii="Arial" w:eastAsia="Times New Roman" w:hAnsi="Arial" w:cs="Arial"/>
          <w:lang w:eastAsia="sr-Latn-RS"/>
        </w:rPr>
        <w:br/>
        <w:t>M - Čelična kupa;</w:t>
      </w:r>
      <w:r w:rsidRPr="00984859">
        <w:rPr>
          <w:rFonts w:ascii="Arial" w:eastAsia="Times New Roman" w:hAnsi="Arial" w:cs="Arial"/>
          <w:lang w:eastAsia="sr-Latn-RS"/>
        </w:rPr>
        <w:br/>
        <w:t xml:space="preserve">N - Iskrivljeni žleb zaptivača.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2. Oslonac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523CADD6" wp14:editId="7CE5B9F0">
            <wp:extent cx="5172075" cy="5781675"/>
            <wp:effectExtent l="0" t="0" r="9525" b="9525"/>
            <wp:docPr id="4" name="Picture 4" descr="C:\Program Files (x86)\ParagrafLex\browser\Files\Old\t\t2013_12\t12_0570_s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Program Files (x86)\ParagrafLex\browser\Files\Old\t\t2013_12\t12_0570_s057.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72075" cy="57816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3. Sistem za paljenje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141B2C2B" wp14:editId="717A2A63">
            <wp:extent cx="4857750" cy="2514600"/>
            <wp:effectExtent l="0" t="0" r="0" b="0"/>
            <wp:docPr id="3" name="Picture 3" descr="C:\Program Files (x86)\ParagrafLex\browser\Files\Old\t\t2013_12\t12_0570_s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 (x86)\ParagrafLex\browser\Files\Old\t\t2013_12\t12_0570_s058.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7750" cy="25146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Pri čemu je:</w:t>
      </w:r>
      <w:r w:rsidRPr="00984859">
        <w:rPr>
          <w:rFonts w:ascii="Arial" w:eastAsia="Times New Roman" w:hAnsi="Arial" w:cs="Arial"/>
          <w:lang w:eastAsia="sr-Latn-RS"/>
        </w:rPr>
        <w:br/>
        <w:t>A - Kalem za paljenje;</w:t>
      </w:r>
      <w:r w:rsidRPr="00984859">
        <w:rPr>
          <w:rFonts w:ascii="Arial" w:eastAsia="Times New Roman" w:hAnsi="Arial" w:cs="Arial"/>
          <w:lang w:eastAsia="sr-Latn-RS"/>
        </w:rPr>
        <w:br/>
        <w:t>B - Izolacija;</w:t>
      </w:r>
      <w:r w:rsidRPr="00984859">
        <w:rPr>
          <w:rFonts w:ascii="Arial" w:eastAsia="Times New Roman" w:hAnsi="Arial" w:cs="Arial"/>
          <w:lang w:eastAsia="sr-Latn-RS"/>
        </w:rPr>
        <w:br/>
        <w:t>C - Elektrode;</w:t>
      </w:r>
      <w:r w:rsidRPr="00984859">
        <w:rPr>
          <w:rFonts w:ascii="Arial" w:eastAsia="Times New Roman" w:hAnsi="Arial" w:cs="Arial"/>
          <w:lang w:eastAsia="sr-Latn-RS"/>
        </w:rPr>
        <w:br/>
        <w:t xml:space="preserve">D - Zaptivač za vatru.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Može se koristiti bilo koji od ovih sistema.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A.22. ODREĐIVANJE SREDNJEG GEOMETRIJSKOG PREČNIKA VLAKANA POMOĆU DUŽINE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ovoj metodi opisuje se postupak za merenje srednjeg geometrijskog prečnika pomoću dužine (Length Weighted Geometric Mean Diameter, u daljem tekstu: LWGMD) veštačkih mineralnih vlakana (Man Made Mineral Fibres, u daljem tekstu: MMMF). Budući da se LWGMD vlakana sa 95% verovatnoće nalazi između nivoa pouzdanosti uzorka od 95% (tj. LWGMD ± dve standardne greške), vrednost koja se navodi u izveštaju (ispitivana vrednost) odgovaraće donjoj granici pouzdanosti uzorka od 95% (tj. LWGMD - 2 standardne greške). Ova metoda zasniva se na ažuriranoj verziji (jun 1994. godine) nacrta industrijskog postupka za zaštitu zdravlja, bezbednost i zaštitu životne sredine (Health, Safety &amp; Environment, HSE) koji je dogovoren na sastanku između ECFIA (European Ceramic Fibres Industry Association) i HSE u Česteru 26. septembra 1993. godine i koji je izrađen za potrebe drugog međulaboratorijskog eksperimenta i na osnovu tog eksperimenta</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Ova merna metoda može se koristiti za opisivanje prečnika vlakana supstanci u rasutom stanju ili proizvoda koji sadrže MMMF, uključujući vatrostalna keramička vlakna (refractory ceramic fibres, RCF), veštačka staklena vlakna (man-made vitreous fibres, MMVF), kristalna i polikristalna vlakna.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Određivanje dužinom je način da se kompenzuje uticaj na raspodelu prečnika zbog pucanja dugačkih vlakana prilikom uzorkovanja ili rukovanja materijalom. Za merenje raspodele veličina prečnika MMMF koristi se geometrijska statistika (geometrijska sredina) budući da se njihove raspodele veličina obično približavaju log-normalnoj raspodeli.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Merenje dužine i prečnika je zamoran i dugotrajan posao, ali ako se mere samo vlakna koja dodiruju beskonačno tanku crtu u vidnom polju skenirajućeg elektronskog mikroskopa (u daljem tekstu: SEM), tada je verovatnoća da se odabere određeno vlakno srazmerna dužini. Budući da je pitanje dužine za potrebe određivanja dužinom time rešeno, potrebno je samo izmeriti prečnik i LWGMD-2SE se tada može izračunati na način kako je opisano.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Čestica jeste predmet čiji je odnos dužine i širine manji od 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Vlakno jeste predmet čiji je odnos dužine i širine (odnos stranica) najmanje 3:1.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PODRUČJE PRIMENE I OGRANIČENJA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namenjena je proučavanju raspodela prečnika kod srednjih prečnika od 0,5 μm do 6 μm. Veći prečnici mogu se meriti uz primenu manjih povećanja SEM, ali se time povećavaju ograničenja metoda kod finijih raspodela vlakana, dok se u slučaju srednjih prečnika ispod 0,5 μm preporučuje merenje uz pomoć transmisioni elektronski mikroskop (u daljem tekstu: TEM).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 PRINCIP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Uzme se određeni broj reprezentativnih uzoraka iz jezgra mekane ploče ili slobodnih vlakana u rasutom stanju. Vlakna u rasutom stanju se skrate drobljenjem i reprezentativni poduzorak disperguje u vodi. Alikvoti se ekstrahuju i filtriraju kroz polikarbonatni filter veličine pora 0,2 μm i pripreme za pregled pod skenirajućim elektronskim mikroskopom (SEM). Prečnici vlakana mere se pod uveličanjem x 10.000 ili većim metodom presecanja linija da bi se dobila nepristrasna procena srednjeg prečnika. Izračuna se donji interval pouzdanosti 95% (na osnovu jednostranog ispitivanja) tako da se dobije procena najniže vrednosti srednjeg geometrijskog prečnika vlakana materijala.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OPIS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Bezbednost/mere opreza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Izlaganje ljudi vlaknima u vazduhu treba svesti na najmanju moguću meru i kod rukovanja suvim vlaknima koristiti digestor ili komoru za rukovanje sa rukavicama.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Izloženost ljudi treba periodično proveravati kako bi se utvrdila efektivnost kontrolnih metoda. Kod rukovanja MMMF vlaknima treba nositi rukavice za jednokratnu upotrebu kako bi se umanjila iritacija kože i sprečila unakrsna kontaminacija.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Aparatura/oprema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Presa i boje (da može da se proizvede 10 MPa).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Polikarbonatni filteri sa kapilarnim porama veličine pora 0,2 μm (prečnik 25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Membranski filter od celuloznog estera veličine pora 5 μm koji se koristi kao pomoćni filter.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Stakleni uređaj za filtraciju (ili filtracijski sistemi za jednokratnu upotrebu) za filtere prečnika 25 mm (npr. stakleni komplet za mikroanalizu Millipore, tip XX10 025 00).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Sveže destilovana voda, filtrirana kroz filter veličine pora 0,2 μm radi uklanjanja mikroorganizama.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naparivanje zlata ili zlata/paladijuma.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Skenirajući elektronski mikroskop rezolucije do 10 nm i povećanjem × 10.000.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Razno: špatule, skalpelski nož tip 24, pinceta, cevčice SEM, karbonski lepak ili karbonska lepljiva traka, koloidno srebro.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Ultrazvučna sonda ili stona ultrazvučna kupka.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Burgija za uzorkovanje jezgra ili burgija za plutu za uzimanje uzoraka iz MMMF ploča.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Postupak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1.5.3.1. Uzorkovanje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uzimanje uzoraka iz preseka tvrdih ili mekanih vlaknastih ploča koristi se burgija za uzorkovanje jezgra ili burgija za plutu od 25 mm. Uzorci se uzimaju u jednolikim razmacima </w:t>
      </w:r>
      <w:r w:rsidRPr="00984859">
        <w:rPr>
          <w:rFonts w:ascii="Arial" w:eastAsia="Times New Roman" w:hAnsi="Arial" w:cs="Arial"/>
          <w:lang w:eastAsia="sr-Latn-RS"/>
        </w:rPr>
        <w:lastRenderedPageBreak/>
        <w:t xml:space="preserve">po širini ploče, ako se radi o pločama male dužine, ili nasumično ako su raspoložive velike ploče. Ista oprema može se koristiti i za ekstrakciju slučajnih uzoraka slobodnih vlakana. Po mogućnosti treba uzeti šest uzoraka kako bi se uzele u obzir prostorne varijacije unutar materijala.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Šest jezgrovanih uzoraka izdrobi se u kalupu prečnika 50 mm pod pritiskom od 10 MPa. Materijal se promeša špatulom i ponovo kompresuje na 10 MPa. Materijal se zatim izvadi iz kalupa i čuva u zapečaćenoj staklenoj boci.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1.5.3.2. Priprema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Prema potrebi, vlakno treba ostaviti oko sat vremena u peći na temperaturi od 450 °C da bi se uklonilo organsko vezivo.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se podeli na poduzorke postupkom četvrtanja kupe (to treba učiniti u komori za zaštitu od prašine).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Mala količina uzorka (&lt; 0,5 g) doda se špatulom u 100 ml sveže destilovane vode koja je filtrirana kroz membranski filter 0,2 μm (mogu se koristiti i drugi izvori ultračiste vode ako se pokaže da su zadovoljavajućeg kvaliteta). Uzorak se dobro rasprši uz pomoć ultrazvučne sonde snage 100 W koja je podešena tako da izazove kavitaciju. (Ako sonda nije raspoloživa, koristi se sledeći postupak: uzorak protresti i okrenuti, ponavljajući postupak 30 sekundi; petominutna obrada u ultrazvučnom kupatilu; zatim se protresa i okreće još 30 sekundi.)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Čim se vlakno disperguje, izvadi se određeni broj alikvota (npr. tri alikvota od 3 ml, 6 ml i 10 ml) pipetom širokog grla (zapremine od 2 ml do 5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Svaki alikvot filtrira se pod vakuumom kroz polikarbonatni filter 0,2 μm i pomoćni MES filter veličine pora 5µm, koristeći stakleni filter - levak sa cilindričnim sudom. U levak se ulije oko 5 ml filtrirane destilovane vode i alikvot polako pipetira u vodu držeći vrh pipete ispod meniska. Pipetu i sud treba temeljno isprati nakon pipetiranja jer tanka vlakna imaju tendenciju da se nakupljaju na površini.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Pažljivo ukloniti filter i odvojiti ga od pomoćnog filtera pa staviti u posudu da se osuši.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Kružnim pokretom odseče se jedna četvrtina ili jedna polovina dela filtera sa filterskim talogom koristeći skalpel tipa 24. Odsečeni deo se pažljivo pričvrsti na nosač SEM pomoću karbonske lepljive trake ili karbonskog lepka. Koloidno srebro treba naneti na najmanje tri mesta kako bi se poboljšao električni kontakt na krajevima filtera i nosača. Kada se lepak/koloidno srebro osuši, na površinu taloga se naparivanjem nanese oko 50 nm zlata ili zlato/paladijuma.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1.5.3.3. Kalibracija i rad SEM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1.5.3.3.1. Kalibracija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Kalibraciju SEM treba proveravati najmanje jedanput nedeljno (u idealnom slučaju jedanput dnevno) koristeći serifikovanu rešetku za kalibraciju. Kalibracija se proverava u odnosu na sertifikovani standard i ako izmerena vrednost (SEM) nije u granicama ± 2% odobrene vrednosti, kalibraciju SEM treba prilagoditi i ponovo proveriti.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Na stvarnoj matrici uzorka SEM ima mogućnost rezolucije bar minimalnog vidljivog prečnika od 0,2 µm, pri uvećanju x 2.000.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1.5.3.3.2. Rad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SEM treba podesiti na uvećanje od 10.000 i osigurati uslove koji daju dobru rezoluciju i prihvatljiv kvalitet slike pri malim brzinama skeniranja, npr. 5 sekundi po sličici. Iako različiti SEM mogu imati različite radne postavke, za najbolju vidljivost i rezoluciju kod rada sa materijalima relativno niske atomske mase uglavnom treba koristiti ubrzavajući napon od 5 keV do 10 keV i uređaj podesiti na malu veličinu tačke i kratku radnu udaljenost. Kad se sprovodi linearna putanja treba koristiti nagib od 0° da bi se smanjila potreba za ponovnim fokusiranjem, a ako SEM ima eucentričnu fazu, treba koristiti eucentričnu radnu udaljenost. Može se koristiti i manje uvećanje ako materijal ne sadrži mala vlakna (malog prečnika) i prečnici vlakana su veliki (&gt; 5 μm).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1.5.3.4. Određivanje veličine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1.5.3.4.1. Ispitivanje uzorka pregledom pri malom uvećanju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uzorak treba pregledati pod malim uvećanjem da bi se otkrile eventualne naznake zgrušavanja velikih vlakana i procenila gustina vlakana. U slučaju preteranog zgrušavanja, preporučuje se da se pripremi novi uzorak.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postigla statistička tačnost, potrebno je izmeriti određeni minimalni broj vlakana, a velika gustina vlakana može se smatrati poželjnim svojstvom jer ispitivanje praznih polja oduzima vreme, a ne doprinosi analizi. Međutim, ako je filter preopterećen, biće teško izmeriti sva merljiva vlakna, a neka manja vlakna se mogu i prevideti ako su sakrivena iza velikih vlakana.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gustina vlakana iznad 150 vlakana po milimetru linearne putanje, može se javiti pristrasnost u smislu previsoke procene LWGMD. S druge strane, male koncentracije vlakana produžavaju vreme analize i često je isplativije pripremiti uzorak čija je gustina vlakana bliža optimalnoj gustini nego nastaviti sa brojanjem na filterima sa niskom koncentracijom. Kod optimalne gustine vlakana treba prosečno da se dobije otprilike jedno do dva brojiva vlakna po vidnom polju pri uvećanju od 5.000. Optimalna gustina zavisi od veličine (prečnika) vlakana pa ispitivač u određenoj meri treba stručno da prosuđuje kako bi odlučio da li je gustina vlakana približno optimalna ili nije.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1.5.3.4.2. Određivanje prečnika vlakana dužinom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Broje se samo vlakna koja dodiruju (ili seku) (beskonačno) tanku crtu na ekranu SEM. Iz tog razloga treba povući vodoravnu (ili vertikalnu) crtu kroz sredinu ekrana.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Druga mogućnost je da se u sredini ekrana stavi jedna tačka i započne kontinuirano skeniranje u jednom smeru preko filtera. Meri se i beleži prečnik svakog vlakna odnosa stranica većeg od 3:1 koje dodiruje ili seče tu tačku.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1.5.3.4.3. Određivanje veličine vlakna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da se izmeri najmanje 300 vlakana. Svako vlakno meri se samo jedanput u tački gde seče liniju ili tačku nacrtanu na slici (ili u blizini tačke preseka ako su ivice vlakna skrivene). Ako se naiđe na vlakna neujednačenog preseka, uzima se u obzir merenje koje predstavlja prosečni prečnik vlakna. Definisanje ivice i merenje najkraće udaljenosti između ivica vlakna zahteva poseban oprez. Određivanje veličine može da se vrši direktno tokom </w:t>
      </w:r>
      <w:r w:rsidRPr="00984859">
        <w:rPr>
          <w:rFonts w:ascii="Arial" w:eastAsia="Times New Roman" w:hAnsi="Arial" w:cs="Arial"/>
          <w:lang w:eastAsia="sr-Latn-RS"/>
        </w:rPr>
        <w:lastRenderedPageBreak/>
        <w:t xml:space="preserve">rada ili, na sačuvanim slikama odnosno fotografijama. Preporučuju se poluautomatski sistemi merenja slike koji podatke učitavaju direktno u tabelu, jer se tako štedi vreme i izbegavaju greške u prepisivanju, a izračunavanje se može automatizovati.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Krajeve dugačkih vlakana treba pregledati pod malim uvećanjem da bi se proverilo da ne zavijaju nazad u vidno polje merenja i da ne bi bili izmereni više puta.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Prečnici vlakana obično nemaju normalnu raspodelu. Logaritamskom transformacijom može se dobiti približno normalna raspodela.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Izračuna se aritmetička sredina (srednji lnD) i standardna devijacija (SD</w:t>
      </w:r>
      <w:r w:rsidRPr="00984859">
        <w:rPr>
          <w:rFonts w:ascii="Arial" w:eastAsia="Times New Roman" w:hAnsi="Arial" w:cs="Arial"/>
          <w:sz w:val="15"/>
          <w:szCs w:val="15"/>
          <w:vertAlign w:val="subscript"/>
          <w:lang w:eastAsia="sr-Latn-RS"/>
        </w:rPr>
        <w:t>lnD</w:t>
      </w:r>
      <w:r w:rsidRPr="00984859">
        <w:rPr>
          <w:rFonts w:ascii="Arial" w:eastAsia="Times New Roman" w:hAnsi="Arial" w:cs="Arial"/>
          <w:lang w:eastAsia="sr-Latn-RS"/>
        </w:rPr>
        <w:t xml:space="preserve">) vrednosti logaritma po bazi e (lnD) n prečnika vlakana (D).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77"/>
        <w:gridCol w:w="682"/>
        <w:gridCol w:w="7153"/>
      </w:tblGrid>
      <w:tr w:rsidR="00984859" w:rsidRPr="00984859" w:rsidTr="00984859">
        <w:trPr>
          <w:tblCellSpacing w:w="0" w:type="dxa"/>
        </w:trPr>
        <w:tc>
          <w:tcPr>
            <w:tcW w:w="4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srednji </w:t>
            </w:r>
            <w:r w:rsidRPr="00984859">
              <w:rPr>
                <w:rFonts w:ascii="Arial" w:eastAsia="Times New Roman" w:hAnsi="Arial" w:cs="Arial"/>
                <w:i/>
                <w:iCs/>
                <w:lang w:eastAsia="sr-Latn-RS"/>
              </w:rPr>
              <w:t>InD</w:t>
            </w:r>
            <w:r w:rsidRPr="00984859">
              <w:rPr>
                <w:rFonts w:ascii="Arial" w:eastAsia="Times New Roman" w:hAnsi="Arial" w:cs="Arial"/>
                <w:lang w:eastAsia="sr-Latn-RS"/>
              </w:rPr>
              <w:t xml:space="preserve"> = </w:t>
            </w:r>
          </w:p>
        </w:tc>
        <w:tc>
          <w:tcPr>
            <w:tcW w:w="5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i/>
                <w:iCs/>
                <w:sz w:val="20"/>
                <w:szCs w:val="20"/>
                <w:lang w:eastAsia="sr-Latn-RS"/>
              </w:rPr>
              <w:t></w:t>
            </w:r>
            <w:r w:rsidRPr="00984859">
              <w:rPr>
                <w:rFonts w:ascii="Arial" w:eastAsia="Times New Roman" w:hAnsi="Arial" w:cs="Arial"/>
                <w:i/>
                <w:iCs/>
                <w:lang w:eastAsia="sr-Latn-RS"/>
              </w:rPr>
              <w:t xml:space="preserve">InD </w:t>
            </w:r>
          </w:p>
        </w:tc>
        <w:tc>
          <w:tcPr>
            <w:tcW w:w="40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 xml:space="preserve">n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76B8FDB7" wp14:editId="31EA48F2">
            <wp:extent cx="2933700" cy="676275"/>
            <wp:effectExtent l="0" t="0" r="0" b="9525"/>
            <wp:docPr id="2" name="Picture 2" descr="C:\Program Files (x86)\ParagrafLex\browser\Files\Old\t\t2013_12\t12_0570_s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 (x86)\ParagrafLex\browser\Files\Old\t\t2013_12\t12_0570_s059.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0" cy="6762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Standardna devijacija podeli se sa kvadratnim korenom broja merenja (n) da bi se dobila standardna greška (SE</w:t>
      </w:r>
      <w:r w:rsidRPr="00984859">
        <w:rPr>
          <w:rFonts w:ascii="Arial" w:eastAsia="Times New Roman" w:hAnsi="Arial" w:cs="Arial"/>
          <w:sz w:val="15"/>
          <w:szCs w:val="15"/>
          <w:vertAlign w:val="subscript"/>
          <w:lang w:eastAsia="sr-Latn-RS"/>
        </w:rPr>
        <w:t>lnD</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03FD424F" wp14:editId="25E594BC">
            <wp:extent cx="1085850" cy="523875"/>
            <wp:effectExtent l="0" t="0" r="0" b="9525"/>
            <wp:docPr id="1" name="Picture 1" descr="C:\Program Files (x86)\ParagrafLex\browser\Files\Old\t\t2013_12\t12_0570_s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Program Files (x86)\ParagrafLex\browser\Files\Old\t\t2013_12\t12_0570_s060.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5850" cy="5238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dobila geometrijska sredina umanjena za dve geometrijske standardne greške, dvostruka standardna greška se oduzme od srednje vrednosti i izračuna eksponent te vrednosti (srednja vrednost minus dve standardne greške).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LWGMD - 2SE = </w:t>
      </w:r>
      <w:r w:rsidRPr="00984859">
        <w:rPr>
          <w:rFonts w:ascii="Arial" w:eastAsia="Times New Roman" w:hAnsi="Arial" w:cs="Arial"/>
          <w:i/>
          <w:iCs/>
          <w:lang w:eastAsia="sr-Latn-RS"/>
        </w:rPr>
        <w:t>e</w:t>
      </w:r>
      <w:r w:rsidRPr="00984859">
        <w:rPr>
          <w:rFonts w:ascii="Arial" w:eastAsia="Times New Roman" w:hAnsi="Arial" w:cs="Arial"/>
          <w:sz w:val="15"/>
          <w:szCs w:val="15"/>
          <w:vertAlign w:val="superscript"/>
          <w:lang w:eastAsia="sr-Latn-RS"/>
        </w:rPr>
        <w:t>(srednjiInD-2SEInD)</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naročito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vrednosti LWGMD-2SE;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svim odstupanjima, a posebno onim koja mogu da utiču na preciznost ili tačnost rezultata, uz odgovarajuća obrazloženja.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 B. Tylee SOP MF 240. Health and Safety Executive, February 1999. G. Burdett and G. Revell. Development of a standard method to measure the length-weigthed geometric mean fibre diameter: Results of the Second inter-laboratory exchange. IR/L/MF/94/07. Project R42.75 HPD. Health and Safety Executive, Research and Laboratory Services Division, 1994. </w:t>
      </w:r>
    </w:p>
    <w:p w:rsidR="00984859" w:rsidRPr="00984859" w:rsidRDefault="00984859" w:rsidP="00984859">
      <w:pPr>
        <w:spacing w:after="0" w:line="240" w:lineRule="auto"/>
        <w:jc w:val="center"/>
        <w:rPr>
          <w:rFonts w:ascii="Arial" w:eastAsia="Times New Roman" w:hAnsi="Arial" w:cs="Arial"/>
          <w:b/>
          <w:bCs/>
          <w:sz w:val="31"/>
          <w:szCs w:val="31"/>
          <w:lang w:eastAsia="sr-Latn-RS"/>
        </w:rPr>
      </w:pPr>
      <w:r w:rsidRPr="00984859">
        <w:rPr>
          <w:rFonts w:ascii="Arial" w:eastAsia="Times New Roman" w:hAnsi="Arial" w:cs="Arial"/>
          <w:b/>
          <w:bCs/>
          <w:sz w:val="31"/>
          <w:szCs w:val="31"/>
          <w:lang w:eastAsia="sr-Latn-RS"/>
        </w:rPr>
        <w:t xml:space="preserve">Prilog 2. </w:t>
      </w:r>
    </w:p>
    <w:p w:rsidR="00984859" w:rsidRPr="00984859" w:rsidRDefault="00984859" w:rsidP="00984859">
      <w:pPr>
        <w:spacing w:after="0" w:line="240" w:lineRule="auto"/>
        <w:jc w:val="center"/>
        <w:rPr>
          <w:rFonts w:ascii="Arial" w:eastAsia="Times New Roman" w:hAnsi="Arial" w:cs="Arial"/>
          <w:b/>
          <w:bCs/>
          <w:sz w:val="31"/>
          <w:szCs w:val="31"/>
          <w:lang w:eastAsia="sr-Latn-RS"/>
        </w:rPr>
      </w:pPr>
      <w:r w:rsidRPr="00984859">
        <w:rPr>
          <w:rFonts w:ascii="Arial" w:eastAsia="Times New Roman" w:hAnsi="Arial" w:cs="Arial"/>
          <w:b/>
          <w:bCs/>
          <w:sz w:val="31"/>
          <w:szCs w:val="31"/>
          <w:lang w:eastAsia="sr-Latn-RS"/>
        </w:rPr>
        <w:t xml:space="preserve">Metode ispitivanja svojstava hemikalija koja utiču na život i zdravlje ljudi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A. OPIS SVOJSTAVA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početka studija toksičnosti potrebno je znati sastav ispitivane supstance uključujući i glavne nečistoće i značajna fizička i hemijska svojstva uključujući stabilnost.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Fizička i hemijska svojstva ispitivane supstance važni su podaci za izbor puta primene, plana svake pojedinačne studije, kao i načina rukovanja i čuvanja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Početku studije prethodi unapređivanje analitičke metode za kvalitativnu i kvantitativnu analizu ispitivane supstance (uključujući glavne nečistoće kada potrebno) u vehikulumu za primenu doze i biološkom materijalu.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 o ispitivanju uključuju se svi podaci koje se odnose na identifikaciju, fizička i hemijska svojstva, čistoću i ponašanje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B. BRIGA O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ispitivanju toksičnosti važna je stroga kontrola uslova smeštaja i tehnika o odgovarajućoj brizi o životinjama.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 Uslovi smeštaja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Uslovi smeštaja u prostorijama i kavezima za eksperimentalne životinje odgovaraju eksperimentalnoj vrsti koja se koristi. Za pacove, miševe i zamorce odgovarajući uslovi su: sobna temperatura od 22 °C ± 3 °C sa relativnom vlažnošću od 30% do 70%; a za kuniće temperatura je 20 °C ± 3° C sa relativnom vlažnošću od 30% do 70%.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Neke eksperimentalne tehnike naročito su osetljive na efekte temperature i u tim slučajevima detalji odgovarajućih uslova uključeni su u opis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svim istraživanjima toksičnih efekata temperatura i vlažnost se prate, beleže i uključuju u konačni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Osvetljenje je veštačko sa smenjivanjem 12 sati svetla i 12 sati mraka. Detalji o osvetljenosti tokom eksperimenta beleže se i uključuju u konačni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nije drugačije propisano u metodi ispitivanja, životinje se mogu smestiti u odgovarajući smeštaj za pojedinačno i odvojeno držanje ili u kavezima u malim grupama istog pola. U slučaju grupnog smeštaja ne stavljan se više od pet životinja u kavez.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izveštaju o ispitivanju na životinjama važno je naznačiti tip kaveza i broj životinja smeštenih u svakom kavezu za vreme izlaganja hemikaliji i u svakom kasnijem periodu posmatranja.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Ishrana zadovoljava sve nutritivne zahteve vrste koja se koristi u ispitivanju. Kada se ispitivane supstance daju životinjama preko hrane, nutritivna vrednost može da bude smanjena usled međusobnog uticaja supstance i sastojaka hrane. Mogućnost ovakvog uticaja razmatra se pri tumačenju rezultata ispitivanja. Može se upotrebiti uobičajena laboratorijska hrana sa slobodnim pristupom vodi za piće. Na izbor hrane može da utiče potreba da se obezbedi odgovarajuća smeša ukoliko se ispitivana supstanca daje preko 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Nečistoće u hrani za koje se zna da utiču na toksičnost ne bi trebalo da su prisutne u koncentracijama koje utiču na rezultate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V. ALTERNATIVNA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Evropska unija promoviše razvoj i priznavanje alternativnih metoda koje mogu da daju isti nivo informacija kao sadašnja ispitivanja na životinjama, ali koje koriste manje životinja, izazivaju manje patnje ili izbegavaju upotrebu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Takve metode, kada budu dostupne, uzimaju se u obzir za karakterizaciju opasnosti i klasifikaciju koja sledi, kao i za obeležavanje opasnosti i procenu bezbednosti hemikalije kad god je to moguće.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G. PROCENA I TUMAČENJE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ispitivanja procenjuju i tumače, razmatraju se ograničenja direktne ekstrapolacije rezultata ispitivanja na životinjama i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studija na čoveka, i zato se za potvrdu rezultata ispitivanja mogu, kada su dostupni, koristiti dokazi o štetnim efektima na ljude.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D.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Većina ovih metoda razvijena je u okviru programa Organizacije za ekonomski razvoj i saradnju (u daljem tekstu: OECD) i sprovode se u skladu sa principima Dobre laboratorijske prakse, da bi se obezbedilo šire "uzajamno prihvatanje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Dodatne informacije mogu se naći u preporukama u OECD vodičima i literaturi.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B.1 bis. AKUTNA ORALNA TOKSIČNOST - METODA FIKSNIH DOZA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zasniva se na Uputstvu za ispitivanje OECD 420 (2001).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tradicionim metodama za određivanje akutne toksičnosti određene ispitivane supstance smrt životinja koristi se kao ciljni pokazatelj ispitivanja toksičnosti (endpoint). Britansko </w:t>
      </w:r>
      <w:r w:rsidRPr="00984859">
        <w:rPr>
          <w:rFonts w:ascii="Arial" w:eastAsia="Times New Roman" w:hAnsi="Arial" w:cs="Arial"/>
          <w:lang w:eastAsia="sr-Latn-RS"/>
        </w:rPr>
        <w:lastRenderedPageBreak/>
        <w:t>toksikološko udruženje predložilo je 1984. godine, na osnovu primene niza fiksnih doza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novi pristup ispitivanja akutne toksičnosti. Ovaj pristup zasniva se na posmatranju jasnih znakova toksičnosti jednog od niza fiksnih doznih nivoa, kako bi se izbeglo uginuće životinja kao ciljni pokazatelj. Nakon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validiranih ispitivanja (Velika Britanija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i međunarodna</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postupak fiksnih doza je 1992. godine prihvaćen kao metoda ispitivanja. Kasnije su statistički podaci postupka fiksnih doza validirani pomoću matematičkih modela u nizu ispitivanja</w:t>
      </w:r>
      <w:r w:rsidRPr="00984859">
        <w:rPr>
          <w:rFonts w:ascii="Arial" w:eastAsia="Times New Roman" w:hAnsi="Arial" w:cs="Arial"/>
          <w:b/>
          <w:bCs/>
          <w:sz w:val="15"/>
          <w:szCs w:val="15"/>
          <w:vertAlign w:val="superscript"/>
          <w:lang w:eastAsia="sr-Latn-RS"/>
        </w:rPr>
        <w:t>4,5,6</w:t>
      </w:r>
      <w:r w:rsidRPr="00984859">
        <w:rPr>
          <w:rFonts w:ascii="Arial" w:eastAsia="Times New Roman" w:hAnsi="Arial" w:cs="Arial"/>
          <w:lang w:eastAsia="sr-Latn-RS"/>
        </w:rPr>
        <w:t xml:space="preserve">. Zajedno su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ispitivanja i studije na modelima pokazale da je postupak reproduktivan, koristi se manji broj životinja i u poređenju sa tradicionalnim metodama izaziva manju patnju životinja, a rangira toksičnost supstance podjednako dobro kao i druge razvijene metode ispitivanja akutne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Uputstva za izbor najbolje metode ispitivanja za određenu namenu mogu se pronaći u literaturi</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koja sadrži dodatne informacije o izvođenju i tumačenju rezultata dobijenih metodom ispitivanja B.1 </w:t>
      </w:r>
      <w:r w:rsidRPr="00984859">
        <w:rPr>
          <w:rFonts w:ascii="Arial" w:eastAsia="Times New Roman" w:hAnsi="Arial" w:cs="Arial"/>
          <w:i/>
          <w:iCs/>
          <w:lang w:eastAsia="sr-Latn-RS"/>
        </w:rPr>
        <w:t>bis</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Princip ove metode ispitivanja jeste da se u glavnom ispitivanju koriste samo umereno toksične doze, a izbegavaju potencijalno smrtonosne doze. Izbegava se i primena onih doza za koje je poznato da usled pojave korozivnog oštećenja ili jake iritacije izazivaju značajan bol ili stres kod životinja. Životinje koje su na samrti ili su jasno izložene intenzivnom bolu ili stresu, lišavaju se života na human način, a u konačnoj obradi rezultata tretiraju se na isti način kao i životinje koje uginu za vreme ispitivanja. U posebnom vodiču</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dati su kriterijumi prema kojima se životinje koje su na samrti ili jako pate lišavaju života na human način, a definisani su i simptomi na osnovu kojih je lako prepoznati neminovnu smrt.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ispitivanja obezbeđuje podatke o opasnim svojstvima supstance i omogućava procenu i klasifikaciju prema Globalno harmonizovanom sistemu za klasifikaciju i obeležavanje UN (u daljem tekstu: GHS) u odnosu na akutnu toksičnost</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početka studije uzimaju se u obzir svi dostupni podaci o ispitivanoj supstanci. Podaci uključuju identitet i hemijsku strukturu supstance; njena fizička i hemijska svojstva; rezultate obavljenih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toksičnosti; toksikološke podatke o strukturno sličnim supstancama; kao i predviđene načine korišćenja supstance. Ovi podaci ukazuju na važnost izvođenja studije za zaštitu zdravlja ljudi, a pomažu i pri izboru odgovarajuće početne doze.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Akutna oralna toksičnost jeste svojstvo hemikalije da izazove štetne efekte nakon primene pojedinačne peroralne doze ili nekoliko peroralnih doza u periodu od 24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Odložena smrt jeste uginuće životinja koje ne uginu ili nisu životno ugrožene tokom prvih 48 sati, već do uginuća dolazi u periodu posmatranja od 14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Doza jeste količina primenjene ispitivane supstance. Izražava se kao masa ispitivane supstance po jedinici telesne mase (TM) eksperimentalne životinje (mg/kg).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Evidentna toksičnost jeste toksični efekat kod koga se javljaju jasni znakovi toksičnosti nakon primene ispitivane supstance (za primere videti u literaturi</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koji su toliko intenzivni da bi izlaganje sledećoj većoj fiksnoj dozi kod životinja verovatno dovelo do jakog bola, stresa, iscrpljenosti, stanja na samrti (kriterijumi su prikazani u Vodiču</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ili do smrtnog ishoda).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GHS jeste skraćenica za Globalno harmonizovan sistem za klasifikaciju i obeležavanje hemikalija UN. Razvoj ovog sistema je zajednički napor OECD, UN Komiteta stručnjaka za transport opasnog tereta (fizička i hemijska svojstva) i Međunarodne organizacije rada (ILO), a koordinira ga Međuorganizacijski program za pravilno upravljanje hemikalijama (IOMC).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Neminovna smrt jeste očekivana smrt životinje koja je na samrti ili se njena smrt očekuje pre planiranog narednog vremena posmatranja. Simptomi koji ukazuju na ovo stanje kod glodara su konvulzije, lateralni položaj, ležeći položaj ili tremor (za detalje videti u literaturi</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(srednja smrtna doza) jeste statistički određena pojedinačna doza supstance za koju se očekuje da izaziva smrtnost kod 50 posto ispitivanih životinja kada se primeni peroralnim putem.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izražava se u jedinici mase ispitivane supstance po jedinici telesne mase eksperimentalne životinje (mg/kg).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Granična doza jeste gornja granična doza koja se koristi u ispitivanju (2.000 mg/kg ili 5.000 mg/kg).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Stanje na samrti jeste stanje definisano kao nemogućnost preživljavanja ili neminovna smrt životinje, čak i nakon eventualnog tretmana (za detalje videti u literaturi</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Predvidljiva smrt jeste stanje koje karakteriše prisutnost kliničkih znakova koji ukazuju na neminovnu smrt životinje pre završetka eksperimenta, na primer nemogućnost uzimanja vode ili hrane (za detalje videti u literaturi</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grupe životinja istog pola postupno se (korak po korak) primenjuju fiksne doze od 5 mg/kg, 50 mg/kg, 300 mg/kg i 2.000 mg/kg (izuzetno, može se razmotriti i primena još jedne fiksne doze od 5.000 mg/kg, videti odeljak 1.6.2 ove metode). Količina inicijalne doze bira se na osnovu prethodnih ispitivanja. Primenjuje se ona doza za koju se očekuje da će rezultirati nekim znakovima toksičnosti, pri čemu ova doza neće izazvati teško trovanje ili smrt. Klinički znakovi ili stanja koja upućuju na jak bol, patnju ili neminovnu smrt životinje detaljno su opisani u posebnom OECD Vodiču</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Nakon primene inicijalne doze grupe životinja koje se dalje uključuju u ispitivanje mogu se dozirati većim ili manjim fiksnim dozama, u zavisnosti od toga da li su prisutni znakovi koji ukazuju na toksičnost ili uginuće. Ovaj postupak se nastavlja do primene doze koja izaziva evidentnu toksičnost ili smrt najviše jedne životinje. Postupak se prekida kada najveća primenjena doza ne izazove toksične efekte ili kada najniža primenjena doza dovede do smrti životinja.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Preporučena vrsta glodara je pacov, iako se za ispitivanja koriste i druge životinjske vrste. Najčešće se koriste ženke</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jer je na osnovu literature koja se odnosi na ispitivanje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uočeno da je mala razlika u osetljivosti polova pri primeni ove metode. U slučajevima u kojima je uočena razlika, ženke su pokazale nešto veću osetljivost</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Ako se u literaturi pronađu toksikološki ili toksikokinetički podaci za strukturno slične hemikalije koji ukazuju na to da su mužjaci osetljiviji na određenu ispitivanu supstancu, koriste se mužjaci za ispitivanje. Kad se ispitivanje izvodi na mužjacima, navodi se opravdanost za njihovu primenu.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izvodi na zdravim mladim jedinkama onih laboratorijskih sojeva koji se uobičajeno koriste u ovakvim ispitivanjima. Ispitivanje se vrši na ženkama koje nisu ranije rađale i nisu gravidne. Svaka životinja, na početku ispitivanja i primene prvih doza ispitivane supstance, treba da bude stara između 8 i 12 nedelja, a njena telesna masa treba da bude u opsegu ± 20% od srednje vrednosti mase prethodno doziranih životinja.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Uslovi smeštaja i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Temperatura prostorije u kojoj se drže životinje je 22° C (± 3° C). Relativna vlažnost vazduha je najmanje 30%, ali ne više od 70% (osim kada se prostorije čiste). Idealno je vlažnost vazduha održavati između 50% i 60%. Osvetljenje je veštačko, i to u intervalima od 12 sati svetla i 12 sati mraka. Za ishranu se može primenjivati uobičajena hrana za laboratorijske životinje, sa slobodnim pristupom vodi za piće. Životinje se prema primenjenoj dozi ispitivane supstance mogu grupisati u kaveze. Broj životinja po kavezu ne sme ni na koji način da ometa proces praćenja i posmatranja svake životinje.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biraju nasumce, obeležavaju radi lakšeg razlikovanja, a da bi se prilagodile na laboratorijske uslove drže se u kavezima najmanje pet dana pre početka eksperimenta i primene prve doze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1.4.4.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primenjuju se u konstantnim zapreminama, pa je neophodno prilagođavanje koncentracije za pripremanje različitih doza. Pri ispitivanju hemikalije u tečnom stanju, primena nerazblažene ispitivane supstance, odnosno supstance koja je u smeši u konstantnoj koncentraciji, može da bude značajna za kasniju procenu rizika od te supstance. Maksimalna pojedinačna zapremina doze ne sme da se prekorači. Maksimalna zapremina tečnosti koja sme da se primeni zavisi i od veličine eksperimentne životinje. Zapremina ispitivane supstance koja se primenjuje kod glodara ne bi smela da prelazi 1 ml/100g TM životinje; a ukoliko se primenjuje vodeni rastvor može se razmotriti i doza od 2 ml/100g TM životinje. Kad je reč o formulaciji i pripremi doze, prvenstveno se preporučuje primena vodenog rastvora/suspenzije/emulzije, a zatim rastvora/suspenzije/emulzije u ulju (npr. kukuruznom ulju) ili rastvor u nekom drugom vehikulumu. Za sve vehikulume osim vode neophodno je znati njihove toksikološke karakteristike. Doze se pripremaju neposredno pre primene, osim ako se radi o supstanci za koju je poznato da je stabilna u rastvoru tokom dužeg vremenskog perioda.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primenjuje se u jednoj dozi sondom direktno u želudac ili intubiranjem kanilom. U posebnim okolnostima, kada jednokratna doza nije moguća, ispitivana supstanca može se primeniti u nekoliko manjih porcija tokom vremenskog perioda koji nije duži od 24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početka primene doza ispitivane supstance, potrebno je izgladneti životinje (npr. pacovima je potrebno uskratiti hranu ali ne i vodu preko noći; miševima je potrebno uskratiti hranu ali ne i vodu na 3 do 4 sata). Nakon perioda gladovanja, potrebno je izmeriti telesnu masu životinja i primeniti ispitivanu supstancu. Nakon prve doze, hrana može ponovno da se uskrati, i to: kod pacova narednih 3 do 4 sata, a kod miševa naredna 1 do 2 sata. Kada se doza ispitivane supstance primeni u nekoliko manjih porcija u određenom vremenskom intervalu, može da se ukaže potreba za hranom i vodom ukoliko se radi o produženom vremenskom periodu.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Prethodno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prethodnog ispitivanja životinja je određivanje odgovarajuće početne doze za glavno ispitivanje. Ispitivana supstanca primenjuje se na pojedinačnim životinjama postupno kao što je opisano u dijagramu toka ispitivanja koji je dat u Delu drugom ove metode. Prethodno </w:t>
      </w:r>
      <w:r w:rsidRPr="00984859">
        <w:rPr>
          <w:rFonts w:ascii="Arial" w:eastAsia="Times New Roman" w:hAnsi="Arial" w:cs="Arial"/>
          <w:lang w:eastAsia="sr-Latn-RS"/>
        </w:rPr>
        <w:lastRenderedPageBreak/>
        <w:t xml:space="preserve">ispitivanje je završeno kada je moguće doneti odluku o početnoj dozi (ili u slučajevima kada dođe do uginuća već kod najniže fiksne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doza za prethodno ispitivanje može da bude fiksni dozni nivo od 5 mg/kg, 50 mg/kg, 300 mg/kg i 2.000 mg/kg, a definisana je kao ona doza koje će izazvati jasne znakove toksičnosti, odabrana na osnovu podataka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ispitivanja za ispitivanu supstancu ili druge strukturno slične hemikalije. Ukoliko nema ovakvih podataka, za početnu dozu uzima se koncentracija od 300 mg/kg.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napraviti pauzu od najmanje 24 sata između primene doza ispitivane supstance kod svake pojedinačne životinje. Životinje je potrebno posmatrati kroz vremenski period od najmanje 14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Izuzetno, i samo u slučajevima kad to opravdavaju specifične potrebe, može da se razmotri primena još jedne veće fiksne doze od 5.000 mg/kg (videti Deo četvrti ove metode). Zbog dobrobiti životinja, ne preporučuje se ispitivanje na životinjama za klasifikaciju ispitivane supstance u Kategoriju 5 prema GHS-u (u opsegu doza od 2.000 mg/kg do 5.000 mg/kg), i razmatra se samo u slučajevima kada postoji velika verovatnoća da će rezultati ovakvog ispitivanja imati neposredan značaj za zaštitu zdravlja ljudi ili životne sredine.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slučajevima kada u prethodnom ispitivanju već kod najniže primenjene fiksne doze (5 mg/kg) dođe do smrti eksperimentne životinje, uobičajen postupak je da se ispitivanje završi, a ispitivana supstanca klasifikuje u Kategoriju 1, prema GHS-u (kao što se može videti u Delu drugom ove metode). Ukoliko je potrebna dodatna potvrda za ovakvu klasifikaciju, može se sprovesti dodatno ispitivanje i to tako što se druga životinja dozira sa 5 mg/kg. Ako dođe do smrti i druge životinje, smatra se potvrđenom klasifikacija u Kategoriju 1 prema GHS-u, i obustavljaju se sva dalja ispitivanja. Ako druga životinja preživi, tada se na najviše tri dodatne životinje primenjuje doza od 5 mg/kg. Zbog visokog rizika od smrtnosti, naknadno uvedene životinje potrebno je uključivati u eksperiment jednu po jednu radi dobrobiti životinja. Vremenski razmak između doziranja kod pojedinačnih životinja je dovoljno dugačak da može lako da se predvidi preživljavanje prethodne životinje. Ako ipak dođe do drugog slučaja smrti, odmah se završava primena niza doza ispitivane supstance tako da se ispitivanje ne vrši dalje ni na jednoj životinji. Budući da pojava drugog slučaja uginuća (nevezano od broja životinja koje se ispituju u momentu kada se odluči da se eksperiment završi) spada pod ishod A koji je dat u Delu drugom ove metode (dve ili više smrti), primenjuje se klasifikaciono pravilo iz Dela trećeg ove metode pri fiksnoj dozi od 5 mg/kg (klasifikacija u Kategoriju 1 ako dođe do dve ili više slučaja smrti, ili u Kategoriju 2 ukoliko dođe do smrti kod jedne životinje). U Delu petom ove metode date su smernice za klasifikaciju prema Pravilniku o klasifikaciji, pakovanju, obeležavanju i oglašavanju hemikalije i određenog proizvoda ("Službeni glasnik RS", br. 59/10, 25/11 i 5/12), dok ne počne sa primenom Pravilnika o klasifikaciji, pakovanju, obeležavanju i oglašavanju hemikalije i određenog proizvoda u skladu sa Globalno harmonizovanim sistemom za klasifikaciju i obeležavanje UN ("Službeni glasnik RS", br. 64/10 i 26/11).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Glavno ispitivanje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1.5.3.1. Broj životinja i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dijagramu toka u Delu trećem ove metode prikazani su postupci koji se preduzimaju u ispitivanju nakon primene početnog doznog nivoa. Preduzima se jedan od tri koraka: prekid ispitivanja i klasifikacija u odgovarajuću klasu opasnosti ili ispitivanje većom fiksnom dozom ili ispitivanje manjom fiksnom dozom. Da bi se zaštitile životinje, dozni nivo koji je u prethodnom ispitivanju doveo do smrti životinje ne primenjuje se u glavnom ispitivanju (videti Deo treći ove metode). Iskustvo je pokazalo da je pri početnom doznom nivou najverovatniji </w:t>
      </w:r>
      <w:r w:rsidRPr="00984859">
        <w:rPr>
          <w:rFonts w:ascii="Arial" w:eastAsia="Times New Roman" w:hAnsi="Arial" w:cs="Arial"/>
          <w:lang w:eastAsia="sr-Latn-RS"/>
        </w:rPr>
        <w:lastRenderedPageBreak/>
        <w:t xml:space="preserve">ishod glavnog ispitivanja klasifikacija ispitivane supstance, tako da dalja ispitivanja nisu neophodna.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pri svakom doznom nivou koristi se ukupno pet životinja istog pola. Grupu od pet životinja čine jedna životinja iz prethodnog ispitivanja (kojoj je primenjena odabrana fiksna doza) i dodatne četiri životinje (osim u posebnim slučajevima kada se dozni nivo iz glavnog ispitivanja nije koristio u prethodnom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Vremenski razmak između primene ispitivane supstance pri svakom doznom nivou određen je početkom, trajanjem i ozbiljnošću znakova toksičnosti. Tretman životinja sledećom dozom se odlaže sve dok se ne uverimo u preživljavanje prethodno tretiranih životinja. Pravi se vremenski razmak od 3 do 4 dana između primene ispitivane supstance pri svakom doznom nivou, kako bi se omogućio dovoljno dug period za posmatranje eventualnih odloženih toksičnih reakcija. Ovaj vremenski interval može po potrebi da se menja, npr. u slučajevima u kojima su posmatranja nejasna. Kada se razmatra korišćenje fiksne doze od 5.000 mg/kg, potrebno je pratiti postupak koji je opisan u Delu četvrtom ove metode (videti odeljak 1.6.2.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1.5.3.2.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granične doze primarno se koristi u situacijama u kojima istraživač ima podatke koji ukazuju da je ispitivana hemikalija verovatno netoksična, tj. da postaje toksična samo iznad propisanih graničnih doza. Podaci o toksičnosti ispitivane hemikalije mogu se preuzeti iz završenih ispitivanja sa sličnim supstancama ili smešama, ako se uzme u obzir identitet i koncentracija komponenata izražena u procentima, za koje se pouzdano zna da su toksikološki značajne. U slučajevima gde nema podataka o toksičnosti ili ih nema dovoljno, ili kada se očekuje da će ispitivana hemikalija biti toksična, potrebno je isplanirati i obaviti glavno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granične doze koristi se već ustanovljen postupak, sa početnom dozom definisanom u prethodnom ispitivanju od 2.000 mg/kg (ili izuzetno 5.000 mg/kg) i sa naknadnim uvođenjem dodatne četiri eksperimentne životinje na koje će se primeniti ista doza.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Životinje se posmatraju pojedinačno nakon primene prve doze ispitivane supstance i to najmanje jednom tokom prvih 30 minuta i periodično tokom sledeća 24 sata, uz posebnu pažnju na prva 4 sata. Posmatranja se zatim obavljaju jedanput dnevno, u periodu od ukupno 14 dana, osim u slučajevima kada je životinju potrebno isključiti iz ispitivanja (ako je pronađena mrtva) ili je lišiti života na human način imajući u vidu dobrobit životinje. Trajanje posmatranja ne sme da bude strogo definisano, već ga određuju toksični efekti, početak i trajanje oporavka, a ukoliko postoji potreba može i da se produži. Važni su periodi u kojima se pojavljuju i nestaju prvi znaci toksičnosti, posebno ako se znaci toksičnosti javljaju odloženo</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Sva posmatranja sistematski se beleže, a za svaku životinju potrebno je voditi zasebni karton sa opažanjima.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životinje neprekidno pokazuju znakove toksičnosti, potrebna su dodatna posmatranja. Potrebno je uključiti i promene na koži i krznu, očima i mukoznim membranama, kao i na respiratornom, cirkulatornom, autonomnom i centralnom nervnom sistemu, promene somatomotorne aktivnosti i promene ponašanja. Posebna pažnja se obraća na pojavu tremora, konvulzija, salivacije, proliva, letargije, pospanosti i kome. Za definisanje ovih stanja koriste se principi i kriterijumi koji su dati u literaturi</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Životinje pronađene na samrti ili one </w:t>
      </w:r>
      <w:r w:rsidRPr="00984859">
        <w:rPr>
          <w:rFonts w:ascii="Arial" w:eastAsia="Times New Roman" w:hAnsi="Arial" w:cs="Arial"/>
          <w:lang w:eastAsia="sr-Latn-RS"/>
        </w:rPr>
        <w:lastRenderedPageBreak/>
        <w:t xml:space="preserve">koje trpe jak bol ili stres, lišavaju se života na human način. Kada su životinje lišene života iz humanih razloga ili su pronađene mrtve, potrebno je što preciznije zabeležiti vreme smrti.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Telesna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Individualna telesna masa životinja određuje se neposredno pre primene ispitivane supstance i najmanje jednom nedeljno nakon tog perioda. Beleže se i izračunavaju promene u telesnoj masi. Na kraju ispitivanja, meri se telesna masa preživelih životinja, a potom se lišavaju života na human način.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ispitivane životinje (uključujući i one koje uginu u toku ispitivanja ili su isključene iz ispitivanja zbog dobrobiti životinje) potrebno je postmortalno pregledati. Za svaku životinju beleže se sve značajne patološke promene. Mikroskopskim pregledom organa mogu se dobiti korisni podaci, pa je potrebno obaviti pregled organa koji su postmortalnim pregledom pokazali značajne patološke promene i to kod životinja koje su preživele 24 ili više sati nakon prve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prikupiti podatke za svaku životinju. Svi podaci se tabelarno prikazuju, a za svaku ispitivanu grupu navodi se ukupan broj životinja u grupi, broj životinja koje su pokazale znakove toksičnosti, broj životinja koje su pronađene mrtve ili broj onih koje se lišavaju života na human način tokom ispitivanja, vreme smrti pojedinačnih životinja, opis i vremenski tok toksičnih efekata i njihovu reverzibilnost, kao i nalaze postmortalnog pregleda.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PISANJE IZVEŠTAJA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Podatke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čistoću, i, kada je značajno, fizička i hemijska svojstva (uključujući izomerizaciju);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identifikacione podatke koji uključuju i CAS broj.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Podatke o vehikulumu (ako je značajno):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izbor vehikuluma, ukoliko nije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Podatke o eksperimentnoj životinji: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mikrobiološki status životinje, ako je poznat;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(uključujući, kada je značajno, obrazloženje ukoliko se koriste mužjaci umesto ženki);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izvor, uslove smeštaja, ishrane,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Podatke o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formulaciji ispitivane supstance, uključujući fizičko stanje u kome je primenjena formulacija;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primeni ispitivane supstance uključujući zapremine doza i vreme primene doze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kvalitetu hrane i vode uključujući detalje o vrsti i izvoru hrane i izvoru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izbor početne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Rezultate: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prikaz rezultata i primenjene doze za svaku životinju (životinje koje pokazuju znakove toksičnosti uključujući smrtnost, prirodu, intenzitet i trajanje toksičnih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prikaz telesne mase i promena telesne 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individualnu telesnu masu životinja na dan primene doze ispitivane supstance, zatim u nedeljnim intervalima, i u vreme uginuća ili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i vreme smrti, ako do nje dođe pre predviđenog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vremenski tok pojave znakova toksičnosti, i da li su znakovi bili reverzibilni za svaku životinju;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nalaze postmortalnih pregleda i histopatološki nalazi za svaku životinju, ukoliko su dostupni.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Diskusiju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Zaključke.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British Toxicology Society Working Party on Toxicity (1984). Special report: a new approach to the classification of substances and preparations on the basis of their acute toxicity. Human Toxicol., 3, 85-92.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Van den Heuvel, M.J., Dayan, A.D. and Shillaker, R.O. (1987). Evaluation of the BTS approach to the testing of substances and preparations for their acute toxicity. Human Toxicol.‚ 6, 279-291.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Van den Heuvel, M.J., Clark, D.G., Fielder, R.J., Koundakjian, P.P., Oliver, G.J.A., Pelling, D., Tomlinson, N.J. and Walker, A.P. (1990). The international validation of a fixed-dose procedure as an alternative to the classical LD50 test. Fd. Chem. Toxicol. 28, 469-482.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Whitehead, A. and Curnow, R.N. (1992). Statistical evaluation of the fixed-dose procedure. Fd. Chem. Toxicol., 30, 313-324.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5. Stallard, N. and Whitehead, A. (1995). Reducing numbers in the fixed-dose procedure. Human Exptl. Toxicol. 14, 315-323. Human Exptl. Toxicol.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Stallard, N., Whitehead, A. and Ridgeway, P. (2002). Statistical evaluation of the revised fixed dose procedure. Hum. Exp. Toxicol., 21, 183 -196.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OECD (2001). Guidance Document on Acute Oral Toxicity Testing. Environmental Health and Safety Monograph Series on Testing and Assessment N. 24. Paris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OECD (2000). Guidance Document on the Recognition, Assessment and Use of Clinical Signs as Humane Endpoints for Experimental Animals Used in Safety Evaluation. Environmental Health and Safety Monograph Series on Testing and Assesment N. 19.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OECD (1998). Harmonised Integrated Hazard Classification for Human Health and Environmental Effects of Chemical Substances as endorsed by the 28th Joint Meeting of the Chemicals Committee and the Working Party on Chemicals in November 1998, Part 2, p.11 [http://webnet1.oecd.org/oecd/pages/home/displaygeneral/0,3380,EN-documents-521-14-no-24-no-0,FF.html].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Lipnick, R.L., Cotruvo, J.A., Hill, R.N., Bruce, R.D., Stitzel, K.A., Walker, A.P., Chu, I., Goddard, M., Segal, L., Springer, J.A. and Myers, R.C. (1995). Comparison of the Up-and-Down, Conventional LD50, and Fixed-Dose Acute Toxicity Procedures. Fd. Chem. Toxicol. 33, 223-231.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Chan P.K and A.W. Hayes (1994) Chapter 16 Acute Toxicity and Eye Irritation. In: Principles and Methods of Toxicology. 3 rd Edition. A.W. Hayes, Editor. Raven Press, Ltd. New York, USA.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drugi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DIJAGRAM TOKA ZA PRETHODNO ISPITIVANJE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7387C770" wp14:editId="3AFAF70B">
            <wp:extent cx="6143625" cy="8143875"/>
            <wp:effectExtent l="0" t="0" r="9525" b="9525"/>
            <wp:docPr id="74" name="Picture 74" descr="C:\Program Files (x86)\ParagrafLex\browser\Files\Old\t\t2013_12\t12_0570_s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Program Files (x86)\ParagrafLex\browser\Files\Old\t\t2013_12\t12_0570_s061.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43625" cy="81438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48E4354A" wp14:editId="75DD3EFB">
            <wp:extent cx="5715000" cy="8963025"/>
            <wp:effectExtent l="0" t="0" r="0" b="9525"/>
            <wp:docPr id="73" name="Picture 73" descr="C:\Program Files (x86)\ParagrafLex\browser\Files\Old\t\t2013_12\t12_0570_s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 (x86)\ParagrafLex\browser\Files\Old\t\t2013_12\t12_0570_s062.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89630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Deo treći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DIJAGRAM TOKA ZA GLAVNO ISPITIVANJE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43C620FD" wp14:editId="22EC62DA">
            <wp:extent cx="6143625" cy="8039100"/>
            <wp:effectExtent l="0" t="0" r="9525" b="0"/>
            <wp:docPr id="72" name="Picture 72" descr="C:\Program Files (x86)\ParagrafLex\browser\Files\Old\t\t2013_12\t12_0570_s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Program Files (x86)\ParagrafLex\browser\Files\Old\t\t2013_12\t12_0570_s063.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43625" cy="80391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61990FF9" wp14:editId="4806A7F0">
            <wp:extent cx="6153150" cy="8591550"/>
            <wp:effectExtent l="0" t="0" r="0" b="0"/>
            <wp:docPr id="71" name="Picture 71" descr="C:\Program Files (x86)\ParagrafLex\browser\Files\Old\t\t2013_12\t12_0570_s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Program Files (x86)\ParagrafLex\browser\Files\Old\t\t2013_12\t12_0570_s064.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3150" cy="85915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Deo četvrti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KRITERIJUMI ZA KLASIFIKACIJU ISPITIVANIH SUPSTANCI SA OČEKIVANIM VREDNOSTIMA LD</w:t>
      </w:r>
      <w:r w:rsidRPr="00984859">
        <w:rPr>
          <w:rFonts w:ascii="Arial" w:eastAsia="Times New Roman" w:hAnsi="Arial" w:cs="Arial"/>
          <w:b/>
          <w:bCs/>
          <w:sz w:val="15"/>
          <w:szCs w:val="15"/>
          <w:vertAlign w:val="subscript"/>
          <w:lang w:eastAsia="sr-Latn-RS"/>
        </w:rPr>
        <w:t>50</w:t>
      </w:r>
      <w:r w:rsidRPr="00984859">
        <w:rPr>
          <w:rFonts w:ascii="Arial" w:eastAsia="Times New Roman" w:hAnsi="Arial" w:cs="Arial"/>
          <w:b/>
          <w:bCs/>
          <w:lang w:eastAsia="sr-Latn-RS"/>
        </w:rPr>
        <w:t xml:space="preserve"> IZNAD 2.000 mg/kg ZA KOJE NIJE POTREBNO DODATNO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Kriterijum za klasifikaciju u klasu opasnosti akutna toksičnost Kategorija 5 (po GHS-u) omogućava identifikovanje ispitivanih supstanci koje pokazuju nisku akutnu toksičnost, ali koje pod određenim okolnostima mogu da predstavljaju opasnost za osetljive populacije. Ove supstance imaju vrednosti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(peroralno) i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(dermalno) u opsegu doza od 2.000 mg/kg do 5.000 mg/kg ili potpuno odgovarajućih doza primenjenih drugim putevima unosa. Ispitivane supstance klasifikuju se u odgovarajuću kategoriju opasnosti (Kategorija 5 po GHS-u) ako je: 2.000 mg/kg &lt;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&lt; 5.000 mg/kg, u sledećim slučajevima: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ako bilo koja od shema ispitivanja datih u Delu trećem ove metode upućuje na ovu kategoriju zbog učestalosti smrtnih slučajeva,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 ako postoje pouzdani dokazi da je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 opsegu vrednosti koji odgovara Kategoriji 5; ili ako druge studije toksičnosti sprovedene na životinjama ili ljudima ukazuju na potencijalne akutne toksične efekte na zdravlje ljudi,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ako se ekstrapolacijom, procenom ili merenjem podataka ne ustanovi pripadnost nekoj višoj klasi opasnosti, 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postoje pouzdani podaci koji ukazuju na značajne toksične efekte kod ljudi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uoči se smrt pri ispitivanjima koja se vrše radi klasifikacije zaključno u Kategoriju 4, peroralnom primenom odgovarajuće doze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stručnom procenom se potvrde značajni klinički znakovi toksičnosti, pri ispitivanjima koja se vrše radi klasifikacije zaključno u Kategoriju 4, pri čemu klinički znakovi ne uključuju proliv, piloerekciju ili zapušteni izgled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se stručnom procenom potvrdi postojanje značajnih akutnih toksičnih efekata iz drugih ispitivanja sprovedenih na životinjama.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ISPITIVANJE DOZA IZNAD 2.000 mg/kg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Izuzetno, u slučajevima kad to opravdavaju specifične potrebe, dodatno može da se razmotri primena fiksne doze od 5.000 mg/kg. Zbog zaštite životinja i njihove dobrobiti ne preporučuje se ispitivanje doze od 5.000 mg/kg. Primena ove doze razmatra se samo u slučajevima kad postoji velika verovatnoća da će rezultati ispitivanja imati značajan doprinos zaštiti zdravlja ljudi ili životinja</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Prethodno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Pravila za primenu postupka koji se sastoji iz niza koraka koji je dat u Delu drugom ove metode, proširuju se na primenu doze od 5.000 mg/kg. Kada se u prethodnom ispitivanju koristi početna doza od 5.000 mg/kg, ishod A (smrt) zahteva ispitivanje i druge životinje na primenu doze od 2.000 mg/kg; ishodi B i V (evidentna toksičnost ili nema toksičnosti) dozvoljavaju primenu doze od 5.000 mg/kg kao početne doze u glavnom ispitivanju. Ako se ne koristi početna doza od 5.000 mg/kg, ispitivanje se nastavlja do primene doze od 5.000 mg/kg u slučaju ishoda pod B ili V pri dozi od 2.000 mg/kg; ako kod primenjene doze od </w:t>
      </w:r>
      <w:r w:rsidRPr="00984859">
        <w:rPr>
          <w:rFonts w:ascii="Arial" w:eastAsia="Times New Roman" w:hAnsi="Arial" w:cs="Arial"/>
          <w:lang w:eastAsia="sr-Latn-RS"/>
        </w:rPr>
        <w:lastRenderedPageBreak/>
        <w:t xml:space="preserve">5.000 mg/kg dođe do ishoda A tada se u glavnom ispitivanju koristi početna doza od 2.000 mg/kg, a ishodi pod B i V nalažu početnu dozu od 5.000 mg/kg u glavnom ispitivanju.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Glavno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Pravila za primenu postupka iz niza koraka koji je dat u Delu trećem ove metode, proširuju se na primenu doze od 5.000 mg/kg. Kada se u glavnom ispitivanju koristi početna doza od 5.000 mg/kg, ishod A (dve ili više smrti) uslovljava ispitivanje druge grupe životinja primenom doze od 2.000 mg/kg; dok ishod B (evidentna toksičnost i/ili jedna ili manje smrti) ili ishod V (nema toksičnosti) dovode do klasifikacije supstance prema GHS-u. Ako se ne koristi početna doza od 5.000 mg/kg, u slučaju ishoda V, pri dozi od 2.000 mg/kg, ispitivanje se nastavlja do primene doze od 5.000 mg/kg. Ishod A kod primenjene doze od 5.000 mg/kg dovodi do klasifikacije supstance u Kategoriju 5 (prema GHS). Ishodi B ili V dovode do nemogućnosti klasifikacije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peti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METODA ISPITIVANJA B.1 BIS-SMERNICE ZA KLASIFIKACIJU (PREUZETO IZ LITERATURE</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b/>
          <w:bCs/>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42656BEB" wp14:editId="47E9E605">
            <wp:extent cx="5648325" cy="8963025"/>
            <wp:effectExtent l="0" t="0" r="9525" b="9525"/>
            <wp:docPr id="70" name="Picture 70" descr="C:\Program Files (x86)\ParagrafLex\browser\Files\Old\t\t2013_12\t12_0570_s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Program Files (x86)\ParagrafLex\browser\Files\Old\t\t2013_12\t12_0570_s065.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48325" cy="89630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732A2AE0" wp14:editId="33BBC425">
            <wp:extent cx="5076825" cy="8963025"/>
            <wp:effectExtent l="0" t="0" r="9525" b="9525"/>
            <wp:docPr id="69" name="Picture 69" descr="C:\Program Files (x86)\ParagrafLex\browser\Files\Old\t\t2013_12\t12_0570_s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Program Files (x86)\ParagrafLex\browser\Files\Old\t\t2013_12\t12_0570_s066.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76825" cy="89630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B.1 tris AKUTNA ORALNA TOKSIČNOST - METODA ODREĐIVANJA KLASE AKUTNE TOKSIČNOSTI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zasniva se na Uputstvu za ispitivanje OECD 423 (2001).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određivanja klase akutne toksičnosti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koja je data u ovom ispitivanju jeste postupak (korak po korak) u kome se u svakom koraku koriste po tri životinje istog pola. U zavisnosti od smrtnosti odnosno stanja na samrti kod životinja, potrebno je da se prođe prosečno dva do četiri koraka da bi se doneo zaključak o akutnoj toksičnosti ispitivane supstance. Ovaj postupak je reproduktivan (ponovljiv), koristi veoma mali broj životinja i daje mogućnost klasifikacije supstanci na sličan način kao i ostale metode ispitivanja akutne toksičnosti. Metoda određivanja klase akutne toksičnosti zasnovana je na biometrijskim evaluacijama</w:t>
      </w:r>
      <w:r w:rsidRPr="00984859">
        <w:rPr>
          <w:rFonts w:ascii="Arial" w:eastAsia="Times New Roman" w:hAnsi="Arial" w:cs="Arial"/>
          <w:b/>
          <w:bCs/>
          <w:sz w:val="15"/>
          <w:szCs w:val="15"/>
          <w:vertAlign w:val="superscript"/>
          <w:lang w:eastAsia="sr-Latn-RS"/>
        </w:rPr>
        <w:t xml:space="preserve">2,3,4,5 </w:t>
      </w:r>
      <w:r w:rsidRPr="00984859">
        <w:rPr>
          <w:rFonts w:ascii="Arial" w:eastAsia="Times New Roman" w:hAnsi="Arial" w:cs="Arial"/>
          <w:lang w:eastAsia="sr-Latn-RS"/>
        </w:rPr>
        <w:t xml:space="preserve">sa fiksnim dozama koje su razdvojene na odgovarajući način kako bi se omogućilo rangiranje supstance za potrebe klasifikacije i procenu opasnosti. Kada je ova metoda ispitivanja usvojena, 1996. godine, bila je u velikoj meri validirana u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ispitivanjima u odnosu na podatke o vrednosti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koji su dobijeni iz domaće</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i međunarodne</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literature.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Uputstvo za izbor najpogodnije metode ispitivanja za određenu svrhu može se pronaći u literaturi</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Ovaj dokument sadrži i dodatne informacije o izvođenju i tumačenju rezultata dobijenih metodom ispitivanja B.1</w:t>
      </w:r>
      <w:r w:rsidRPr="00984859">
        <w:rPr>
          <w:rFonts w:ascii="Arial" w:eastAsia="Times New Roman" w:hAnsi="Arial" w:cs="Arial"/>
          <w:i/>
          <w:iCs/>
          <w:lang w:eastAsia="sr-Latn-RS"/>
        </w:rPr>
        <w:t>tris</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Ispitivane supstance se ne primenjuju na životinje u dozama za koje je poznato da izazivaju vidljiv bol i iscrpljenost usled korozivnog ili jakog iritativnog efekta. Životinje koje su na samrti, koje očito trpe jake bolove ili pokazuju znakove trajne iscrpljenosti lišavaju se života na human način, i pri tumačenju rezultata ispitivanja uzimaju se u obzir kao i životinje koje su uginule tokom ispitivanja. Kriterijum za donošenje odluke o lišavanju života bolesne ili životinje na samrti, kao i uputstva za prepoznavanje predstojeće i predvidljive smrti dati su u literaturi</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ovoj metodi ispitivanja koriste se unapred određene doze, a rezultati ispitivanja omogućavaju da se supstanca rangira i klasifikuje prema Pravilniku o klasifikaciji, pakovanju, obeležavanju i oglašavanju hemikalije i određenog proizvoda u skladu sa globalno harmonizovanim sistemom za klasifikaciju i obeležavanje UN odnosno GHS</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ispitivanja nije namenjena izračunavanju precizne vrednosti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ali omogućava utvrđivanje definisanih opsega doza gde je letalitet očekivan, jer se i u ovoj metodi kao ciljni pokazatelj ispitivanja još uvek koristi smrt određenog procenta životinja. Metoda ispitivanja omogućava određivanje vrednosti LD</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 xml:space="preserve">samo u slučaju kada najmanje dve primenjene doze dovode do letaliteta koji je viši od 0% a manji od 100%. Korišćenje unapred određenih doza koje su izabrane nezavisno od ispitivane supstance, zajedno sa klasifikacijom koja je jasno povezana sa brojem životinja posmatranih u različitim okolnostima, povećava mogućnost konzistentnih izveštaja i ponovljivost.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početka studije uzimaju se u obzir svi dostupni podaci o ispitivanoj supstanci. Podaci uključuju identitet i hemijsku strukturu supstance, njena fizička i hemijska svojstva, rezultate drugih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ispitivanja toksičnosti, toksikološke podatke strukturno sličnih supstanci, kao i predviđene načine korišćenja supstance. Ovi podaci su neophodni da bi se </w:t>
      </w:r>
      <w:r w:rsidRPr="00984859">
        <w:rPr>
          <w:rFonts w:ascii="Arial" w:eastAsia="Times New Roman" w:hAnsi="Arial" w:cs="Arial"/>
          <w:lang w:eastAsia="sr-Latn-RS"/>
        </w:rPr>
        <w:lastRenderedPageBreak/>
        <w:t xml:space="preserve">ukazalo na važnost izvođenja studije za zaštitu zdravlja ljudi, a pomažu i pri izboru odgovarajuće početne doze.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Akutna oralna toksičnost jeste svojstvo hemikalije da izazove štetne efekte nakon primene pojedinačne peroralne doze ili nekoliko peroralnih doza u periodu od 24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Odložena smrt jeste uginuće životinja koje ne uginu ili nisu životno ugrožene tokom prvih 48 sati, već do uginuća dolazi u periodu posmatranja od 14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Doza jeste količina primenjene ispitivane supstance. Izražava se kao masa ispitivane supstance po jedinici telesne mase eksperimentalne životinje (mg/kg).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Evidentna toksičnost jeste toksični efekat kod koga se javljaju jasni znakovi toksičnosti nakon primene ispitivane supstance (za primere videti literaturu</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koji su toliko intenzivni da bi izlaganje sledećoj većoj fiksnoj dozi kod životinja verovatno dovelo do jakog bola, stresa, iscrpljenosti, stanja na samrti (kriterijumi su dati u literaturi</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ili smrtnog ishoda.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GHS jeste skraćenica za Globalno harmonizovan sistem za klasifikaciju i obeležavanje hemikalija UN. Razvoj ovog sistema je zajednički napor OECD (zdravlje ljudi i životna sredina), UN Komiteta stručnjaka za transport opasnog tereta (fizička i hemijska svojstva) i Međunarodne organizacije rada (ILO) (saopštavanje opasnosti), a koordinira ga Međuorganizacijski program za upravljanje hemikalijama (IOMC).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Neminovna smrt jeste očekivana smrt životinje koja je na samrti ili se njena smrt očekuje pre planiranog narednog vremena posmatranja. Simptomi koji ukazuju na ovo stanje kod glodara su konvulzije, lateralni položaj, ležeći položaj ili tremor (za detalje videti literaturu</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(srednja smrtna doza) jeste statistički određena pojedinačna doza supstance za koju se očekuje da izaziva smrtnost kod 50 posto ispitivanih životinja kada se primeni peroralnim putem.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izražava se u jedinici mase ispitivane supstance po jedinici telesne mase eksperimentalne životinje (mg/kg).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Granična doza jeste gornja granična doza koja se koristi u ispitivanju (2.000 mg/kg ili 5.000 mg/kg).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Stanje na samrti jeste stanje definisano kao nemogućnost preživljavanja ili neminovna smrt životinje, čak i nakon eventualnog tretmana (za detalje videti literaturu</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Predvidljiva smrt jeste stanje koje karakteriše prisutnost kliničkih znakova koji ukazuju na neminovnu smrt životinje pre završetka eksperimenta, na primer nemogućnost uzimanja vode ili hrane (za detalje videti literaturu</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Princip ispitivanja koje je zasnovano na postupku (korak po korak) uz korišćenje minimalnog broja životinja po koraku, jeste da se prikupi dovoljno podataka o akutnoj toksičnosti ispitivane supstance kako bi se omogućila njena klasifikacija. Supstanca se daje grupi eksperimentnih životinja peroralno u jednoj od određenih doza. Supstanca se ispituje primenom postupka (korak po korak), pri čemu se u svakom koraku koriste tri životinje istog pola (uglavnom ženke). Izostanak ili prisustvo znakova koji upućuju na smrt kod životinja kojima se primenjuje doza u jednom od koraka određuje sledeći korak postupka, odnosno: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da dalja ispitivanja nisu potrebna,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potrebu primene iste doze na dodatne tri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potrebu primene sledeće više ili niže doze na dodatne tri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Detalji postupka ispitivanja dati su u Delu drugom ove metode. Ova metoda ispitivanja omogućava da se donese zaključak o klasifikaciji, pri čemu se u obzir uzima klasifikacija ispitivane supstance u jednu od niza klasa toksičnosti koje su definisane po fiksnim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graničnim vrednostima.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Preporučena vrsta glodara je pacov, iako se za ispitivanja koriste i druge životinjske vrste. Najčešće se koriste ženke</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jer je na osnovu literature koja se odnosi na ispitivanje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uočeno da je mala razlika u osetljivosti polova pri primeni ove metode. U slučajevima u kojima je uočena razlika, ženke su pokazale nešto veću osetljivost</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Ako se u literaturi nađu toksikološki ili toksikokinetički podaci za strukturno slične hemikalije koji ukazuju na to da su mužjaci osetljiviji na određenu ispitivanu supstancu, koriste se mužjaci za ispitivanje. Kad se ispitivanje izvodi na mužjacima, navodi se opravdanost za njihovu primenu.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izvodi na zdravim mladim jedinkama onih laboratorijskih sojeva koji se uobičajeno koriste u ovakvim ispitivanjima. Ispitivanje se vrši na ženkama koje nisu ranije rađale i koje nisu gravidne. Svaka životinja na početku eksperimenta i primene prvih doza ispitivane supstance treba da bude stara između 8 i 12 nedelja, a njena telesna masa da bude u opsegu ± 20% od srednje vrednosti mase prethodno doziranih životinja.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Uslovi smeštaja i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prostorije u kojima se drže životinje je 22° C (± 3° C). Relativna vlažnost vazduha iznosi najmanje 30%, ali ne više od 70% (osim kad se prostorije čiste), a idealno je vlažnost vazduha održavati između 50% i 60%. Osvetljenje je veštačko, i to u intervalima od 12 sati svetla i 12 sati mraka. Za ishranu se može primenjivati uobičajena hrana za laboratorijske životinje, sa slobodnim pristupom vodi za piće. Životinje se prema primenjenoj dozi ispitivane supstance mogu grupisati u kaveze. Broj životinja po kavezu ne sme ni na koji način da ometa proces praćenja i posmatranja svake životinje.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biraju nasumce, obeležavaju radi lakšeg razlikovanja, a da bi se prilagodile na laboratorijske uslove drže se u kavezima najmanje pet dana pre početka eksperimenta i primene prve doze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1.4.4.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primenjuju se u konstantnim zapreminama, pa je neophodno prilagođavanje koncentracije za pripremanje različitih doza. Pri ispitivanju hemikalije u tečnom stanju, primena nerazblažene ispitivane supstance, odnosno supstance koja je u smeši u konstantnoj koncentraciji, može da bude značajna kasniju procenu rizika od te supstance. Maksimalna pojedinačna zapremina doze ne sme da se prekorači. Maksimalna zapremina tečnosti koja sme da se primeni zavisi i od veličine eksperimentne životinje. </w:t>
      </w:r>
      <w:r w:rsidRPr="00984859">
        <w:rPr>
          <w:rFonts w:ascii="Arial" w:eastAsia="Times New Roman" w:hAnsi="Arial" w:cs="Arial"/>
          <w:lang w:eastAsia="sr-Latn-RS"/>
        </w:rPr>
        <w:lastRenderedPageBreak/>
        <w:t xml:space="preserve">Zapremina ispitivane supstance koja se primenjuje kod glodara ne sme da prelazi 1 ml/100g TM životinje, a ukoliko se primenjuje vodeni rastvor može se razmotriti i doza od 2 ml/100g TM životinje. Kad je reč o formulaciji i pripremi doze, prvenstveno se preporučuje primena vodenog rastvora/suspenzije/emulzije, a zatim rastvora/suspenzije/emulzije u ulju (npr. kukuruznom ulju) ili rastvor u nekom drugom vehikulumu. Za sve vehikulume osim vode, neophodno je znati njihove toksikološke karakteristike. Doze se pripremaju neposredno pre primene, osim ako se radi o supstanci za koju je poznato da je stabilna u rastvoru tokom dužeg vremenskog perioda.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primenjuje se u jednoj dozi sondom direktno u želudac ili intubiranjem kanilom. U posebnim okolnostima, kada jednokratna doza nije moguća, ispitivana supstanca može se primeniti u nekoliko manjih porcija tokom vremenskog perioda koji nije duži od 24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početka primene doza ispitivane supstance potrebno je izgladneti životinje (npr. pacovima je potrebno uskratiti hranu ali ne i vodu preko noći; miševima je potrebno uskratiti hranu ali ne i vodu na 3 do 4 sata). Nakon perioda gladovanja, potrebno je izmeriti telesnu masu životinja i primeniti ispitivanu supstancu. Nakon prve doze, hrana može ponovno da se uskrati, i to: kod pacova narednih 3 do 4 sata, a kod miševa naredna 1 do 2 sata. Kada se doza ispitivane supstance primeni u nekoliko manjih porcija u određenom vremenskom intervalu, može da se ukaže potreba za hranom i vodom ukoliko se radi o produženom vremenskom periodu.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Broj životinja i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svakom koraku koriste se po tri životinje. Dozni nivo koji će se koristiti kao početna doza jeste jedna od fiksnih doza od 5 mg/kg, 50 mg/kg, 300 mg/kg i 2.000 mg/kg TM. Početni dozni nivo jeste doza koja sa najvećom verovatnoćom izaziva smrt kod nekih od uključenih životinja. Dijagrami toka ispitivanja koji su dati u Delu drugom ove metode, opisuju postupak koji se prati pri primeni svake početne doze. U Delu osmom ove metode date su smernice za klasifikaciju prema Pravilniku o klasifikaciji, pakovanju, obeležavanju i oglašavanju hemikalije i određenog proizvoda ("Službeni glasnik RS", br. 59/10, 25/11 i 5/12), dok ne počne sa primenom Pravilnika o klasifikaciji, pakovanju, obeležavanju i oglašavanju hemikalije i određenog proizvoda u skladu sa Globalno harmonizovanim sistemom za klasifikaciju i obeležavanje UN ("Službeni glasnik RS", br. 64/10 i 26/11).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dostupni podaci ukazuju da pri primeni najviše početne doze (2.000 mg/kg TM) verovatno neće doći do smrti životinja, obavlja se ispitivanje granične doze. Kad nema podataka o ispitivanoj supstanci, preporučeno je, zbog dobrobiti životinja, da početna doza bude od 300 mg/kg 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Vremenski razmak između primene ispitivane supstance pri svakom doznom nivou određen je početkom, trajanjem i ozbiljnošću znakova toksičnosti. Tretman životinja sledećom dozom odlaže se sve dok se ne uverimo u preživljavanje prethodno tretiranih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Izuzetno, i samo u slučajevima kada to opravdavaju specifične potrebe, može da se razmotri primena dodatnog doznog nivoa od 5.000 mg/kg TM (videti Deo sedmi ove metode). Zbog dobrobiti životinja, ne preporučuje se ispitivanje na životinjama radi klasifikacije ispitivane supstance u Kategoriju 5 (prema GHS-u) u opsegu doza od 2.000 mg/kg do 5000 mg/kg, i </w:t>
      </w:r>
      <w:r w:rsidRPr="00984859">
        <w:rPr>
          <w:rFonts w:ascii="Arial" w:eastAsia="Times New Roman" w:hAnsi="Arial" w:cs="Arial"/>
          <w:lang w:eastAsia="sr-Latn-RS"/>
        </w:rPr>
        <w:lastRenderedPageBreak/>
        <w:t xml:space="preserve">razmatra se samo u slučajevima kada postoji velika verovatnoća da će rezultati ispitivanja imati neposredan značaj za zaštitu zdravlja ljudi, životinja i životne sredine.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granične doze primarno se koristi u situacijama kada istraživač ima pouzdane podatke da je ispitivana hemikalija netoksična, tj. da postaje toksična samo iznad propisanih graničnih doza. Podaci o toksičnosti ispitivanih hemikalija mogu se preuzeti iz završenih ispitivanja na sličnim hemikalijama, ako se uzme u obzir identitet i procenat komponenata za koje se pouzdano zna da su toksikološki značajne. U slučajevima gde nema podataka o toksičnosti ili ih nema dovoljno, ili kada se očekuje da će ispitivana hemikalija biti toksična, potrebno je isplanirati i obaviti glavno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granične doze, pri doznom nivou od 2.000 mg/kg TM, može se sprovesti na šest životinja (tri životinje po koraku) ili, izuzetno, pri doznom nivou od 5.000 mg/kg TM uvođenjem tri životinje po koraku (videti Deo sedmi ove metode). Ukoliko se pokaže da je smrt životinja povezana sa primenom ispitivane supstance potrebno je da se sprovede dalje ispitivanje i pri nižem doznom nivou.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Životinje se posmatraju pojedinačno nakon primene prve doze ispitivane supstance i to najmanje jednom tokom prvih 30 minuta i periodično tokom sledeća 24 sata, uz posebnu pažnju i naglasak na prva 4 sata. Posmatranja se zatim obavljaju jednom dnevno, u periodu od ukupno 14 dana, osim u slučajevima kada je životinju potrebno isključiti iz ispitivanja (ako je pronađena mrtva) ili je lišiti života na human način imajući u vidu dobrobit životinje. Trajanje posmatranja ne sme da bude strogo definisano, već ga određuju toksični efekti, početak i trajanje oporavka, a ukoliko postoji potreba može i da se produži. Važni su periodi u kojima se pojavljuju i nestaju prvi znaci toksičnosti, posebno ako se znaci toksičnosti javljaju odloženo</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Sva posmatranja sistematski se beleže, a za svaku životinju potrebno je voditi zasebni karton sa opažanjima.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životinje neprekidno pokazuju znakove toksičnosti, potrebna su dodatna posmatranja. Potrebno je uključiti i promene na koži i krznu, očima i mukoznim membranama, kao i na respiratornom, cirkulatornom, autononomnom i centralnom nervnom sistemu, promene somatomotorne aktivnosti i promene ponašanja. Posebna pažnja se obraća na pojavu tremora, konvulzija, salivacije, proliva, letargije, pospanosti i kome. Za definisanje ovih stanja koriste se principi i kriterijumi koji su dati u literaturi</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Životinje pronađene na samrti ili one koje trpe jak bol ili stres, lišavaju se života na human način. Kada su životinje lišene života iz humanih razloga ili pronađene mrtve, potrebno je što preciznije zabeležiti vreme smrti.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Telesna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Individualna telesna masa životinja određuje se neposredno pre primene ispitivane supstance i najmanje jednom nedeljno nakon tog perioda. Beleže se i izračunavaju i promene u telesnoj masi. Na kraju ispitivanja meri se telesna masa preživelih životinja, a potom se lišavaju života na human način.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ispitivane životinje (uključujući i one koje uginu za vreme ispitivanja ili su isključene iz ispitivanja zbog dobrobiti životinje) potrebno je postmortalno pregledati. Sve značajne patološke promene beleže se za svaku životinju. Mikroskopskim pregledom organa mogu se dobiti korisni podaci, pa je potrebno obaviti pregled organa koji su postmortalnim pregledom </w:t>
      </w:r>
      <w:r w:rsidRPr="00984859">
        <w:rPr>
          <w:rFonts w:ascii="Arial" w:eastAsia="Times New Roman" w:hAnsi="Arial" w:cs="Arial"/>
          <w:lang w:eastAsia="sr-Latn-RS"/>
        </w:rPr>
        <w:lastRenderedPageBreak/>
        <w:t xml:space="preserve">pokazali značajne patološke promene i to kod onih životinja koje su preživele 24 ili više sati nakon prve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prikupiti podatke za svaku životinju. Svi podaci se tabelarno prikazuju, a za svaku ispitivanu grupu navodi se ukupan broj životinja u grupi, broj životinja koje su pokazale znakove toksičnosti, broj životinja koje su pronađene mrtve ili broj onih koje se lišavaju života na human način tokom ispitivanja, vreme smrti pojedinačnih životinja, opis i vremenski tok toksičnih efekata i njihovu reverzibilnost, kao i nalaze postmortalnog pregleda.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PISANJE IZVEŠTAJA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Podatke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čistoća, i kada je značajno, fizička i hemijska svojstva (uključujući izomerizaciju);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identifikacione podatke, koji uključuju i CAS broj.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Podatke o vehikulumu (ako je značajno):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izbor vehikuluma, ukoliko nije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Podatke o eksperimentalnoj životinji: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mikrobiološki status životinje, ako je poznat;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(uključujući, kada je značajno, obrazloženje ukoliko se koriste mužjaci umesto ženki);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uslove smeštaja, ishrane,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Podatke o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formulaciji ispitivane supstance, uključujući fizičko stanje u kome je primenjena formulacija;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primeni ispitivane supstance koji uključuju zapremine doza i vreme primene doze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kvalitetu hrane i vode (uključujući detalje o vrsti i izvoru hrane i izvoru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izbor početne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Rezultate: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tabelarni prikaz rezultata i primenjene doze za svaku životinju (životinje koje pokazuju znakove toksičnosti uključujući smrtnost, prirodu, intenzitet i trajanje toksičnih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prikaz telesne mase i promena telesne 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individualnu telesnu masu životinja na dan primene doze ispitivane supstance, zatim u nedeljnim intervalima, i u vreme uginuća ili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i vreme smrti, ako do nje dođe pre predviđenog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vremenski dijagram pojave znakova toksičnosti, kao i da li su znakovi bili reverzibilni za svaku životinju;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nalaze postmortalnih pregleda i histopatološke nalaze za svaku životinju, ukoliko su dostupni.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Diskusiju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Zaključke.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Roll R., Höfer-Bosse Th. And Kayser D. (1986). New Perspectives in Acute Toxicity Testing of Chemicals. Toxicol. Lett., Suppl. 31, 86.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Roll R., Riebschläger M., Mischke U. and Kayser D. (1989). Neue Wege zur Bestimmung der akuten Toxizität von Chemikalien. Bundesgesundheitsblatt 32, 336-341.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Diener W., Sichha L., Mischke U., Kayser D. and Schlede E. (1994). The Biometric Evaluation of the Acute-Toxic-Class Method (Oral). Arch. Toxicol. 68, 559-610.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Diener W., Mischke U., Kayser D. and Schlede E. (1995). The Biometric Evaluation of the OECD Modified Version of the Acute-Toxic-Class Method (Oral). Arch. Toxicol. 69, 729-734.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Diener W., and Schlede E. (1999) Acute Toxicity Class Methods: Alterations to LD/LC50 Tests. ALTEX 16, 129-134.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Schlede E., Mischke U., Roll R. and Kayser D. (1992). A National Validation Study of the Acute-Toxic- Class Method - An Alternative to the LD50 Test. Arch. Toxicol. 66, 455-470.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Schlede E., Mischke U., Diener W. and Kayser D. (1994). The International Validation Study of the Acute-Toxic-Class Method (Oral). Arch. Toxicol. 69, 659-670.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OECD (2001) Guidance Document on Acute Oral Toxicity Testing. Environmental Health and Safety Monograph Series on Testing and Assessment N. 24. Paris.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OECD (2000) Guidance Document on the Recognition, Assessment and Use of Clinical Signs as Humane Endpoints for Experimental Animals Used in Safety Evaluation. Environmental Health and Safety Monograph Series on Testing and Assessment N 19.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OECD (1998) Harmonized Integrated Hazard Classification System For Human Health And Environmental Effects Of Chemical Substances as endorsed by the 28th Joint Meeting of the Chemicals Committee and the Working Party on Chemicals in November 1998, Part 2, </w:t>
      </w:r>
      <w:r w:rsidRPr="00984859">
        <w:rPr>
          <w:rFonts w:ascii="Arial" w:eastAsia="Times New Roman" w:hAnsi="Arial" w:cs="Arial"/>
          <w:lang w:eastAsia="sr-Latn-RS"/>
        </w:rPr>
        <w:lastRenderedPageBreak/>
        <w:t xml:space="preserve">p. 11, [http://webnet1.oecd.org/oecd/pages/home/displaygeneral/0,3380,EN-documents-521-14-no-24-no-0,FF.html].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Lipnick R L, Cotruvo, J A, Hill R N, Bruce R D, Stitzel K A, Walker A P, Chu I; Goddard M, Segal L, Springer J A and Myers R C (1995) Comparison of the Up and Down, Conventional LD50, and Fixed Dose Acute Toxicity Procedures. Fd. Chem. Toxicol 33, 223-231.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Chan P.K. and A.W. Hayes. (1994). Chap. 16. Acute Toxicity and Eye Irritancy. Principles and Methods of Toxicology. Third Edition. A.W. Hayes, Editor. Raven Press, Ltd., New York, USA.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POSTUPCI ZA POČETNE DOZE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OPŠTE NAPOMENE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ovom delu date su sheme ispitivanja za svaku početnu dozu: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Deo treći: Početna doza je 5 mg/kg 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Deo četvrti: Početna doza je 50 mg/kg 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Deo peti: Početna doza je 300 mg/kg 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Deo šesti: Početna doza je 2000 mg/kg 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zavisnosti od broja životinja koje su lišene života na human način postupak ispitivanja označen je strelicama.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treći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POSTUPAK ISPITIVANJA SA POČETNOM DOZOM OD 5 MG/KG TELESNE MASE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45608127" wp14:editId="22479A79">
            <wp:extent cx="6153150" cy="8591550"/>
            <wp:effectExtent l="0" t="0" r="0" b="0"/>
            <wp:docPr id="68" name="Picture 68" descr="C:\Program Files (x86)\ParagrafLex\browser\Files\Old\t\t2013_12\t12_0570_s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Program Files (x86)\ParagrafLex\browser\Files\Old\t\t2013_12\t12_0570_s06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3150" cy="85915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Deo četvrti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POSTUPAK ISPITIVANJA SA POČETNOM DOZOM OD 50 MG/KG TELESNE MASE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2FFDDD9D" wp14:editId="392B98B7">
            <wp:extent cx="6076950" cy="8963025"/>
            <wp:effectExtent l="0" t="0" r="0" b="9525"/>
            <wp:docPr id="67" name="Picture 67" descr="C:\Program Files (x86)\ParagrafLex\browser\Files\Old\t\t2013_12\t12_0570_s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Program Files (x86)\ParagrafLex\browser\Files\Old\t\t2013_12\t12_0570_s068.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76950" cy="89630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588E85A9" wp14:editId="6EAA94C9">
            <wp:extent cx="6067425" cy="8963025"/>
            <wp:effectExtent l="0" t="0" r="9525" b="9525"/>
            <wp:docPr id="66" name="Picture 66" descr="C:\Program Files (x86)\ParagrafLex\browser\Files\Old\t\t2013_12\t12_0570_s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Program Files (x86)\ParagrafLex\browser\Files\Old\t\t2013_12\t12_0570_s069.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7425" cy="89630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Deo sedmi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KRITERIJUMI ZA KLASIFIKACIJU ISPITIVANIH SUPSTANCI SA OČEKIVANIM VREDNOSTIMA LD</w:t>
      </w:r>
      <w:r w:rsidRPr="00984859">
        <w:rPr>
          <w:rFonts w:ascii="Arial" w:eastAsia="Times New Roman" w:hAnsi="Arial" w:cs="Arial"/>
          <w:b/>
          <w:bCs/>
          <w:sz w:val="15"/>
          <w:szCs w:val="15"/>
          <w:vertAlign w:val="subscript"/>
          <w:lang w:eastAsia="sr-Latn-RS"/>
        </w:rPr>
        <w:t>50</w:t>
      </w:r>
      <w:r w:rsidRPr="00984859">
        <w:rPr>
          <w:rFonts w:ascii="Arial" w:eastAsia="Times New Roman" w:hAnsi="Arial" w:cs="Arial"/>
          <w:b/>
          <w:bCs/>
          <w:lang w:eastAsia="sr-Latn-RS"/>
        </w:rPr>
        <w:t xml:space="preserve"> IZNAD 2.000 mg/kg ZA KOJE NIJE POTREBNO DODATNO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Kriterijum za klasifikaciju u klasu opasnosti akutna toksičnost Kategorija 5 (po GHS-u) omogućava identifikovanje ispitivanih supstanci koje pokazuju nisku akutnu toksičnost, ali koje pod određenim okolnostima mogu da predstavljaju opasnost za osetljive populacije. Ove supstance imaju vrednosti LD</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(peroralno) i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(dermalno) u opsegu doza od 2.000 mg/kg do 5.000 mg/kg ili potpuno odgovarajućih doza primenjenih drugim putevima unosa. Ispitivane supstance klasifikuju se u odgovarajuću kategoriju opasnosti (Kategorija 5 po) ako je: 2.000 mg/kg &lt;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&lt; 5.000 mg/kg, u sledećim slučajevima: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ako bilo koja od shema ispitivanja datih u Delovima trećem, četvrtom, petom i šestom ove metode upućuje na ovu kategoriju zbog učestalosti smrtnih slučajeva,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 ako postoje pouzdani dokazi da je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 opsegu vrednosti koji odgovara kategoriji 5; ili ako druge studije toksičnosti sprovedene na životinjama ili ljudima ukazuju na potencijalne akutne toksične efekte na zdravlje ljudi,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ako se ekstrapolacijom, procenom ili merenjem podataka ne ustanovi pripadnost nekoj višoj klasi opasnosti, 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postoje pouzdani podaci koji ukazuju na značajne toksične efekte kod ljudi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se uoči smrt pri ispitivanjima koja se vrše radi klasifikacije zaključno u Kategoriju 4, peroralnom primenom odgovarajuće doze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se stručnom procenom potvrde značajni klinički znakovi toksičnosti, pri ispitivanjima koja se vrše radi klasifikacije zaključno u Kategoriju 4, pri čemu klinički znakovi ne uključuju proliv, piloerekciju ili zapušteni izgled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se stručnom procenom potvrdi postojanje značajnih akutnih toksičnih efekata iz drugih ispitivanja sprovedenih na životinjama.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ISPITIVANJE DOZA IZNAD 2.000 mg/kg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Zbog zaštite životinja i njihove dobrobiti ne preporučuje se ispitivanje doze od 5.000 mg/ kg za klasifikaciju u klasu opasnosti akutna toksičnost Kategorija 5 (po GHS-u). Primena ove doze razmatra se samo u slučajevima kad postoji velika verovatnoća da će rezultati ispitivanja imati značajan doprinos zaštiti zdravlja ljudi ili životinja</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Dalja ispitivanja sa primenom visokih doza se ne izvode.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Kada se ispituje doza od 5.000 mg/kg dovoljan je samo jedan korak (npr. tri životinje). Ako ugine prva životinja kojoj se primenjuje ispitivana supstanca, doza se spušta na 2.000 mg/kg prema pravilima datim u shemi iz Dela drugog ove metode. Ako prva životinja preživi, u ispitivanje se uključuju dodatne dve životinje. Ako ugine samo jedna od tri životinje, pretpostavlja se da je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iznad 5.000 mg/kg. Ako uginu dve životinje, nastavlja se primena ispitivane supstance u dozi od 2.000 mg/kg.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211ACE8B" wp14:editId="1C727726">
            <wp:extent cx="6153150" cy="8486775"/>
            <wp:effectExtent l="0" t="0" r="0" b="9525"/>
            <wp:docPr id="65" name="Picture 65" descr="C:\Program Files (x86)\ParagrafLex\browser\Files\Old\t\t2013_12\t12_0570_s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Program Files (x86)\ParagrafLex\browser\Files\Old\t\t2013_12\t12_0570_s071.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53150" cy="84867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6E51BFAC" wp14:editId="513325A4">
            <wp:extent cx="6153150" cy="8629650"/>
            <wp:effectExtent l="0" t="0" r="0" b="0"/>
            <wp:docPr id="64" name="Picture 64" descr="C:\Program Files (x86)\ParagrafLex\browser\Files\Old\t\t2013_12\t12_0570_s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Program Files (x86)\ParagrafLex\browser\Files\Old\t\t2013_12\t12_0570_s07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3150" cy="86296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3237DDAB" wp14:editId="243FC1D7">
            <wp:extent cx="6153150" cy="8534400"/>
            <wp:effectExtent l="0" t="0" r="0" b="0"/>
            <wp:docPr id="63" name="Picture 63" descr="C:\Program Files (x86)\ParagrafLex\browser\Files\Old\t\t2013_12\t12_0570_s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Program Files (x86)\ParagrafLex\browser\Files\Old\t\t2013_12\t12_0570_s073.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3150" cy="85344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3CFC0AFB" wp14:editId="2C3E09AA">
            <wp:extent cx="6143625" cy="8562975"/>
            <wp:effectExtent l="0" t="0" r="9525" b="9525"/>
            <wp:docPr id="62" name="Picture 62" descr="C:\Program Files (x86)\ParagrafLex\browser\Files\Old\t\t2013_12\t12_0570_s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Program Files (x86)\ParagrafLex\browser\Files\Old\t\t2013_12\t12_0570_s07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43625" cy="85629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B.2. AKUTNA INHALACIONA TOKSIČNOST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Korisno je imati prethodne podatke o svojstvima supstance kao što su: raspodela, veličina čestica, pritisak pare, tačka topljenja, tačka ključanja, tačka paljenja i eksplozivnost (ako se radi o eksplozivnoj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B.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Nekoliko grupa eksperimentalnih životinja izlaže se ispitivanoj supstanci koja se primenjuje u rastućim koncentracijama kroz definisani vremenski period, tako da se na jednu grupu životinja primenjuje jedna koncentracija. Beleže se zapažanja o efektima primenjenih koncentracija i smrtnost kod životinja. One životinje koje uginu za vreme ispitivanja post-mortalno se pregledaju. Po završetku ispitivanja i preživele životinje se lišavaju života na human način i post-mortalno pregledaju.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One životinje koje pokazuju teške i trajne znake toksičnosti i bola lišavaju se života na human način. Izbegava se primena ispitivane supstance u koncentracijama za koje se pouzdano zna da će kod životinja usled korozivnog ili jakog iritativnog svojstva izazvati značajan bol i patnju.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čuvaju u odgovarajućim uslovima smeštaja i ishrane prema definisanom režimu najmanje pet dana pre početka eksperimenta. Zdrave mlade životinje nasumce se razvrstavaju u prethodno definisani broj grupa. Nije potrebno da se životinje podvrgnu simuliranom izlaganju, osim ako to nije posebno navedeno u uputstvu za aparaturu za inhalaciono izlaganje.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Čvrste ispitivane supstance usitnjavaju se do čestica odgovarajuće veličine.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neophodno, dodaje se vehikulum kojim se postiže odgovarajuća koncentracija ispitivane supstance u atmosferi. Za dodati vehikulum postavlja se i kontrolna grupa. </w:t>
      </w:r>
      <w:r w:rsidRPr="00984859">
        <w:rPr>
          <w:rFonts w:ascii="Arial" w:eastAsia="Times New Roman" w:hAnsi="Arial" w:cs="Arial"/>
          <w:lang w:eastAsia="sr-Latn-RS"/>
        </w:rPr>
        <w:lastRenderedPageBreak/>
        <w:t xml:space="preserve">Odabrani vehikulum i drugi aditivi koji se koriste da olakšaju primenu ispitivane supstance ne smeju da izazivaju toksične efekte. Ako je potrebno mogu se koristiti podaci iz literature.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ne postoje kontraindikacije, preporučena vrsta je pacov i to sojevi koji se najčešće koriste u laboratorijskim ispitivanjima. Za oba pola, na početku ispitivanja, opseg u kome se kreće telesna masa životinja ne sme da prelazi ± 20% od srednje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Najmanje 10 glodara (pet ženki i pet mužjaka) koristi se za svaku ispitivanu koncentraciju. Ispitivanje se vrši na ženkama koje nisu ranije rađale i koje nisu gravidne.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U ispitivanjima akutne toksičnosti na životinjama višeg reda od glodara, može se razmotriti i korišćenje manjeg broja jedinki. Doze se pažljivo biraju, uz nastojanje da se izbegnu doze koje su veće od srednjih toksičnih doza. U ovakvim ispitivanjima se ne primenjuju letalne doze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Koncentracije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Koristi se najmanje tri koncentracije ispitivane supstance, a njihov izbor pokriva opseg toksičnih efekata i stope smrtnosti. Podaci omogućavaju konstruisanje krive zavisnosti koncentracije i smrtnosti, i gde je moguće, određivanje vrednosti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pet mužjaka i pet ženki izlože koncentraciji od 20 mg/L gasa ili 5 mg/L aerosola ili čestica u trajanju od četiri sata (ili se izlože maksimalnoj mogućoj koncentraciji, kada nije moguće postići ovu koncentraciju zbog fizičkih i hemijskih svojstava uključujući eksplozivna svojstva ispitivane supstance) i pri tome tokom 14 dana ne dođe do smrtnih slučajeva, dalja ispitivanja se obustavljaju.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Vreme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izlaganja je četiri sata.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1.6.2.6.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podvrgavaju ispitivanju pomoću opreme koja je dizajnirana tako da omogući dinamički protok vazduha sa najmanje 12 potpunih izmena u jednom satu, kako bi se omogućila odgovarajuća koncentracija kiseonika i ravnomeran raspored u atmosferi. Kada se koristi komora, ona je dovoljno prostrana za životinje i da omogući maksimalnu izloženost ispitivanoj supstanci udisanjem. Opšte pravilo koje obezbeđuje stabilnost atmosfere u komori, jeste da ukupna "zapremina" životinja na koje se primenjuje ispitivana supstanca nije bude veća od 5% ukupne zapremine komore. Koriste se različiti tipovi komora koji omogućavaju izloženost čitavog tela, samo glave ili samo oro-nazalnih otvora životinje. Poslednje dve komore minimiziraju izloženost ispitivanoj supstanci pri drugim putevima unosa.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1.6.2.7. Vreme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Posmatranja se obavljaju u trajanju od najmanje 14 dana. Ovaj vremenski interval nije fiksno određen. Njega određuju, između ostalog, toksični efekti, njihova učestalost, kao i vreme trajanja oporavka. Vreme posmatranja se, po potrebi, može i produžiti. Važno je zabeležiti vreme kod kojeg se jave ili nestanu prvi znaci toksičnosti, kao i vreme smrti, pogotovo ako postoji tendencija da vreme smrti bude odloženo.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Neposredno pre nego što se eksperimentalna životinja izloži ispitivanoj supstanci meri se njena telesna masa. Životinje se u periodu od četiri sata izlažu ispitivanim koncentracijama u komorama koje su prethodno uravnotežene. Vreme potrebno za uravnoteženje koncentracija u komori je kratko. Temperatura na kojoj se obavlja ispitivanje održava se na 22° C ± 3° C, a relativna vlažnost između 30% i 70%. U nekim slučajevima (npr. kod ispitivanja aerosola) ovo nije izvodljivo. Održavanjem negativnog pritiska unutar komore (≥ 5 mm vode) sprečiće se curenje isparavane supstance u okolnu zonu. Za vreme izlaganja ispitivanoj supstanci životinjama ne sme da se daje hrana i voda. U toku eksperimenta se koriste odgovarajući sistemi za održavanje i praćenje uslova unutar komore. Sistem omogućava stabilne uslove i njihovo uspostavljanje u što kraćem vremenskom roku. Komora mora da bude dizajnirana na takav način da omogućava homogenu distribuciju atmosfere za vreme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Mere se i prate sledeći parametri: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brzina protoka vazduha (neprekidno);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koncentracije ispitivane supstance u inhalacionoj zoni najmanje tri puta tokom izlaganja životinja (aerosoli na visokim temperaturama zahtevaju i češće praćenje). Tokom perioda izlaganja ispitivanoj supstanci, koncentracije ne smeju da variraju više od ± 15% od srednje vrednosti. Kod aerosola teško se postiže ovaj nivo kontrole, pa se u tom slučaju tolerišu veće razlike u vrednostima. Za aerosole je potrebno obaviti i analizu veličine čestica (najmanje jedanput u svakoj grupi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temperatura i vlažnost (neprekidno, ako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Zapažanja se beleže sistematično za vreme i nakon izlaganja ispitivanoj supstanci, i za svaku životinju vodi se zaseban karton. Prvog dana zapažanja se češće beleže. Pažljivi klinički pregled životinje potrebno je uraditi najmanje jedanput svakog radnog dana, a preostala posmatranja beleže se svakodnevno uz preduzimanje odgovarajućih aktivnosti kojima se na najmanju meru svodi gubitak životinja iz studije. Na uginulim životinjama radi se post-mortalni pregled ili se one odlažu na hlađenje, a životinje koje su izrazito slabe ili na samrti izdvajaju se iz grupe ili se lišavaju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Beleže se promene na koži i krznu, očima, mukoznim membranama, respiratornom, cirkulatornom, autononomnom i centralnom nervnom sistemu, kao i somatomotorna aktivnost i način ponašanja. Posebna pažnja se posvećuje načinu disanja, tremoru, konvulzijama, salivaciji, prolivu, letargiji, pospanosti i komi kod životinja. Vreme smrti beleži se što preciznije. Telesna masa svake pojedinačne životinje određuje se jednom nedeljno nakon prvobitnog izlaganja ispitivanoj supstanci, kao i u vreme smrti (lišavanja života na human način). Životinje koje uginu za vreme ispitivanja i one koje prežive do samog kraja post-mortalno se pregledaju sa posebnom pažnjom na promene u gornjem i donjem respiratornom traktu. Sve značajnije patološke promene se beleže. Kada je neophodno, uzimaju se i uzorci tkiva za histopatološka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Podaci se navode tabelarno. Za svaku ispitivanu grupu životinja navodi se: broj životinja na početku ispitivanja, vreme smrti za svaku životinju, broj onih koje su pokazale znakove toksičnosti, opis toksičnih efekata i nalazi post-mortalnog pregleda. Kada životinje prežive duže od jednog dana izračunavaju se i beleže promene u njihovoj telesnoj masi. Životinje koje se lišavaju života na human način, zbog intenziteta izazvanog efekta ili bola, navode se kao uginuća izazvana delovanjem supstance. Vrednost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određuje se primenom jedne od standardnih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 podatka uključuje i potencijalnu povezanost između izloženosti životinje ispitivanoj supstanci i učestalosti pojave i težine uočenih abnormalnosti. Navode se i promene u ponašanju, kliničke promene, pojava većih oštećenja, promene telesne mase, smrtnost, kao i drugi toksični efekti.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PISANJE IZVEŠTAJA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Eksperimentalnoj životinji: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soj, izvor, uslovi smeštaja,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aparature za inhalaciono izlaganje koja podrazumeva: dizajn, tip, dimenzije, izvor vazduha, sistem za stvaranje aerosola, metodu za kondicioniranje vazduha i način smeštaja životinja u komori kada se koristi. Opisuje se i aparatura za merenje temperature, vlažnosti, koncentracije aerosola i određivanje raspodele veličine čestica.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Izlaganju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Ovi podaci navode se tabelarno zajedno sa srednjim vrednostima i merama odstupanja (standardna devijacija), a, ako je moguće, uključuju 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brzini protoka vazduha, opremi za inhalaciju;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temperaturi i vlažnosti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nominalnoj koncentraciji (ukupnom sadržaju ispitivane supstance u opremi za inhalaciju, podeljenom sa zapreminom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prirodi vehikuluma, ako je korišćen;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tačnoj koncentraciji supstance u zoni udisanja;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đ) prosečnom aerodinamičkom prečniku (The mass median aerodynamic diameter, MMAD) i geometrijskoj standardnoj devijaciji (The geometric standard deviation, GSD);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 vremenu predviđenom za postizanje ravnoteže u komori;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 vremenu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prikaz podataka podeljenih prema polu i nivou izloženosti (broj mrtvih životinja ili životinja lišenih života na human način tokom trajanja ispitivanja; broj životinja koje su pokazale znake toksičnosti; broj izloženih životinja,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smrti za vreme ili nakon izlaganja, razlozi i kriterijumi za usmrćivanje životinja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 opažanja;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za svaki pol određene na kraju perioda posmatranja (sa propisanom metodom izračunavanja);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- 95% interval pouzdanosti za LC</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 xml:space="preserve">vrednosti (gde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kriva zavisnosti doza/smrtnost i nagib (ukoliko to omogućava metoda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 post-mortalnih pregleda;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 histopatološki nalazi;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obrazloženje rezultata (posebna pažnja se posvećuje uticaju koje može imati lišavanje života životinja iz humanih razloga za vreme ispitivanja na izračunatu vrednost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PODATAKA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G.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 AKUTNA DERMALNA TOKSIČNOST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B.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Ispitivana supstanca primenjuje se na kožu kod više grupa životinja, u rastućim dozama, tako da se jednoj grupi životinja primenjuje jedna doza. Nakon toga posmatraju se efekti primenjenih doza i beleži broj uginulih životinja. Životinje koje uginu tokom ispitivanja post-mortalno se pregledaju. Na kraju ispitivanja i preživele životinje se lišavaju života na human način i post-mortalno pregledaju.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koje pokazuju izrazite znakove patnje i bola, lišavaju se života na human način. Izbegava se primena ispitivane supstance u koncentracijama za koje se pouzdano zna da će kod životinja izazvati znatan bol i patnju usled iritacije ili korozivnog efekta.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drže u eksperimentalnim kavezima i hrane se po definisanom eksperimentalnom režimu najmanje pet dana pre početka ispitivanja. Zdrave mlade životinje nasumce se dele u prethodno definisani broj grupa. Približno 24 sata pre početka ispitivanja životinjama se uklanja krzno brijanjem dorzalnog dela tela. Kod šišanja ili brijanja krzna potrebno je obratiti pažnju da se ne ozledi koža jer bi to moglo da utiče na njenu permeabilnost (propustljivost). Za primenu ispitivane supstance potrebno je da se pripremi najmanje 10% od ukupne površine kože životinje. Ako se ispituje čvrsta supstanca, koja se po potrebi može usitniti do praha, dobijeni prašak potrebno je dobro ovlažiti vodom ili nekim drugim vehikulomom kako bi se omogućio dobar kontakt sa kožom. Ako se koristi određeni vehikulum, uzima se u obzir i njegov uticaj na penetraciju (prodiranje) ispitivane supstance kroz kožu. Ispitivane supstance koje se već nalaze u tečnom obliku najčešće se koriste nerazblažene.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najčešće se koriste kunići ili pacovi. I druge vrste životinja mogu da se koriste ali to zahteva dodatno obrazloženje, budući da se preporučuju već ustaljene životinjske vrste. Na početku ispitivanja, opseg telesne mase životinja za svaki pol ne sme da prelazi ± 20% od odgovarajuće srednje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Najmanje pet životinja koristi se za svaki dozni nivo. Sve životinje su istog pola. Ako se koriste ženke, ispitivanje se vrši na ženkama koje nisu ranije rađale i koje nisu gravidne. Ako postoje podaci na osnovu kojih je pokazano da je određeni pol osetljiviji kod ovakvih ispitivanja, koristi se taj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U ispitivanjima akutne toksičnosti na životinjama višeg reda od glodara, može da se razmotri i korišćenje manjeg broja životinja. Doze se pažljivo biraju, i ne koriste se doze veće od srednje toksičnih doza. U ovakvim ispitivanjima izbegavaju se letalne doze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Koristi se najmanje tri doze ispitivane supstance, a njihov izbor je takav da kod ispitivane grupe životinja izazove čitav opseg toksičnih efekata i smrtnost. Kod određivanja primenjenih doza, uzimaju se u obzir potencijalni iritativni i korozivni efekti. Vodi se računa i o količini dobijenih podataka kako bi se mogla konstruisati kriva doza/odgovor, a gde je to moguće, određuje se i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granične doze pri jednom doznom nivou može da se izvodi primenom ispitivane supstance od 2.000 mg/kg TM na grupi od pet mužjaka i pet ženki, prema postupku koji je opisan u Metodi ispitivanja B.1</w:t>
      </w:r>
      <w:r w:rsidRPr="00984859">
        <w:rPr>
          <w:rFonts w:ascii="Arial" w:eastAsia="Times New Roman" w:hAnsi="Arial" w:cs="Arial"/>
          <w:i/>
          <w:iCs/>
          <w:lang w:eastAsia="sr-Latn-RS"/>
        </w:rPr>
        <w:t>bis</w:t>
      </w:r>
      <w:r w:rsidRPr="00984859">
        <w:rPr>
          <w:rFonts w:ascii="Arial" w:eastAsia="Times New Roman" w:hAnsi="Arial" w:cs="Arial"/>
          <w:lang w:eastAsia="sr-Latn-RS"/>
        </w:rPr>
        <w:t xml:space="preserve">., Deo prvi odeljak 1.5.3. Ako dođe do smrti usled primene navedene doze ispitivane supstance, razmatra se cela studija.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Period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Period posmatranja traje najmanje 14 dana. Ovaj vremenski period nije strogo određen. Njega određuju, između ostalog, toksične reakcije, njihova učestalost, kao i vreme trajanja oporavka. Vreme posmatranja može da se produži. Važno je da se zabeleži vreme pojave ili nestanka prvih znakovi toksičnosti, kao i vreme smrti, pogotovo ako se primeti da je vreme smrti odloženo.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drže u kavezima za pojedinačno i odvojeno držanje. Ispitivana supstanca primenjuje se ravnomerno preko površine koja iznosi otprilike 10% od ukupne površine kože. Za primenu veoma toksičnih supstanci, izložena površina može da bude i manja, ali je u tom slučaju potrebno voditi računa da se primenjeni sloj ravnomerno rasporedi u što tanjem sloju.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drži se u kontaktu sa kožom tokom 24 sata pomoću porozne gaze na koju se nanosi, pri čemu se gaza ljepljivom trakom-flasterom prilepi na kožu životinje. Mesto primene dodatno se može prekriti kako bi se osiguralo da ispitivana supstanca ne dođe u kontakt sa ustima životinje. Ako je neophodno, na životinju se mogu staviti i dodatni štitnici kojima se sprečava peororalno unošenje ispitivane supstance. Ne preporučuje se potpuna imobilizacija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propisanog vremena izlaganja ispitivanoj supstanci, uklanja se višak ispitivane supstance ili vodom gde je to moguće ili nekim drugim odgovarajućim načinom za čišćenje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Zapažanja se beleže sistematično. Za svaku životinju vodi se zasebni karton. Prvog dana zapažanja se češće beleže. Pažljivi klinički pregled životinje potrebno je uraditi najmanje jedanput svakog radnog dana, a preostala posmatranja beleže se svakodnevno uz preduzimanje odgovarajućih aktivnosti kojima se na najmanju meru svodi gubitak životinja iz studije. Na uginulim životinjama potrebno je uraditi pos-mortalni pregled ili se one odlažu na hlađenje, a životinje koje su izrazito slabe ili na samrti izdvajaju se iz grupe ili se lišavaju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Beleže se promene na koži i krznu, očima, mukoznim membranama, respiratornom, cirkulatornom, autonomnom i centralnom nervnom sistemu, kao i somatomotorna aktivnost i način ponašanja. Posebna pažnja se posvećuje načinu disanja, tremoru, konvulzijama, salivaciji, prolivu, letargiji, pospanosti i komi kod životinja. Vreme smrti beleži se što preciznije. Životinje koje uginu za vreme ispitivanja i one koje ostanu žive do samog kraja post-mortalno se pregledaju. Sve značajnije patološke promene beleže. Kada postoje indikacije, uzimaju se i uzorci tkiva za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Procena toksičnosti kod suprotnog pola: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 završetku studije u kojoj se koriste životinje samo jednog pola, ista doza ispitivane supstance primenjuje se na najmanje jednu grupu od pet životinja suprotnog pola da bi se utvrdilo da li suprotni pol pokazuje veću osetljivost pri primeni ispitivane supstance Može se razmotriti i korišćenje manjeg broja životinja, zavisno od okolnosti. Kada su dostupni odgovarajući podaci na osnovu kojih je pokazano da je pol životinja koje su odabrane u prvobitnom ispitivanju značajno osetljiviji na ispitivanu supstancu, izostavlja se ispitivanje na životinjama suprotnog pola.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Podaci se navode tabelarno. Za svaku ispitivanu grupu životinja navodi se: broj životinja na početku ispitivanja, vreme smrti za svaku životinju, broj onih koje su pokazale znakove toksičnosti, opis toksičnih efekata i nalaze post-mortalnog pregleda. Individualna telesna masa životinja meri se i beleži neposredno pre primene ispitivane supstance, zatim jednom nedeljno, i u vreme smrti. Kada životinje prežive duže od jednog dana izračunavaju se i beleže promene u njihovoj telesnoj masi. Životinje koje se lišavaju života na human način, zbog intenziteta patnje ili bola, navode se kao uginuća izazvana delovanjem supstance.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određuje se jednom od standardnih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 podatka uključuje i potencijalnu povezanost između izloženosti životinje ispitivanoj supstanci i učestalosti pojave i težine uočene abnormalnosti. Navode se promene u ponašanju, kliničke promene, pojava većih oštećenja, promene telesne mase, smrtnost kao i drugi toksični efekti.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PISANJE IZVEŠTAJA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Eksperimentalnoj životinji: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soj, izvor, uslovi smeštaja,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 korišćen za čišćenje kože i tip obloga; okluzivni ili ne-okluzivni;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dozni nivoi (koncentracija vehikuluma, ako je korišćen);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pol eksperimentalnih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prikaz podataka koji su podeljeni prema polu i doznim nivoima (broj uginulih ili životinja lišenih života na human način tokom trajanja ispitivanja; broj životinja koje su pokazale znakove toksičnosti; broj izloženih životinja,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smrti nakon izlaganja, uzroci i kriterijumi za lišavanje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za onaj pol životinja koji je korišćen u ispitivanju, određen nakon 14 dana primenom propisane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- 95% interval pouzdanosti za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(kada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kriva zavisnosti doza/smrtnost i nagib (kada metoda omogućava njeno konstruisanje);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 post-mortalnog pregleda;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histopatološki nalazi;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obrazloženje rezultata (posebna pažnja se posvećuje uticaju koje lišavanje života na human način za vreme ispitivanja može da ima na izračunatu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PODATAKA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G.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B.4. AKUTNA TOKSIČNOST: IRITACIJA/KOROZIVNO OŠTEĆENJE KOŽE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404 (2002).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pripremi ažurirane verzije ove metode ispitivanja, posebna pažnja posvećena je mogućim poboljšanjima u odnosu na dobrobit životinja, kao i proceni svih postojećih podataka o ispitivanoj supstanci, sa ciljem da se izbegnu nepotrebna ispitivanja na životinjama. Metoda ispitivanja zasniva se na preporuci da se pre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iritativnog ili korozivnog efekta supstance obavi analiza kvaliteta postojećih podataka. Kada nema dovoljno podataka, moguće ih je dobiti primenom ispitivanja korak po korak</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Strategija ispitivanja uključuje i izvođenje validiranih i prihvaćenih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koja su opisana u Delu trećem ove metode. Kada je prihvatljivo u inicijalnom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ispitivanju, preporučuje se sukcesivna (jedan za drugim), a ne istovremena, primena tri "patch" testa na životinju.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interesu naučne zasnovanosti i dobrobiti životinja jeste da se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započinju tek nakon analize kvaliteta svih dostupnih podataka koji su relevantni za procenu potencijala supstance da izazove iritaciju/korozivno oštećenje. Takvi podaci obuhvataju: dokaze na osnovu nalaza kod ljudi odnosno iz prethodno sprovedenih studija na laboratorijskim životinjama, dokaze o efektima iritacije/korozivnog oštećenja za jednu ili više strukturno sličnih supstanci ili smeša takvih supstanci, podatke koji ukazuju na jaku kiselost ili baznost ispitivane supstance</w:t>
      </w:r>
      <w:r w:rsidRPr="00984859">
        <w:rPr>
          <w:rFonts w:ascii="Arial" w:eastAsia="Times New Roman" w:hAnsi="Arial" w:cs="Arial"/>
          <w:b/>
          <w:bCs/>
          <w:sz w:val="15"/>
          <w:szCs w:val="15"/>
          <w:vertAlign w:val="superscript"/>
          <w:lang w:eastAsia="sr-Latn-RS"/>
        </w:rPr>
        <w:t>2, 3</w:t>
      </w:r>
      <w:r w:rsidRPr="00984859">
        <w:rPr>
          <w:rFonts w:ascii="Arial" w:eastAsia="Times New Roman" w:hAnsi="Arial" w:cs="Arial"/>
          <w:lang w:eastAsia="sr-Latn-RS"/>
        </w:rPr>
        <w:t xml:space="preserve">, ili podatke iz prethodno validiranih i prihvaćenih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w:t>
      </w:r>
      <w:r w:rsidRPr="00984859">
        <w:rPr>
          <w:rFonts w:ascii="Arial" w:eastAsia="Times New Roman" w:hAnsi="Arial" w:cs="Arial"/>
          <w:b/>
          <w:bCs/>
          <w:sz w:val="15"/>
          <w:szCs w:val="15"/>
          <w:vertAlign w:val="superscript"/>
          <w:lang w:eastAsia="sr-Latn-RS"/>
        </w:rPr>
        <w:t>4, 5, 5a</w:t>
      </w:r>
      <w:r w:rsidRPr="00984859">
        <w:rPr>
          <w:rFonts w:ascii="Arial" w:eastAsia="Times New Roman" w:hAnsi="Arial" w:cs="Arial"/>
          <w:lang w:eastAsia="sr-Latn-RS"/>
        </w:rPr>
        <w:t xml:space="preserve">. Ovakva analiza smanjiće potrebu za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ispitivanjima iritacije/korozivnog oštećenja kože za one supstance za koje postoji dovoljno indirektnih dokaza na tom polju.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Delu trećem ove metode opisana je strategija ispitivanja korak po korak koja uključuje i obavljanje validiranih i prihvaćenih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iritacije/korozivnog oštećenja kože. Strategiju su razvili, kao jedinstveno prihvaćenu i preporučenu, članovi radne grupe OECD</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a prihvaćena je i uvršćena u preporučene strategije ispitivanja od strane Globalno harmonizovanog sistema za klasifikaciju i obeležavanje (u daljem tekstu: GHS)</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Preporučuje se praćenje ove strategije pre preduzimanja bilo kakvih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Za nove supstance koje još nisu bile ispitivane za prikupljanje podataka o njihovim iritativnim/korozivnim efektima za kožu preporučen je pristup ispitivanja "korak po korak". Za supstance koje su već uključene u ispitivanja, ista strategija se primenjuje za upotpunjavanje podataka o iritativnim/korozivnim efektima za kožu. Ukoliko se primeni drugačija strategija ispitivanja ili postupka, ili se odluči da se ne primeni ova metoda ispitivanja, potrebno je objasniti i obrazložiti razloge ovakve odluke.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određivanje iritativnih/korozivnih efekata ispitivane supstance na koži ne može utvrditi na osnovu analize kvaliteta postojećih podataka, u skladu sa strategijom ispitivanja korak po korak, potrebno je razmotriti obavljanje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(videti Deo treći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Iritacija kože jeste nastanak reverzibilnih oštećenja kože koja prate primenu ispitivane supstance nakon izlaganja u trajanju od 4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Korozivno oštećenje kože jeste nastanak ireverzibilnih oštećenja kože odnosno vidljive nekroze u epidermisu i dermisu nakon četvoročasovne primene ispitivane supstance. Korozivno oštećenje kože karakteriše se prema tipu izazvanog oštećenja kao: ulkus, krvarenje ili krvave kraste i na kraju perioda posmatranja od 14 dana prema promeni boje kože uslovljene perutanjem i pojavi površina sa alopecijom i ožiljnog tkiva. U cilju procene nejasnih oštećenja obavljaju se histopatološka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primenjuje se u jednoj dozi na kožu eksperimentalne životinje, a netretirani delovi kože služe kao kontrola. Stepen iritativnih/korozivnih efekta na koži očitava se i ocenjuje u prethodno utvrđenim vremenskim intervalima, pri čemu se dodatno svaki efekat pojedinačno opisuje kako bi se dobila kompletna procena štetnih efekata. Studija traje dovoljno dugo, da bi mogli da se donesu zaključci o reverzibilnosti ili ireverzibilnosti zabeleženih štetnih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Životinje koje u bilo kom delu ispitivanja pokazuju stalne znakove patnje ili bola, lišavaju se života na human način, a supstanca se procenjuje u skladu sa tim. Kriterijumi za donošenje odluke o lišavanju života na human način onih životinja koje su na samrti i pokazuju znake izrazite patnje, opisani su u literaturi</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Priprema za </w:t>
      </w:r>
      <w:r w:rsidRPr="00984859">
        <w:rPr>
          <w:rFonts w:ascii="Arial" w:eastAsia="Times New Roman" w:hAnsi="Arial" w:cs="Arial"/>
          <w:b/>
          <w:bCs/>
          <w:i/>
          <w:iCs/>
          <w:lang w:eastAsia="sr-Latn-RS"/>
        </w:rPr>
        <w:t xml:space="preserve">in vivo </w:t>
      </w:r>
      <w:r w:rsidRPr="00984859">
        <w:rPr>
          <w:rFonts w:ascii="Arial" w:eastAsia="Times New Roman" w:hAnsi="Arial" w:cs="Arial"/>
          <w:b/>
          <w:bCs/>
          <w:lang w:eastAsia="sr-Latn-RS"/>
        </w:rPr>
        <w:t xml:space="preserve">ispitivanje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korišćenje zdravih mladih jedinki albino kunića. Ukoliko se koristi druga životinjska vrsta, navode se razlozi za ovo korišćenje.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Približno 24 sata pre početka ispitivanja životinjama se uklanja krzno brijanjem dorzalnog dela tela. Kod brijanja krzna, potrebno je obratiti pažnju da se ne povredi koža jer se za ispitivanje koristite isključivo one životinje čija je koža neoštećena (intaktna).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Neke vrste kunića imaju gusto krzno na pojedinim delovima kože, zavisno od godišnjeg doba. Ispitivanje se ne vrši na ovim površinama kože.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Uslovi smeštaja životinja i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smeštaju u odgovarajući smeštaj za pojedinačno i odvojeno držanje. Temperatura smeštajnog prostora u kome se drže kunići održava se na 20° C (± 3° C). Relativna vlažnost vazduha je najmanje 30% i da ne prelazi 70% (osim u slučajevima kada se prostorija sa životinjama čisti). Idealna vlažnost je između 50% i 60%. Osvetljenje je veštačko i to u intervalima od 12 sati svetla i 12 sati mraka. Životinje se hrane uobičajenom hranom za laboratorijske životinje, sa slobodnim pristupom vodi za piće.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Primena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Ispitivana supstanca nanosi se na malu površinu kože (otprilike 6 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i prekriva gazom koja se fiksira pomoću flastera. U slučajevima kad direktno nanošenje nije moguće (npr. kod tečnosti ili nekih pasta), ispitivana supstanca se prvo nanosi na gazu, a zatim se gaza postavlja na kožu. Obloga od gaze je u laganom kontaktu s kožom, tako da bude polu zatvorena (semi-okluzivna) tokom perioda izlaganja. Ako se ispitivana supstanca nanosi na oblogu, a ne direktno na kožu, obloga se fiksira na kožu tako da se ostvari dobar kontakt i da se supstanca ravnomerno raspodeli po površini kože. Potrebno je onemogućiti pristup životinje oblozi, kao i inhalaciju ili dovođenje u kontakt sa ustima životinje (ingestiju)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koje se nalaze u tečnom stanju, najčešće se koriste nerazblažene. Ako se ispituje čvrsta supstanca, koja se po potrebi može usitniti do praha, dobijeni prašak potrebno je dobro ovlažiti u što manjoj zapremini vode ili nekom drugom vehikulumu kako bi se omogućio dobar kontakt sa kožom. Ako se koristi vehikulum koje nije voda, mogući uticaj tog vehikuluma na iritaciju kože svodi se na najmanju meru.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izlaganja, koje uobičajeno traje četiri sata, višak ispitivane supstance ispira se vodom ili se uklanja pomoću odgovarajućeg sredstva, bez promene efekata na koži i integriteta epidermisa.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Dozni nivo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pripremljeni deo kože nanosi se 0,5 mL tečne supstance ili 0,5 g čvrste supstance ili supstance u obliku paste.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1.4.2.3. Inicijalno ispitivanje </w:t>
      </w:r>
      <w:r w:rsidRPr="00984859">
        <w:rPr>
          <w:rFonts w:ascii="Arial" w:eastAsia="Times New Roman" w:hAnsi="Arial" w:cs="Arial"/>
          <w:i/>
          <w:iCs/>
          <w:lang w:eastAsia="sr-Latn-RS"/>
        </w:rPr>
        <w:br/>
        <w:t xml:space="preserve">(in vivo ispitivanje iritacije/korozivnog oštećenja kože na jednoj životinji)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Stroga je preporuka da se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ispitivanje inicijalno izvodi samo na jednoj životinji, naročito ako se sumnja da bi ispitivana supstanca mogla da izazove korozivno oštećenje kože. Ova preporuka je u skladu sa strategijom ispitivanja korak po korak iz Dela trećeg ove metode. Kada je na osnovu analize kvaliteta podataka doneta stručna procena da je ispitivana supstanca korozivna, nisu neophodna dalja ispitivanja na životinjama. Za većinu supstanci za koje se sumnja da izazivaju korozivno oštećenje kože ne smatraju se neophodnim dalja </w:t>
      </w:r>
      <w:r w:rsidRPr="00984859">
        <w:rPr>
          <w:rFonts w:ascii="Arial" w:eastAsia="Times New Roman" w:hAnsi="Arial" w:cs="Arial"/>
          <w:i/>
          <w:iCs/>
          <w:lang w:eastAsia="sr-Latn-RS"/>
        </w:rPr>
        <w:t xml:space="preserve">in </w:t>
      </w:r>
      <w:r w:rsidRPr="00984859">
        <w:rPr>
          <w:rFonts w:ascii="Arial" w:eastAsia="Times New Roman" w:hAnsi="Arial" w:cs="Arial"/>
          <w:i/>
          <w:iCs/>
          <w:lang w:eastAsia="sr-Latn-RS"/>
        </w:rPr>
        <w:lastRenderedPageBreak/>
        <w:t xml:space="preserve">vivo </w:t>
      </w:r>
      <w:r w:rsidRPr="00984859">
        <w:rPr>
          <w:rFonts w:ascii="Arial" w:eastAsia="Times New Roman" w:hAnsi="Arial" w:cs="Arial"/>
          <w:lang w:eastAsia="sr-Latn-RS"/>
        </w:rPr>
        <w:t xml:space="preserve">ispitivanja. U slučajevima kada nema dovoljno dokaza, potrebni su dodatni podaci, pri čemu se obavljaju ispitivanja granične doze korišćenjem sledećeg pristupa: najviše tri obloge se jedna za drugom (uzastopno) nanose na kožu životinje. Prva obloga se uklanja nakon tri minuta i ako se pri tome ne uoči jaka reakcija na koži, nanosi se i druga obloga koja se uklanja nakon jednog sata. Ako uočene promene u ovoj fazi ukazuju da se izlaganje ispitivanoj supstanci može proširiti na četiri sata, nanosi se i treća obloga koja se uklanja nakon četiri sata, a dobijeni nalaz se ocenjuje.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uoči korozivno oštećenje kože nakon bilo kog od tri uzastopna izlaganja ispitivanoj supstanci, ispitivanje se nakon tog izlaganja prekida. Ako ne dođe do pojave oštećenja na koži nakon što se ukloni i zadnja obloga, životinju je potrebno posmatrati još 14 dana, osim ukoliko ranije dođe do pojave korozivnog oštećenja.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slučajevima kada se ne očekuje da će ispitivana supstanca dovesti do korozivnog oštećenja kože, ali se pretpostavlja da će izazvati iritaciju, dovoljno je primeniti oblogu na jednu životinju u trajanju od četiri sata.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1.4.2.4. Ispitivanje kojim se potvrđuje </w:t>
      </w:r>
      <w:r w:rsidRPr="00984859">
        <w:rPr>
          <w:rFonts w:ascii="Arial" w:eastAsia="Times New Roman" w:hAnsi="Arial" w:cs="Arial"/>
          <w:i/>
          <w:iCs/>
          <w:lang w:eastAsia="sr-Latn-RS"/>
        </w:rPr>
        <w:br/>
        <w:t xml:space="preserve">(in vivo ispitivanje iritacije kože na dodatnim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u inicijalnom ispitivanju ne uoči korozivno oštećenje, iritacija ili negativni nalaz kože potrebno je, radi potvrde, sprovesti ispitivanje na još dve dodatne životinje. Na svaku dodatnu životinju primenjuje se jedna obloga tokom perioda izlaganja u trajanju od četiri sata. Ako se u inicijalnom ispitivanju uoči iritacija kože, ispitivanje kojim se potvrđuje izvodi se po fazama ili istovremenim izlaganjem još dve dodatne životinje. U izuzetnom slučaju u kome se inicijalno ispitivanje ne izvodi, dve ili tri životinje mogu se tretirati po jednom oblogom koja se uklanja nakon četiri sata. Ako se koriste dve životinje i kod njih dođe do identičnih nalaza, nije neophodno dalje ispitivanje. U suprotnom, potrebno je i treću životinju uključiti u ispitivanje. Sumnjive (dvosmislene) nalaze ponekad je potrebno potvrditi ispitivanjima na dodatnim životinjama.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1.4.2.5. Period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Period posmatranja mora da bude dovoljno dug kako bi se u potpunosti odredila reverzibilnost uočenih efekata. Eksperiment se prekida u bilo kom trenutku ako životinja pokazuje neprekidne znakove jakog bola ili patnje. Da bi se odredila reverzibilnost efekata, potrebno je posmatrati životinje nakon uklanjanja obloge i to do 14 dana. Ako se reverzibilnost uoči pre 14 dana, eksperiment se prekida.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1.4.2.6. Klinička posmatranja i ocenjivanje reakcija na koži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svih životinje potrebno je ispitati znakove eritema ili edema na koži i oceniti nalaz i to nakon 60 minuta, i kasnije: 24 sata, 48 sati i 72 sata nakon uklanjanja obloge. Kod inicijalnog ispitivanja na jednoj životinji, samo mesto ispitivanja na koži potrebno je pregledati neposredno nakon uklanjanja obloge. Reakcije na koži ocenjuju se i opisuju prema ocenama navedenim u Tabeli. Ako na koži postoji oštećenje koje ne može da se definiše kao iritacija ili korozivno oštećenje nakon 72 sata, posmatranje se produžava do 14 dana kako bi se odredila reverzibilnost efekata. Osim posmatranja iritacije kože, beleže se i opisuju i svi lokalni toksični efekti, poput sušenja kože kao i sistemski štetni efekti (npr. klinički znakovi toksičnosti ili promene u telesnoj masi). U slučaju nejasnih nalaza obavljaju se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Ocenjivanje nalaza kože po svojoj prirodi je subjektivno. Kako bi se podstaklo da ocenjivanje bude usklađeno među različitim laboratorijama, potrebno je osoblje laboratorija adekvatno </w:t>
      </w:r>
      <w:r w:rsidRPr="00984859">
        <w:rPr>
          <w:rFonts w:ascii="Arial" w:eastAsia="Times New Roman" w:hAnsi="Arial" w:cs="Arial"/>
          <w:lang w:eastAsia="sr-Latn-RS"/>
        </w:rPr>
        <w:lastRenderedPageBreak/>
        <w:t>obučiti za ocenjivanje (videti Tabelu). Dostupan je i ilustrovani vodič za ocenjivanje iritacije kože i drugih lezija</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NAVOĐENJE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ispitivanja navode se tabelarno u završnom izveštaju. Rezultati sadrže sve podatke navedene u odeljku 3.1.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Ocena iritacije kože sprovodi se u saglasnosti sa prirodom i težinom oštećenja/lezija na koži, kao i sa njihovom reverzibilnošću ili ireverzibilnošću. Pojedinačne ocene same za sebe ne ukazuju na iritativno svojstvo ispitivane hemikalije, budući da se procenjuju i ostali efekti. Pojedinačne ocene se imaju u vidu kao preporuka, i značajne su samo ukoliko su podržane potpunim opisom i procenom svih uočenih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procene iritativnog odgovora potrebno je razmotriti reverzibilnost oštećenja na koži. Ispitivana supstanca može se smatrati iritativnom kada su nalazi poput alopecije (na ograničenoj površini), hiperkeratoze, hiperplazije ili deskvamacije prisutni sve do kraja perioda posmatranja od 14 dana.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PISANJE IZVEŠTAJA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Razlozima za izvođenje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analizu kvaliteta postojećih podataka, uključujući rezultate dobijene strategijom ispitivanja korak po korak;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relevantnih podataka dobijenih iz prethodnih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iz svakog pojedinačnog koraka strategije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izvedenih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ispitivanja, koji uključuju detalje o postupku i rezultate dobijene za ispitivanu/referentnu supstancu;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analizu kvaliteta podataka za izvođenje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identifikacioni podaci (npr. CAS broj; poreklo, stepen čistoće, poznate nečistoće, broj serije);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fizičko stanje i fizička i hemijska svojstva (npr. pH, isparljivost, rastvorljivost, stabilnost);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kod smeše: sastav i relativni procenti sastojaka.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identifikacija, koncentracija (po potrebi), zapremina koja se koristi;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opravdanost izbora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vrsta/soj, razlog korišćenja druge vrste, a ne albino kunića;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životinja svakog pola;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telesna masa pojedinačnih životinja na početku i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starost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životinja, uslovi smeštaja,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 pripreme kože na mestu gde se stavlja obloga;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korišćenim materijalima za oblogu, kao i način nanošenja obloge;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pripremi ispitivane supstance, primeni i uklanjanju.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prikaz ocene nalaza iritacije/korozivnog oštećenja kože za svaku životinju pri svakom vremenu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opisi svih uočenih lezija;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prirode i stepena iritacije ili korozivnog oštećenja kože, kao i histopatološki nalazi;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svih drugih lokalnih štetnih efekata (npr. obezmašćivanje kože/sušenje) kao i sistemskih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Barratt, M.D., Castell, J.V., Chamberlain, M., Combes, R.D., Dearden, J.C., Fentem, J.H., Gerner, I., Giuliani, A., Gray, T.J.B., Livingston, D.J., Provan, W.M., Rutten, F.A.J.J.L., Verhaar, H.J.M., Zbinden, P. (1995) The Integrated Use of Alternative Approaches for Predicting Toxic Hazard. ECVAM Workshop Report 8. ATLA 23, 410 - 429.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Young, J.R., How, M.J., Walker, A.P., Worth W.M.H. (1988) Classification as Corrosive or Irritant to Skin of Preparations Containing Acidic or Alkaline Substance Without Testing on Animals. Toxicol.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2, 19 - 26.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Worth, A.P., Fentem, J.H., Balls, M., Botham, P.A., Curren, R.D., Earl, L.K., Esdaile, D.J., Liebsch, M. (1998) Evaluation of the proposed OECD Testing Strategy for skin corrosion. ATLA 26, 709-720.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4. ECETOC (1990) Monograph No. 15, "Skin Irritation", European Chemical Industry, Ecology and Toxicology Centre, Brussels.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Fentem, J.H., Archer, G.E.B., Balls, M., Botham, P.A., Curren, R.D., Earl, L.K., Edsail, D.J., Holzhutter, H.G. and Liebsch, M. (1998) The ECVAM international 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tests for skin corrosivity. 2. Results and evaluation by the Management Team.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12, pp.483 - 524.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5a. Testing Method B.40 Skin Corrosion.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OECD (1996) OECD Test Guidelines Programme: Final Report of the OECD Workshop on Harmonization of Validation and Acceptance Criteria for Alternative Toxicological Test Methods. Held in Solna, Sweden, 22 - 24 January 1996 (http://www.oecd1.org/ehs/test/background.htm).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OECD (1998) Harmonized Integrated Hazard Classification System for Human Health and Environmental Effects of Chemical Substances, as endorsed by the 28th Joint Meeting of the Chemicals Committee and the Working Party on Chemicals, November 1998 (http://www.oecd1.org/ehs/Class/HCL6.htm).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OECD (2000) Guidance Document on the Recognition, Assessment and Use of Clinical Signs as Humane Endpoints for Experimental Animals Used in Safety Evaluation. OECD Environmental Health and Safety Publications. Series on Testing and Assessment No. 19 (http://www.oecd1.org/ehs/test/monos.htm).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EPA (1990) Atlas of Dermal Lesions, (20T-2004). United States Environmental Protection Agency, Office of Pesticides and Toxic Substances, Washington, DC, August 1990 (Dostupno na zahtev od sekreterijata OECD)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OCENJIVANJE REAKCIJA NA KOŽI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Nastanak eritema i eshare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49"/>
        <w:gridCol w:w="963"/>
      </w:tblGrid>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Nema eritema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0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Veoma slab eritem (jedva vidljiv)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Dobro definisan eritem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Srednje izražen do jak eritem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Jak eritem (crvenilo) uz nastanak eshare </w:t>
            </w:r>
          </w:p>
        </w:tc>
        <w:tc>
          <w:tcPr>
            <w:tcW w:w="10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koja sprečava ocenu eritema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Maksimalna ocena: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Nastanak edema </w:t>
            </w:r>
          </w:p>
        </w:tc>
        <w:tc>
          <w:tcPr>
            <w:tcW w:w="10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Nema edema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0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Veoma slab edem (jedva vidljiv)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Slab edem (jasno ograničen)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Srednje izražen edem (uzdignut približno 1 mm)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Jak edem (uzdignut iznad 1 mm i proširen </w:t>
            </w:r>
          </w:p>
        </w:tc>
        <w:tc>
          <w:tcPr>
            <w:tcW w:w="10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 na površinu koja nije bila izložena supstanci)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 </w:t>
            </w:r>
          </w:p>
        </w:tc>
      </w:tr>
      <w:tr w:rsidR="00984859" w:rsidRPr="00984859" w:rsidTr="00984859">
        <w:trPr>
          <w:tblCellSpacing w:w="0" w:type="dxa"/>
        </w:trPr>
        <w:tc>
          <w:tcPr>
            <w:tcW w:w="92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Maksimalna ocena: </w:t>
            </w:r>
          </w:p>
        </w:tc>
        <w:tc>
          <w:tcPr>
            <w:tcW w:w="109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nejasnih nalaza potrebno je obaviti histopatološka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STRATEGIJA ISPITIVANJA IRITACIJE I KOROZIVNOG OŠTEĆENJA KOŽE KORAK PO KORAK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OPŠTA RAZMATRANJA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interesu naučne zasnovanosti i zbog dobrobiti životinja važno je izbegavati nepotrebno korišćenje životinja ili ispitivanja koja će kod životinja verovatno izazvati jak odgovor. Pre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iritacije/korozivnog oštećenja potrebno je proceniti sve postojeće podatke koji se odnose na potencijal ispitivane supstance da izazove iritaciju /korozivno oštećenje. Ispitivanje na laboratorijskim životinjama može da se izbegne ako postoji dovoljno podataka i dokaza za klasifikaciju određene supstance u odnosu na potencijal da izazove iritaciju/korozivno oštećenje. Na osnovu analize kvaliteta podataka i strategije ispitivanja korak po korak smanjiće se potreba 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ispitivanjima, naročito ako se sumnja na mogućnost da će ispitivana supstanca izazvati intenzivne reakcije na koži.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 kvaliteta podataka koristi se za procenu postojećih podataka o iritaciji/korozivnom oštećenju kože koje izaziva ispitivana supstanca i da bi se utvrdilo da li se osim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studija na koži, izvode i dodatna ispitivanja koja bi doprinela da se bolje opiše ovaj potencijal ispitivane supstance. Kada se pokaže potreba za dodatnim ispitivanjima, za prikupljanje novih, relevantnih eksperimentalnih podatka preporučuje se primena strategije ispitivanja korak po korak. Za supstance koje prethodno nisu ispitivane, takođe je potrebno primeniti strategiju ispitivanja korak po korak za određivanje njenih efekata na koži. Strategiju ispitivanja opisanu u ovom Delu razvili su članovi radne grupe OECD</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a ista je kasnija potvrđena i proširena u sklopu Globalno harmonizovanog sistema za klasifikaciju i obeležavanje u odnosu na efekte po zdravlje ljudi i na životnu sredinu, na 28-om zajedničkom Simpozijumu hemijske komisije i radne grupe za hemiju, u novembru 1998. godine</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strategija ispitivanja korak po korak nije sastavni deo metode ispitivanja B.4. koja je data u ovom Delu, ona odražava preporučeni pristup za određivanje svojstava supstanci na osnovu iritativnih/korozivnih efekata na koži. Ova metoda ispitivanja predstavlja, sa aspekta etike i prakse, najbolji pristup 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iritacije/korozivnog oštećenja na koži. Metoda ispitivanja služi kao uputstvo za izvođenje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i zbraja faktore koje je potrebno sagledati pre početka ispitivanja na životinjama. Strategija takođe daje preporuku za procenu postojećih podataka o ispitivanoj supstanci, kao i način na koji je potrebno prikupiti nove podatke za supstance za koje su potrebna dodatna ispitivanja ili za supstance za koje nikakva ispitivanja nisu prethodno sprovedena. Pod određenim okolnostima, preporučuje se i izvođenje validiranih i prihvaćenih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iritativnih/korozivnih efekata na koži.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OPIS STRATEGIJE ISPITIVANJA I PROCENE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početka ispitivanja, kao deo strategije ispitivanja korak po korak (videti Sliku), procenjuju se svi dostupni podaci kako bi se odredila potreba 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ispitivanjima na koži. Iako je značajne podatke moguće dobiti procenom jednog parametara (npr. visoki pH), za donošenje konačne odluke o ispitivanjima razmatraju se i svi drugi dostupni podaci, kao što su štetni efekti ispitivane supstance ili njenih analoga. Na kraju je potrebno izneti i objašnjenje za donetu odluku. Akcenat je na postojećim podacima o ispitivanoj supstanci dobijenim iz nalaza kod ljudi i ispitivanja na životinjama, i na ishodu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Gde god je moguće izbegava se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studije korozivnih supstanci za koje se unapred zna da su štetne. Faktori koji se uzimaju u obzir u strategiji ispitivanja uključuju: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Procenu postojećih podataka studija dobijenih na osnovu nalaza kod ljudi i podataka iz ispitivanja na životinjama (korak 1). Prvo se razmatraju postojeći podaci na osnovu nalaza kod ljudi npr. kliničke studije, studije nakon profesionalne izloženosti, prikazi slučaja; odnosno iz studija na životinjama npr. podaci iz ispitivanja sa jednom ili ponovljenim dozama, budući da se dobijaju podaci koji su direktno povezani sa efektima na koži. Nije potrebno ispitivati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supstance za koje se pouzdano zna da izazivaju iritaciju/korozivno oštećenje kože, kao i one za koje postoje dokazi da nemaju takve efekte.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Analizu odnosa strukture i aktivnosti (u daljem tekstu: SAR) (korak 2). Razmatraju se rezultati ispitivanja strukturno sličnih supstanci, ako takve postoje. Kada dovoljno dostupnih podataka o strukturno sličnim supstancama/smešama tih supstanci ukazuju na njihov potencijal za iritaciju/korozivni efekat, može se pretpostaviti da će ispitivana supstanca u sličnim studijama dati slične nalaze. U takvim slučajevima, supstancu nije potrebno dodatno ispitivati. Negativni rezultati, odnosno podaci koji ukazuju na izostanak ovakvih efekata, iz studije na strukturno sličnim supstancama ili smešama takvih supstanci, ne predstavljaju dovoljno čvrst dokaz o neškodljivosti supstance koja je u postupku analize. Validirani i prihvaćeni SAR pristup koristi se kako bi se identifikovao potencijal za iritativni i korozivni efekat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Fizička i hemijska svojstva i hemijsku reaktivnost (korak 3). Supstance koje imaju ekstremne pH vrednosti kao ≤ 2,0 i ≥ 11,5 mogu imati izražene lokalne efekte. Ako je ekstremni pH osnova za ocenjivanje potencijala supstance da izazove korozivno oštećenje kože, razmatra se i njena kiselo-bazna rezerva (ili puferski kapacitet)</w:t>
      </w:r>
      <w:r w:rsidRPr="00984859">
        <w:rPr>
          <w:rFonts w:ascii="Arial" w:eastAsia="Times New Roman" w:hAnsi="Arial" w:cs="Arial"/>
          <w:b/>
          <w:bCs/>
          <w:sz w:val="15"/>
          <w:szCs w:val="15"/>
          <w:vertAlign w:val="superscript"/>
          <w:lang w:eastAsia="sr-Latn-RS"/>
        </w:rPr>
        <w:t>3, 4</w:t>
      </w:r>
      <w:r w:rsidRPr="00984859">
        <w:rPr>
          <w:rFonts w:ascii="Arial" w:eastAsia="Times New Roman" w:hAnsi="Arial" w:cs="Arial"/>
          <w:lang w:eastAsia="sr-Latn-RS"/>
        </w:rPr>
        <w:t xml:space="preserve">. Ako puferski kapacitet ukazuje na to da supstanca ne izaziva korozivno oštećenje kože, neophodno je obaviti dodatna ispitivanja kako bi se potvrdila ova pretpostavka, i to po mogućstvu primenom validiranih i prihvaćenih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(videti korake 5 i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Dermalnu toksičnost (korak 4). Ako se pokazalo da je hemikalija veoma toksična nakon dermalne primene, ne preporučuje se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iritacije/korozivnog oštećenja, budući da će količina ispitivane supstance koja se uobičajeno primenjuje premašiti onu veoma toksičnu dozu, i dovesti do uginuća ili izrazite patnje životinja. Nisu potrebna dodatna ispitivanja ako prethodno izvedena ispitivanja na albino kunićima primenom doze od 2.000 mg/kg TM ili veće nisu pokazala nikakve štetne efekte na koži. Kod procene akutne dermalne toksičnosti potrebno je imati na umu nekoliko stvari: na primer, beleške o lezijama na koži mogu biti nepotpune. Ispitivanja i opažanja mogu biti obavljena na drugoj vrsti, a ne na kunićima, a druge životinjske vrste mogu bitno da se razlikuju po osetljivosti odgovora. Oblik u kojem je ispitivana supstanca primenjena na kožu možda nije odgovarajući za određivanje iritacije/korozivnog oštećenja kože (npr. razblaživanje supstance kod ispitivanja dermalne toksičnosti</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U slučajevima kada su obavljena dobro osmišljena ispitivanja dermalne toksičnosti na koži kunića, negativni nalazi mogu da se smatraju dovoljno čvrstim dokazom da ispitivana supstanca ne izaziva iritaciju/korozivno oštećenje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(koraci 5 i 6). Ispitivanje na životinjama nije potrebno vršiti za supstance koje su pokazale korozivno ili jako iritativno svojstvo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ispitivanjima</w:t>
      </w:r>
      <w:r w:rsidRPr="00984859">
        <w:rPr>
          <w:rFonts w:ascii="Arial" w:eastAsia="Times New Roman" w:hAnsi="Arial" w:cs="Arial"/>
          <w:b/>
          <w:bCs/>
          <w:sz w:val="15"/>
          <w:szCs w:val="15"/>
          <w:vertAlign w:val="superscript"/>
          <w:lang w:eastAsia="sr-Latn-RS"/>
        </w:rPr>
        <w:t xml:space="preserve">6, 7 </w:t>
      </w:r>
      <w:r w:rsidRPr="00984859">
        <w:rPr>
          <w:rFonts w:ascii="Arial" w:eastAsia="Times New Roman" w:hAnsi="Arial" w:cs="Arial"/>
          <w:lang w:eastAsia="sr-Latn-RS"/>
        </w:rPr>
        <w:t xml:space="preserve">koja su validirana i prihvaćena upravo za procenu ovih specifičnih efekata, već se može pretpostaviti da će ove supstance dovesti do sličnih efekata 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na kunićima (koraci 7 i 8). Ako se nakon procene kvaliteta postojećih podataka ipak donese odluka da se izvodi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inicijalno ispitivanje se započinje samo na jednoj životinji. Ako na toj životinji supstanca izazove korozivno oštećenje kože, obustavljaju se dalja ispitivanja. Ako ne dođe do korozivnog oštećenja kože u inicijalnom ispitivanju, potrebno je da se iritativni ili negativni nalaz dodatno potvrdi na još dve eksperimentalne životinje i to za vreme izlaganja u trajanju od četiri sata. Ako se uoči efekat </w:t>
      </w:r>
      <w:r w:rsidRPr="00984859">
        <w:rPr>
          <w:rFonts w:ascii="Arial" w:eastAsia="Times New Roman" w:hAnsi="Arial" w:cs="Arial"/>
          <w:lang w:eastAsia="sr-Latn-RS"/>
        </w:rPr>
        <w:lastRenderedPageBreak/>
        <w:t xml:space="preserve">iritacije u inicijalnom ispitivanju, može da se obavi ispitivanje kojim se potvrđuje i to korak po korak, ili istovremenim izlaganjem dve dodatne životinje.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(1996) Test Guidelines Programme: Final Report on the OECDWorkshop on Harmonisation of Validation and Acceptance Criteria for Alternative Toxicological Test Methods. Held on Solna, Sweden, 22-24 January 1996 (http://www1.oecd.org/ehs/test/background.htm).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OECD, (1998) Harmonised Integrated Hazard Classification System for Human Health and Environmental Effects of Chemical Substances, as endorsed by the 28th Joint Meeting of the Chemicals Committee and the Working Party on Chemicals, November 1998 (http://www1.oecd.org/ehs/Class/HCL6.htm).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Worth, A.P., Fentem J.H., Balls M., Botham P.A., Curren R.D., Earl L.K., Esdaile D.J., Liebsch M., (1998). An Evaluation of the Proposed OECD Testing Strategy for Skin Corrosion. ATLA 26, p. 709-720.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Young, J.R., How, M.J., Walker, A.P., Worth, W.M.H., (1988). Classification as Corrosive or Irritant to Skin of Preparations Containing Acidic or Alkaline Substances, Without Testing on Animals. Toxicology In vitro, 2(1), p. 19-26.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Patil, S.M., Patrick, E., Maibach, H.I. (1996) Animal, Human, and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 Methods for Predicting Skin Irritation, in: Francis N. Marzulli and Howard I. Maibach (editors): Dermatotoxicology. Fifth Edition ISBN 1-56032-356-6, Chapter 31, p. 411-436.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Testing Method B.40.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Fentem, J.H., Archer, G.E.B., Balls, M., Botham, P.A., Curren, R.D., Earl, L.K., Esdaile, D.J., Holzhutter, H.G. and Liebsch, M. (1998) The ECVAM international 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tests for skin corrosivity. 2. Results and evaluation by the Management Team.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12, p. 483-524.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četvrti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ISPITIVANJE I STRATEGIJA PROCENE ZA IRITACIJU/KOROZIVNO OŠTEĆENJE KOŽE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83"/>
        <w:gridCol w:w="3056"/>
        <w:gridCol w:w="167"/>
        <w:gridCol w:w="2876"/>
        <w:gridCol w:w="2730"/>
      </w:tblGrid>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Aktivnost </w:t>
            </w:r>
          </w:p>
        </w:tc>
        <w:tc>
          <w:tcPr>
            <w:tcW w:w="39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Nalaz </w:t>
            </w:r>
          </w:p>
        </w:tc>
        <w:tc>
          <w:tcPr>
            <w:tcW w:w="411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Zaključak </w:t>
            </w:r>
          </w:p>
        </w:tc>
      </w:tr>
      <w:tr w:rsidR="00984859" w:rsidRPr="00984859" w:rsidTr="00984859">
        <w:trPr>
          <w:tblCellSpacing w:w="0" w:type="dxa"/>
        </w:trPr>
        <w:tc>
          <w:tcPr>
            <w:tcW w:w="495" w:type="dxa"/>
            <w:vMerge w:val="restart"/>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1 </w:t>
            </w:r>
          </w:p>
        </w:tc>
        <w:tc>
          <w:tcPr>
            <w:tcW w:w="5280" w:type="dxa"/>
            <w:vMerge w:val="restart"/>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Postojeći podaci dobijeni na osnovu ispitivanja kod ljudi/životinja koji pokazuju efekte na koži ili sluzokoži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Korozija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je korozivna.</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Iritatacija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je iritativna.</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Nema korozije/iritacije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Suptanca nije iritativna/korozivna.</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Nema dostupnih podataka, ili su dostupni podaci </w:t>
            </w:r>
            <w:r w:rsidRPr="00984859">
              <w:rPr>
                <w:rFonts w:ascii="Arial" w:eastAsia="Times New Roman" w:hAnsi="Arial" w:cs="Arial"/>
                <w:i/>
                <w:iCs/>
                <w:lang w:eastAsia="sr-Latn-RS"/>
              </w:rPr>
              <w:lastRenderedPageBreak/>
              <w:t xml:space="preserve">neadekvatni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vMerge w:val="restart"/>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2 </w:t>
            </w:r>
          </w:p>
        </w:tc>
        <w:tc>
          <w:tcPr>
            <w:tcW w:w="5280" w:type="dxa"/>
            <w:vMerge w:val="restart"/>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Izvršiti SAR procenu za iritaciju/korozivno oštećenja koža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Predviđa se teško oštećenje kože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je korozivna:</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Predviđa se iritacija kože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je iritativna.</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Nije moguće predvideti ili su predviđanja negativna i nejasna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3 </w:t>
            </w:r>
          </w:p>
        </w:tc>
        <w:tc>
          <w:tcPr>
            <w:tcW w:w="5280" w:type="dxa"/>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Odrediti pH (po potrebi, razmotriti puferski kapacitet)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pH</w:t>
            </w:r>
            <w:r w:rsidRPr="00984859">
              <w:rPr>
                <w:rFonts w:ascii="Symbol" w:eastAsia="Times New Roman" w:hAnsi="Symbol" w:cs="Arial"/>
                <w:lang w:eastAsia="sr-Latn-RS"/>
              </w:rPr>
              <w:t></w:t>
            </w:r>
            <w:r w:rsidRPr="00984859">
              <w:rPr>
                <w:rFonts w:ascii="Arial" w:eastAsia="Times New Roman" w:hAnsi="Arial" w:cs="Arial"/>
                <w:lang w:eastAsia="sr-Latn-RS"/>
              </w:rPr>
              <w:t xml:space="preserve">2 ili </w:t>
            </w:r>
            <w:r w:rsidRPr="00984859">
              <w:rPr>
                <w:rFonts w:ascii="Symbol" w:eastAsia="Times New Roman" w:hAnsi="Symbol" w:cs="Arial"/>
                <w:lang w:eastAsia="sr-Latn-RS"/>
              </w:rPr>
              <w:t></w:t>
            </w:r>
            <w:r w:rsidRPr="00984859">
              <w:rPr>
                <w:rFonts w:ascii="Arial" w:eastAsia="Times New Roman" w:hAnsi="Arial" w:cs="Arial"/>
                <w:lang w:eastAsia="sr-Latn-RS"/>
              </w:rPr>
              <w:t xml:space="preserve"> 11,5 (sa visokim puferskim kapacitetom, po potrebi)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da je supstanca korozivna. Dalja ispitivanja nisu potrebna </w:t>
            </w: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2 </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pH </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 11,5, ili pH </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 2.0 ili </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 11.5 sa malim / bez puferskog kapaciteta, po potrebi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vMerge w:val="restart"/>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4 </w:t>
            </w:r>
          </w:p>
        </w:tc>
        <w:tc>
          <w:tcPr>
            <w:tcW w:w="5280" w:type="dxa"/>
            <w:vMerge w:val="restart"/>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Proceniti podatke koje se odnose na sistemsku toksičnost putem primene na kožu </w:t>
            </w:r>
            <w:r w:rsidRPr="00984859">
              <w:rPr>
                <w:rFonts w:ascii="Arial" w:eastAsia="Times New Roman" w:hAnsi="Arial" w:cs="Arial"/>
                <w:b/>
                <w:bCs/>
                <w:sz w:val="15"/>
                <w:szCs w:val="15"/>
                <w:vertAlign w:val="superscript"/>
                <w:lang w:eastAsia="sr-Latn-RS"/>
              </w:rPr>
              <w:t>(1)</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Veoma toskično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Nema korozivnog oštećenja/iritacije pri ispitivanju granične doze od 2000 mg/kg TM ili veće, kod kunića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Smatra se da supstanca nije iritativna/korozivna.</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Podaci nisu dostupni ili se smatraju neadekvatnim za izvođenje zaključaka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vMerge w:val="restart"/>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5 </w:t>
            </w:r>
          </w:p>
        </w:tc>
        <w:tc>
          <w:tcPr>
            <w:tcW w:w="5280" w:type="dxa"/>
            <w:vMerge w:val="restart"/>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Izvršiti validirana i prihvaćena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korozivnog oštećenja kože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Korozivno za kožu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korozivno oštećenje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ispitivanjima.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Dalja ispitivanja nisu potrebna. </w:t>
            </w: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Supstanca ne dovodi do korozivnog oštećenja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6 </w:t>
            </w:r>
          </w:p>
        </w:tc>
        <w:tc>
          <w:tcPr>
            <w:tcW w:w="5280" w:type="dxa"/>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Izvršiti validirana i prihvaćena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iritacije kože.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Iritativno za kožu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iritacija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ispitivanjima. Pretpostavlja se korozivno oštećenje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ispitivanjima </w:t>
            </w: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Validirane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metode ispitivanja iritacije </w:t>
            </w:r>
            <w:r w:rsidRPr="00984859">
              <w:rPr>
                <w:rFonts w:ascii="Arial" w:eastAsia="Times New Roman" w:hAnsi="Arial" w:cs="Arial"/>
                <w:lang w:eastAsia="sr-Latn-RS"/>
              </w:rPr>
              <w:lastRenderedPageBreak/>
              <w:t xml:space="preserve">kože još nisu razvijene ili supstanca nema iritativni efekat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7 </w:t>
            </w:r>
          </w:p>
        </w:tc>
        <w:tc>
          <w:tcPr>
            <w:tcW w:w="5280" w:type="dxa"/>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Izvršiti inicijalno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ispitivanje na jednom kuniću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Teško oštećenje kože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je korozivna.</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Nema teških oštećenja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280" w:type="dxa"/>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95" w:type="dxa"/>
            <w:vMerge w:val="restart"/>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8 </w:t>
            </w:r>
          </w:p>
        </w:tc>
        <w:tc>
          <w:tcPr>
            <w:tcW w:w="5280" w:type="dxa"/>
            <w:vMerge w:val="restart"/>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Obaviti na jednoj ili dve dodatne životinje</w:t>
            </w:r>
            <w:r w:rsidRPr="00984859">
              <w:rPr>
                <w:rFonts w:ascii="Arial" w:eastAsia="Times New Roman" w:hAnsi="Arial" w:cs="Arial"/>
                <w:lang w:eastAsia="sr-Latn-RS"/>
              </w:rPr>
              <w:br/>
              <w:t xml:space="preserve">ispitivanje kojim se potvrđuje </w:t>
            </w:r>
          </w:p>
        </w:tc>
        <w:tc>
          <w:tcPr>
            <w:tcW w:w="390" w:type="dxa"/>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Korozivno ili iritativno </w:t>
            </w:r>
          </w:p>
        </w:tc>
        <w:tc>
          <w:tcPr>
            <w:tcW w:w="4110" w:type="dxa"/>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je korozivna ili iritativna.</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9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Nije korozivno ili iritantno </w:t>
            </w:r>
          </w:p>
        </w:tc>
        <w:tc>
          <w:tcPr>
            <w:tcW w:w="41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nije korozivna ili iritativna.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9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84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Dalja ispitivanja nisu potrebna </w:t>
            </w:r>
          </w:p>
        </w:tc>
      </w:tr>
      <w:tr w:rsidR="00984859" w:rsidRPr="00984859" w:rsidTr="00984859">
        <w:trPr>
          <w:tblCellSpacing w:w="0" w:type="dxa"/>
        </w:trPr>
        <w:tc>
          <w:tcPr>
            <w:tcW w:w="0" w:type="auto"/>
            <w:gridSpan w:val="5"/>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w:t>
            </w:r>
            <w:r w:rsidRPr="00984859">
              <w:rPr>
                <w:rFonts w:ascii="Arial" w:eastAsia="Times New Roman" w:hAnsi="Arial" w:cs="Arial"/>
                <w:b/>
                <w:bCs/>
                <w:sz w:val="15"/>
                <w:szCs w:val="15"/>
                <w:vertAlign w:val="superscript"/>
                <w:lang w:eastAsia="sr-Latn-RS"/>
              </w:rPr>
              <w:br/>
              <w:t>(1)</w:t>
            </w:r>
            <w:r w:rsidRPr="00984859">
              <w:rPr>
                <w:rFonts w:ascii="Arial" w:eastAsia="Times New Roman" w:hAnsi="Arial" w:cs="Arial"/>
                <w:lang w:eastAsia="sr-Latn-RS"/>
              </w:rPr>
              <w:t xml:space="preserve"> može se razmotriti pre koraka 2 i 3.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B.5. AKUTNA TOKSIČNOST: </w:t>
      </w:r>
      <w:r w:rsidRPr="00984859">
        <w:rPr>
          <w:rFonts w:ascii="Arial" w:eastAsia="Times New Roman" w:hAnsi="Arial" w:cs="Arial"/>
          <w:b/>
          <w:bCs/>
          <w:lang w:eastAsia="sr-Latn-RS"/>
        </w:rPr>
        <w:br/>
        <w:t xml:space="preserve">IRITACIJA/TEŠKO OŠTEĆENJE OKA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405 (2002).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pripremi ažurirane verzije ove metode ispitivanja posebna pažnja posvećena je mogućim poboljšanjima u odnosu na dobrobit životinja, kao i na procenu svih postojećih podataka o ispitivanoj supstanci, sa ciljem da se izbegnu nepotrebna ispitivanja na životinjama. Metoda ispitivanja zasniva se na preporuci da se pre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akutnog iritativnog/korozivnog oštećenje oka obavi analiza kvaliteta postojećih podataka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Kada nema dovoljno podataka, moguće je dobiti ih primenom ispitivanja korak po korak</w:t>
      </w:r>
      <w:r w:rsidRPr="00984859">
        <w:rPr>
          <w:rFonts w:ascii="Arial" w:eastAsia="Times New Roman" w:hAnsi="Arial" w:cs="Arial"/>
          <w:b/>
          <w:bCs/>
          <w:sz w:val="15"/>
          <w:szCs w:val="15"/>
          <w:vertAlign w:val="superscript"/>
          <w:lang w:eastAsia="sr-Latn-RS"/>
        </w:rPr>
        <w:t>2, 3</w:t>
      </w:r>
      <w:r w:rsidRPr="00984859">
        <w:rPr>
          <w:rFonts w:ascii="Arial" w:eastAsia="Times New Roman" w:hAnsi="Arial" w:cs="Arial"/>
          <w:lang w:eastAsia="sr-Latn-RS"/>
        </w:rPr>
        <w:t xml:space="preserve">. Strategija ispitivanja uključuje i obavljanje validiranih i prihvaćenih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koja su opisana u Delu trećem ove metode. Pre izvođenja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ispitivanja oka preporučuje se korišćenje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ispitivanja iritacije/korozivnog oštećenja kože koja mogu da predvide iritaciju 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interesu naučne zasnovanosti i dobrobiti životinja jeste da se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studije započinju nakon procene svih dostupnih podataka koji su relevantni za procenu potencijala supstance da izazove iritaciju/teško oštećenje oka. Takvi podaci proizlaze iz prethodno dobijenih nalaza kod ljudi odnosno sprovedenih ispitivanja na laboratorijskim životinjama, iz dokaza o iritaciji /korozivnom oštećenju jedne ili više strukturno sličnih supstanci ili smeša takvih supstanci, ali i iz podataka koji ukazuju na jaku kiselost ili baznost ispitivane supstance</w:t>
      </w:r>
      <w:r w:rsidRPr="00984859">
        <w:rPr>
          <w:rFonts w:ascii="Arial" w:eastAsia="Times New Roman" w:hAnsi="Arial" w:cs="Arial"/>
          <w:b/>
          <w:bCs/>
          <w:sz w:val="15"/>
          <w:szCs w:val="15"/>
          <w:vertAlign w:val="superscript"/>
          <w:lang w:eastAsia="sr-Latn-RS"/>
        </w:rPr>
        <w:t xml:space="preserve">4, 5, </w:t>
      </w:r>
      <w:r w:rsidRPr="00984859">
        <w:rPr>
          <w:rFonts w:ascii="Arial" w:eastAsia="Times New Roman" w:hAnsi="Arial" w:cs="Arial"/>
          <w:lang w:eastAsia="sr-Latn-RS"/>
        </w:rPr>
        <w:t xml:space="preserve">ili iz prethodno već validiranih i prihvaćenih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iritacije/korozivnog oštećenja kože</w:t>
      </w:r>
      <w:r w:rsidRPr="00984859">
        <w:rPr>
          <w:rFonts w:ascii="Arial" w:eastAsia="Times New Roman" w:hAnsi="Arial" w:cs="Arial"/>
          <w:b/>
          <w:bCs/>
          <w:sz w:val="15"/>
          <w:szCs w:val="15"/>
          <w:vertAlign w:val="superscript"/>
          <w:lang w:eastAsia="sr-Latn-RS"/>
        </w:rPr>
        <w:t>6, 6a</w:t>
      </w:r>
      <w:r w:rsidRPr="00984859">
        <w:rPr>
          <w:rFonts w:ascii="Arial" w:eastAsia="Times New Roman" w:hAnsi="Arial" w:cs="Arial"/>
          <w:lang w:eastAsia="sr-Latn-RS"/>
        </w:rPr>
        <w:t xml:space="preserve">. Studije mogu da budu sprovedene ranije ili da nastanu kao rezultat analize kvaliteta postojećih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neke supstance analiza može da ukaže na potrebu 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ispitivanjima potencijala supstance za iritaciju/teškog oštećenja oka. U svim takvim slučajevima, pre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efekata na oku, preporučuje se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efekata na koži u skladu sa metodom ispitivanja B.4. koja je data u ovom Delu</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Primena analize kvaliteta postojećih podataka i studije ispitivanja korak po korak smanjuje potrebu 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ispitivanjima iritacije/teškog oštećenja oka za supstance za koje postoje dovoljno podataka iz drugih studija. Ako potencijal supstance da izazove iritaciju/teško oštećenje oka ne može da se odredi korišćenjem metode ispitivanja korak po korak čak ni nakon ispitivanja iritacije/korozivnog oštećenja kože, pristupa se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ispitivanju iritacije/teškog oštećenja 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Delu trećem ove metode opisana je strategija ispitivanja korak po korak koja uključuje i obavljanje validiranih i prihvaćenih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iritacije/korozivnog oštećenja. Strategiju su razvili, kao jedinstveno prihvaćenu i preporučenu, članovi radne grupe OECD</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a ista je prihvaćena i uvrštena u preporučene strategije ispitivanja od strane Globalno harmonizovanog sistema za klasifikaciju i obeležavanje (u daljem tekstu: GHS)</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Ova strategija se preporučuje pre bilo kakvih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Za nove supstance, ispitivanje korak po korak je preporučeni pristup za dobijanje naučno zasnovanih podataka o njihovim iritativnim/korozivnim efektima. Za supstance koje su već obuhvaćene ispitivanjima, ista strategija se primenjuje za upotpunjavanje podataka o iritativnim/korozivnim efektima na oko i kožu. Primenu drugačije strategije ispitivanja ili postupka, ili odluku da se ne primeni ova usvojeno ispitivanje korak po korak, potrebno je objasniti i obrazložiti.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Iritacija oka jeste nastanak promena u oku do kojih dolazi nakon primene ispitivane supstance na spoljašnju površinu oka, koje su potpuno reverzibilne u periodu od 21 dana nakon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Teško oštećenje oka jeste oštećenje tkiva oka ili ozbiljno pogoršanje vida nakon primene ispitivane supstance na spoljašnju površinu oka, koje nije potpuno reverzibilno u periodu od 21 dana nakon primene.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koja se ispituje primenjuje se u jednoj dozi u jedno oko eksperimentalne životinje. Netretirano oko služi kao kontrola. Stepen iritacije/teškog oštećenja oka procenjuje se ocenjivanjem lezija konjuktive, rožnjače i dužice, u prethodno određenim vremenskim intervalima. Da bi se obezbedila kompletna procena efekata opisuju se i druge promene na oku i sistemski štetni efekti. Ispitivanje traje dovoljno dugo da se proceni reverzibilnost ili ireverzivbilnost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Životinje koje u bilo kom delu ispitivanja pokazuju stalne znakove patnje odnosno bola lišavaju se života na human način, a supstanca se procenjuje u skladu sa tim. Kriterijumi za donošenje odluke o lišavanju života na human način životinja koje su na samrti i pokazuju znake izrazite patnje, opisani su u literaturi</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Priprema za </w:t>
      </w:r>
      <w:r w:rsidRPr="00984859">
        <w:rPr>
          <w:rFonts w:ascii="Arial" w:eastAsia="Times New Roman" w:hAnsi="Arial" w:cs="Arial"/>
          <w:b/>
          <w:bCs/>
          <w:i/>
          <w:iCs/>
          <w:lang w:eastAsia="sr-Latn-RS"/>
        </w:rPr>
        <w:t xml:space="preserve">in vivo </w:t>
      </w:r>
      <w:r w:rsidRPr="00984859">
        <w:rPr>
          <w:rFonts w:ascii="Arial" w:eastAsia="Times New Roman" w:hAnsi="Arial" w:cs="Arial"/>
          <w:b/>
          <w:bCs/>
          <w:lang w:eastAsia="sr-Latn-RS"/>
        </w:rPr>
        <w:t xml:space="preserve">ispitivanje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Izbor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korišćenje zdravih mladih jedinki albino kunića. Ukoliko se koristi druga životinjska vrsta, navode se razlozi za to korišćenje.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1.4.1.2.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svake eksperimentalne životinje koja je prethodno odabrana za ispitivanje pregledaju se oba oka 24 sata pre početka ispitivanja. Životinje kod kojih je uočena iritacija oka, nedostatak ili već postojeća povreda rožnjače ne koriste se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Uslovi smeštaja i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smeštaju u odgovarajući smeštaj za pojedinačno i odvojeno držanje. Temperatura smeštajnog prostora u kome se drže kunići održava se na 20° C (± 3° C). Relativna vlažnost vazduha je najmanje 30% i da ne prelazi 70% (osim u slučajevima kada se prostorija sa životinjama čisti). Idealna vlažnost je između 50% i 60%. Osvetljenje je veštačko i to u intervalima od 12 sati svetla i 12 sati mraka. Životinje se hrane uobičajenom hranom za laboratorijske životinje, sa slobodnim pristupom vodi za piće.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Postupak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Primena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primenjuje se u konjuktivalnu kesu jednog oka svake životinje nakon što se lagano povuče donji kapak očne jabučice. Kapci se zatim nežno spoje na otprilike jednu sekundu da bi se sprečio gubitak supstance. Drugo oko, koje nije tretirano supstancom, služi za kontrolu.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Ispiranje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Oči životinja najmanje 24 sata od primene ne smeju da se ispiraju, osim ako se primenjuje čvrsta supstanca (videti odeljak 1.4.2.3.2. ove metode) i u slučaju neposrednog korozivnog ili iritativnog efekta. Nakon 24 sata od primene, ukoliko se proceni da je potrebno, oko može da se ispere.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preporučuje se korišćenje propratne grupe životinja za istraživanje uticaja koji se javljaju nakon ispiranja, osim ukoliko je naučno opravdano. Ako je potrebno koristiti propratnu grupu životinja, uzimaju se dva kunića. Uslovi ispiranja pažljivo se dokumentuju, npr. vreme ispiranja, sastav i temperatura tečnosti za ispiranje; trajanje, intenzitet i brzina primene.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1.4.2.3. Dozni nivoi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1.4.2.3.1. Ispitivanje tečnosti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tečnosti koristi se doza ispitivane supstance u zapremini od 0,1 mL. Za ukapavanje supstance direktno u oko ne smeju se koristiti sprejevi sa pumpicom. Tečni sprej se istiskuje i sakuplja u bočice pre ukapavanja 0,1 mL u oko.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1.4.2.3.2. Ispitivanje čvrstih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ispituje čvrsta supstanca, pasta, supstance u obliku čestica zapremina koja se koristi je 0,1 mL ili je to masa koja nije veća od 100 mg. Ispitivana supstanca se usitnjava u fini prah. Količina čvrste supstance meri se nakon što je pažljivo sabijena i stavljena u posudu za merenje. Ako se kod prvog posmatranja koje je se obavlja jedan sat nakon nanošenja čvrste ispitivane supstance uoči da ona nije odstranjena iz oka životinje pomoću fizioloških mehanizama, oko može se ispere fiziološkim rastvorom ili destilovanom vodom.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1.4.2.3.3. Ispitivanje aerosola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prikupljanje svih sprejeva sa pumpicom i aerosola pre nanošenja (ukapavanja) u oko. Izuzetak su supstance u aerosol bočicama pod pritiskom, koje se zbog isparavanja ne prikupljaju unapred. U tim slučajevima oko se drži otvoreno i ispitivana supstanca se nanosi u jednom potezu direktno u oko u trajanju oko jedne sekunde, sa udaljenosti od 10 cm. Ova udaljenost može da varira, u zavisnosti od pritiska spreja i njegovog sastava. Vodi se računa da pritisak u spreju ne ošteti oko. U nekim slučajevima, postoji potreba za procenom mogućnosti za "mehaničko" oštećenje oka koje su izazvale sile spreja.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 doze ispitivane supstance spreja može se utvrditi simuliranjem ispitivanja na sledeći način: supstanca se naprska po papiru za merenje kroz otvor veličine oka kunića. Povećanje mase papira približno je dozi koja je naprskana u oko. Kod isparljivih supstanci, doza se može utvrditi merenjem bočice pre i posle prskanja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1.4.2.4. Inicijalno ispitivanje </w:t>
      </w:r>
      <w:r w:rsidRPr="00984859">
        <w:rPr>
          <w:rFonts w:ascii="Arial" w:eastAsia="Times New Roman" w:hAnsi="Arial" w:cs="Arial"/>
          <w:i/>
          <w:iCs/>
          <w:lang w:eastAsia="sr-Latn-RS"/>
        </w:rPr>
        <w:br/>
        <w:t xml:space="preserve">(In vivo ispitivanje iritacije/teškog oštećenja oka na jednoj životinji)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ispitivanje na jednoj životinji kao što je opisano u strategiji ispitivanja korak po korak (videti Deo treći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rezultati pokažu da supstanca izaziva teško oštećenje ili jaku iritaciju oka pri korišćenju propisane metode, ne sprovode se dalja ispitivanja na oku.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1.4.2.5. Lokalni anestetici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Lokalni anestetici mogu da se koriste zavisno od slučaja. Ako analize kvaliteta postojećih podataka ukazuju da supstanca može da izazove bol ili inicijalno ispitivanje pokaže prisustvo bolnih reakcija, pre nanošenja ispitivane supstance može da se upotrebi lokalni anestetik. Vrsta, koncentracija i doza lokalnog anestetika bira se pažljivo, da se spreče odstupanja u reakciji na ispitivanu supstancu zbog njegovog korišćenja. Kontrolno oko je takođe pod lokalnom anestezijom.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1.4.2.6. Ispitivanje kojim se potvrđuje </w:t>
      </w:r>
      <w:r w:rsidRPr="00984859">
        <w:rPr>
          <w:rFonts w:ascii="Arial" w:eastAsia="Times New Roman" w:hAnsi="Arial" w:cs="Arial"/>
          <w:i/>
          <w:iCs/>
          <w:lang w:eastAsia="sr-Latn-RS"/>
        </w:rPr>
        <w:br/>
        <w:t xml:space="preserve">(In vivo ispitivanje iritacije oka na dodatnim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u inicijalnom ispitivanju nije uočeno teško oštećenje oka, iritacija ili negativan rezultat, ono se potvrđuje korišćenjem najviše dve dodatne životinje. Ukoliko se u inicijalnom ispitivanju uoči značajna iritacija koja ukazuje da može da se ponovi jak (ireverzibilan) efekat i u ispitivanju kojim se potvrđuje, preporučeno je da se ispitivanje kojim se potvrđuje izvodi postepeno, prvo na jednoj pa na drugoj životinji, pre nego da se ispitivanje izvodi na obe životinje istovremeno. Ako druga životinja pokaže znakove iritacije ili teškog oštećenja oka, ispitivanje se ne nastavlja. Dodatne životinje mogu da budu potrebne kada se utvrđuju znakovi slabe ili srednje teške iritacije.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1.4.2.7. Period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Posmatranje traje dovoljno dugo da bi se u potpunosti utvrdio značaj i reverzibilnost uočenih efekata. Eksperiment se obustavlja uvek kada životinja pokazuje neprekidne znakove bola ili patnje</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Da bi se utvrdila reverzibilnost efekata, životinje se posmatraju 21 dan nakon primene supstance. Ako se pre isteka 21-og dana uoči da su efekti reverzibilni, eksperiment se prekida.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1.4.2.7.1. Klinička posmatranja i ocenjivanje reakcija na oku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Pregled očiju obavlja se nakon 1 sata, 24 sata, 48 sati i 72 sata od primene supstance. Životinje se ne drže u ispitivanju nakon što se dobiju definitivni podaci. Životinje koje pokazuju neprekidne znakove jakog bola ili patnje lišavaju se života na human način bez odlaganja, a supstanca se procenjuje u skladu sa tim. Životinje koje se nakon primene ispitivane supstance lišavaju života na human način mogu imati sledeća oštećenja oka: perforirana rožnjača ili jaka ulceracija rožnjače koja obuhvata stafilom, krv u prednjoj komori oka, četvrti stepen zamućenja rožnjače koji traje 48 sati, nedostatak refleksa na svetlost (ocena 2 reakcije irisa koji traje 72 sat, ulceracija membrane konjuktive, nekroza konjuktive ili membrane sa trepavicama ili deskvamacija. Razlog za lišavanje života na human način jeste što su ove lezije (oštećenja) uglavnom trajne.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kod kojih se lezije oka ne razviju, mogu da se tretiraju tek nakon trećeg dana od primene. Životinje sa slabim do srednje teškim oštećenjima posmatraju se do uočavanja jasne lezije ili tokom 21 dan, nakon čega se ispitivanje prekida. Posmatranja se obavljaju 7 dana, 14 dana i 21 dan da bi se utvrdio obim oštećenja i njihova reverzibilnost ili ireverzibilnost.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Ocenjivanje reakcije na oku (konjuktiva, rožnjača i dužica) se beleži kod svakog ispitivanja (videti Deo drugi ove metode). Navode se sva druga oštećenja oka (panus, prebojenost) i druge promene.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reakcija vrši se uz korišćenje binokularne lupe, ručne slit-lampe, biomikroskopa ili drugog odgovarajućeg pribora. Nakon beleženja rezultata posmatranja nakon 24 sata, oči dodatno mogu da budu pregledane flourescentnom lampom.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Ocenjivanje nalaza na oku po svojoj prirodi je subjektivno. Kako bi se podstaklo da ocenjivanje nalaza oka bude usklađeno među različitim laboratorijama, potrebno je da se osoblje laboratorija adekvatno obuči za ocenjivanje i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PROCENA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Ocena iritacije oka procenjuje se u skladu sa prirodom i težinom lezija i njihovom reverzibilnošću ili ireverzibilnošću. Pojedinačne ocene same za sebe ne ukazuju na iritativna svojstva hemikalije, budući da se procenjuju i ostali efekti. Pojedinačne ocene se imaju u vidu kao preporuka i značajne su samo ukoliko su podržane potpunim opisom i procenom svih uočenih efekata.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PISANJE IZVEŠTAJA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Razlozima za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analiza procene kvaliteta postojećih podataka, uključujući i rezultate strategije ispitivanja korak po korak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relevantnih podataka dobijenih iz prethodnih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podaci dobijeni iz svakog koraka strategije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izvedenih ispitivanja uključujući detalje o postupku i rezultate dobijene za ispitivanu/referentnu supstancu;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izvedene studije iritacije/teškog oštećenja oka, uključujući dobijene rezultate;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analiza kvaliteta podataka za izvođenje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identifikacioni podaci (npr. CAS broj, poreklo, čistoća, poznate nečistoće, broj serije);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fizičko stanje i fizička i hemijska svojstva (npr. pH, isparljivost, rastvorljivost, stabilnost, hemijska reakcija sa vodom);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kod smeša: sastav i relativni procenti sastojaka;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se koristi lokalni anestetik: identifikacija, čistoća, tip, doza, eventualna interakcija sa supstancom.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identifikacija, koncentracija (po potrebi), zapremina koja se koristi;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opravdanost za izbor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vrsta/soj, razlog za korišćenje druge vrste a ne albino kunića;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starost svake životinje na početku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životinja oba pola u ispitivanju i kontrolnim grupama (po potrebi);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telesna masa pojedinačnih životinja na početku i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životinja, uslovi smeštaja,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metode koja je korišćena za ocenjivanje reakcije pri svakom vremenu posmatranja (npr. ručna slit-lampa, biomikroskop, fluorescentno svetlo);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prikaz nalaza iritacije/teškog oštećenja za svaku životinju pri svakom vremenu posmatranja do uklanjanja životinje iz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stepena i prirode uočene iritacije ili teškog oštećenja;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drugih uočenih lezija na oku (npr. vaskularizacija, formiranje panusa, prebojenost, adhezija);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opis svih lokalnih efekata koji nisu na oku i sistematskih štetnih efekata, i histopatološki nalazi ukoliko ih 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studije iritacije oka na laboratorijskim životinjama mogu se ekstrapolirati na ljude, i validni su u ograničenom stepenu. U mnogim slučajevima albino kunić pokazuje veću osetljivost na iritanse ili korozive oka od čoveka.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Precizno se tumače rezultati da bi se isključila iritacija koja je rezultat sekundarne infekcije.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Barratt, M.D., Castell, J.V., Chamberlain, M., Combes, R.D., Dearden, J.C., Fentem, J.H., Gerner, I., Giuliani, A., Gray, T.J.B., Livingston, D.J., Provan, W.M., Rutten, F.A.J.J.L., Verhaar, H.J.M., Zbinden, P. (1995) The Integrated Use of Alternative Approaches for Predicting Toxic Hazard. ECVAM Workshop Report 8. ATLA 23, p. 410-429.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de Silva, O., Cottin, M., Dami, N., Roguet, R., Catroux, P., Toufic, A., Sicard, C., Dossou, K.G., Gerner, I., Schlede, E., Spielmann, H., Gupta, K.C., Hill, R.N., (1997) Evaluation of Eye Irritation Potential: Statistical Analysis and Tier Testing Strategies. Food Chem. Toxicol 35, p. 159-164.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Worth A.P. and Fentem J.H., (1999) A general approach for evaluating stepwise testing strategies ATLA 27, p. 161-177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Young, J.R., How, M.J., Walker, A.P., Worth W.M.H., (1988) Classification as Corrosive or Irritant to Skin of Preparations Containing Acidic or Alkaline Substance Without Testing on Animals. Toxicollogy In vitro, 2, p. 19-26.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Neun, D.J. (1993) Effects of Alkalinity on the Eye Irritation Potential of Solutions Prepared at a Single pH. J. Toxicol. Cut. Ocular Toxicol. 12, p. 227-231.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Fentem, J.H., Archer, G.E.B., Balls, M., Botham, P.A., Curren, R.D., Earl, L.K., Edsaile, D.J., Holzhutter, H.G. and Liebsch, M. (1998) The ECVAM international 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tests for skin corrosivity. 2. Results and evaluation by the Management Team.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12, p. 483-524.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6a. Testing Method B.40 Skin Corrosion.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Testing method B.4. Acute toxicity: dermal irritation/corrosion.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OECD, (1996) OECD Test Guidelines Programme: Final Report of the OECD Workshop on Harmonisation of Validation and Acceptance Criteria for Alternative Toxicological Test Methods. Held in Solna, Sweden, 22-24 January 1996 (http://www.oecd.org/ehs/test/background.htm).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OECD, (1998) Harmonised Integrated Hazard Classification System for Human Health and Environmental Effects of Chemical Substances, as endorsed by the 28th Joint Meeting of the Chemicals Committee and the Working Party on Chemicals, November 1998 (http://www.oecd.org/ehs/Class/HCL6.htm).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10. OECD, (2000) Guidance Document on the Recognition, Assessment and Use of Clinical Signs as Humane Endpoints for Experimental Animals Used in Safety Evaluation. OECD Environmental Health and Safety Publications. Series on Testing and Assessment No 19 (http://www.oecd.org/ehs/test/monos.htm).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OCENJIVANJE OŠTEĆENJA OKA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488"/>
        <w:gridCol w:w="624"/>
      </w:tblGrid>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Rožnjača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Zamućenost: stepen zamućenosti (očitava se nalaz sa mesta najveće gustine)*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Nema ulceracija ni zamućenja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0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Rasute ili difuzne površine zamućenja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(osim neznatnog gubitka normalnog sjaja);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dužica jasno vidljiva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Lako raspoznatljiva providna površina;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dužica blago zamućena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Nekrotična površina; detalji dužice nisu vidljivi;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veličina zenica se jedva raspoznaje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Zamućenje rožnjače; dužica se ne raspoznaje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kroz zamućenje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Mogući maksimum: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Beleži se veličina površine zamućenja rožnjače.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Dužica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Normalna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0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Izrazito duboka bora, kongestija, oticanje,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umerena hiperemija oko rožnjače; ili nadraženost;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dužica reaguje na svetlost (spora reakcija se smatra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efektom)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Krvarenje, obimna destrukcija, izostanak reakcije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svetlost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Mogući maksimum: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Konjuktiva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Crvenilo (odnosi se na palpebralni i bulbarni deo konjuktive; izuzev rožnjače i dužice)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Normalna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0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Hiperemija nekih kapilara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Difuzno crvenilo (tamno crvena)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pojedinačni kapilari nisu jasno vidljivi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Difuzno crvenilo boje mesa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Mogući maksimum: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Hemoza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Oticanje (odnosi se na kapke odnosno treći kapak) </w:t>
            </w:r>
          </w:p>
        </w:tc>
        <w:tc>
          <w:tcPr>
            <w:tcW w:w="7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Normalno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0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Oticanje iznad normale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Jasno oticanje, sa parcijalnim uvrtanjem kapaka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Oticanje, sa kapcima zatvorenim na pola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Oticanje, sa kapcima zatvorenim više od pola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 </w:t>
            </w:r>
          </w:p>
        </w:tc>
      </w:tr>
      <w:tr w:rsidR="00984859" w:rsidRPr="00984859" w:rsidTr="00984859">
        <w:trPr>
          <w:tblCellSpacing w:w="0" w:type="dxa"/>
        </w:trPr>
        <w:tc>
          <w:tcPr>
            <w:tcW w:w="101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Mogući maksimum: </w:t>
            </w:r>
          </w:p>
        </w:tc>
        <w:tc>
          <w:tcPr>
            <w:tcW w:w="73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STRATEGIJA ISPITIVANJA IRITACIJE I TEŠKOG OŠTEĆENJA OKA KORAK PO KORAK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OPŠTA RAZMATRANJA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interesu naučne zasnovanosti i zbog dobrobiti životinja, važno je izbegavati nepotrebno korišćenje životinja ili ispitivanja koja će kod životinja verovatno izazvati jak odgovor. Pre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iritatacije/teškog oštećenja oka, potrebno je proceniti sve postojeće podatke koji se odnose na potencijal ispitivane supstance da izazove iritaciju/teško oštećenje oka. Ako postoji dovoljno podataka i dokaza za klasifikaciju određene supstance u odnosu na potencijal da izazove iritaciju/teško oštećenje oka, može da se izbegne ispitivanje na laboratorijskim životinjama. Na osnovu analize kvaliteta podataka i strategije ispitivanja korak po korak smanjiće se potreba 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ispitivanjima, naročito ako se sumnja na mogućnost da će ispitivana supstanca izazvati intenzivne reakcije.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 kvaliteta postojećih podatka koristi se za procenu postojećih podataka o iritaciji/teškom oštećenju oka koje izaziva ispitivana supstanca kako bi se utvrdilo da li je osim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ispitivanja na koži neophodno obaviti i dodatna ispitivanja koja doprinose da se bolje opiše ovaj potencijal ispitivane supstance. Kada se pokaže potreba za dodatnim ispitivanjima, za prikupljanje novih relevantnih eksperimentalnih podatka preporučuje se primena strategije ispitivanja korak po korak. Za supstance koje prethodno nisu ispitivane, takođe je potrebno primeniti strategiju ispitivanja korak po korak za određivanje njenih efekata na oku. Strategiju ispitivanja opisanu u ovom delu razvili su članovi radne grupe OECD</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a ista je kasnije potvrđena i proširena u sklopu Globalno harmonizovanog sistema za klasifikaciju hemijskih supstanci u odnosu na efekte po zdravlje ljudi i na životnu sredinu, na 28-om zajedničkom Simpozijumu hemijske komisije i radne grupe za hemiju, u novembru 1998. godine</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ova strategija ispitivanja korak po korak nije sastavni deo metode ispitivanja B.5. koja je data u ovom prilogu, ona odražava preporučeni pristup za određivanje svojstava supstanci na osnovu iritativnih/korozivnih efekata na oku. Sa aspekta etike i prakse metoda ispitivanja predstavlja najbolji pristup 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iritacije/teškog oštećenja na oku. Metoda ispitivanja služi i kao uputstvo za izvođenje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ispitivanja i zbraja faktore koje je potrebno sagledati pre početka ispitivanja na životinjama. Strategija takođe daje preporuku za procenu postojećih podataka o ispitivanoj supstanci kao i način na koji je potrebno prikupiti nove podatke za supstance za koje su potrebna dodatna ispitivanja ili za supstance za koje nisu prethodno sprovedena nikakva ispitivanja. Strategija kao prvo uključuje izvođenje validiranog i prihvaćenog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a zatim metodu ispitivanja B.4. koja je data u ovom prilogu iritativnih/korozivnih efekata na koži pod specifičnim uslovima</w:t>
      </w:r>
      <w:r w:rsidRPr="00984859">
        <w:rPr>
          <w:rFonts w:ascii="Arial" w:eastAsia="Times New Roman" w:hAnsi="Arial" w:cs="Arial"/>
          <w:b/>
          <w:bCs/>
          <w:sz w:val="15"/>
          <w:szCs w:val="15"/>
          <w:vertAlign w:val="superscript"/>
          <w:lang w:eastAsia="sr-Latn-RS"/>
        </w:rPr>
        <w:t>3, 4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OPIS STRATEGIJE ISPITIVANJA KORAK PO KORAK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početka ispitivanja u sklopu metode ispitivanja korak po korak (videti Sliku), potrebno je proceniti postojeće podatke kako bi se odredila potreba za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ispitivanjima na oku. Iako je značajne podatke moguće dobiti procenom jednog parametara (npr. visoki pH), za donošenje konačne odluke o ispitivanjima razmatraju se i svi drugi dostupni podaci, kao što su štetni efekti ispitivane supstance ili njenih analoga. Na kraju je potrebno izneti i objašnjenje za donetu odluku. Akcenat je na postojećim podacima o ispitivanoj supstanci dobijenim iz podataka na osnovu nalaza kod ljudi i ispitivanja na životinjama, i na ishodu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ex vivo ispitivanja.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studije korozivnih supstanci za koje se unapred zna da su štetne i izbegavaju se gde god je to moguće. Faktori koji se uzimaju u obzir u strategiji ispitivanja uključuju: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Procenu postojećih podataka dobijenih na osnovu nalaza kod ljudi i na ispitivanja kod životinja. (korak 1). Prvo se razmatraju postojeći podaci na osnovu nalaza kod ljudi, npr. kliničke studije, studije nakon profesionalne izloženosti, prikazi slučaja, odnosno podaci iz studija na oku životinja, budući da se dobijaju podaci koji su direktno vezani za efekte na oko. Procenjuju se dostupni podaci iz studija u kojima su vršena istraživanja iritacije/korozivnog oštećenja na osnovu nalaza kod ljudi odnosno ispitivanja kod životinja. Supstance za koje je poznato da izazivaju jaku iritaciju/ korozivno oštećenje oka ne smeju se unositi u oko životinja, kao ni supstance sa istim efektom na koži, jer je to siguran pokazatelj da su iritativni/korozivni i za oko. Supstance za koje ima dovoljno dokaza da ne izazivaju iritaciju/teško oštećenje oka u prethodno izvedenim ispitivanjima, ne ispituju se u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studijama 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Analizu odnosa strukture i aktivnosti (u daljem tekstu: SAR) (korak 2). Razmatraju se rezultati ispitivanja strukturno sličnih supstanci, ako su dostupni. Kada dovoljno dostupnih podataka o strukturno sličnim supstancama/smešama tih supstanci ukazuju na njihov potencijal za iritaciju/korozivni efekat na oku, može se pretpostaviti da će ispitivana supstanaca dati slične nalaze. U takvim slučajevima supstancu nije potrebno dodatno ispitivati. Negativni rezultati, odnosno podaci koji ukazuju na izostanak ovakvih efekata iz studije na strukturno sličnim supstancama ili smešama takvih supstanci, ne predstavljaju dovoljno čvrst dokaz o neškodljivosti supstance koja je u postupku ispitivanja. Validirani i prihvaćeni SAR pristup koristi se za identifikaciju potencijala za iritativni i korozivni efekat ispitivane supstance na oku i koži.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Fizička i hemijska svojstva i hemijsku reaktivnost (korak 3). Supstance koje imaju ekstremne pH vrednosti kao ≤ 2,0 ili ≥ 11,5 mogu imati izražene lokalne efekte. Ako je ekstremni pH osnova za ocenjivanje potencijala supstance da izazove teško oštećenje oka, razmatra se i njena kiselo-bazna rezerva (ili puferski kapacitet)</w:t>
      </w:r>
      <w:r w:rsidRPr="00984859">
        <w:rPr>
          <w:rFonts w:ascii="Arial" w:eastAsia="Times New Roman" w:hAnsi="Arial" w:cs="Arial"/>
          <w:b/>
          <w:bCs/>
          <w:sz w:val="15"/>
          <w:szCs w:val="15"/>
          <w:vertAlign w:val="superscript"/>
          <w:lang w:eastAsia="sr-Latn-RS"/>
        </w:rPr>
        <w:t>5, 6</w:t>
      </w:r>
      <w:r w:rsidRPr="00984859">
        <w:rPr>
          <w:rFonts w:ascii="Arial" w:eastAsia="Times New Roman" w:hAnsi="Arial" w:cs="Arial"/>
          <w:lang w:eastAsia="sr-Latn-RS"/>
        </w:rPr>
        <w:t xml:space="preserve">. Ako puferski kapacitet ukazuje na to da supstanca ne izaziva teško oštećenje oka, neophodno je obaviti dodatna ispitivanja kako bi se potvrdila ova pretpostavka, i to ako je moguće primenom validiranih i prihvaćenih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(videti korake 5 i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Razmatranje ostalih postojećih podataka (korak 4). U ovom koraku procenjuju se svi dostupni podaci o sistemskoj toksičnosti kod dermalnog puta primene. Akutna dermalna toksičnost ispitivane supstance takođe se razmatra. Ako se pokaže da je ispitivana supstanca veoma toksična ako se primeni na kožu, ne postoji potreba za ispitivanjem na oku, jer ako je veoma toksična nakon dermalnog puta primene, može se pretpostaviti da će izazvati jaku reakciju ako se nanese u oko. Taj podatak takođe može da bude razmotren u koraku 2 i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(korak 5 i 6). Ispitivanje na životinjama nije potrebno vršiti za supstance koje su pokazale korozivno ili jako iritativno svojstvo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ispitivanjima</w:t>
      </w:r>
      <w:r w:rsidRPr="00984859">
        <w:rPr>
          <w:rFonts w:ascii="Arial" w:eastAsia="Times New Roman" w:hAnsi="Arial" w:cs="Arial"/>
          <w:b/>
          <w:bCs/>
          <w:sz w:val="15"/>
          <w:szCs w:val="15"/>
          <w:vertAlign w:val="superscript"/>
          <w:lang w:eastAsia="sr-Latn-RS"/>
        </w:rPr>
        <w:t xml:space="preserve">7, 8 </w:t>
      </w:r>
      <w:r w:rsidRPr="00984859">
        <w:rPr>
          <w:rFonts w:ascii="Arial" w:eastAsia="Times New Roman" w:hAnsi="Arial" w:cs="Arial"/>
          <w:lang w:eastAsia="sr-Latn-RS"/>
        </w:rPr>
        <w:t xml:space="preserve">koja su validirana i prihvaćena upravo za procenu iritacije/teškog oštećenja oka ili kože. Može se pretpostaviti da takve supstance pokazuju slične efekte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Ako ne postoje validirana i prihvaćena </w:t>
      </w:r>
      <w:r w:rsidRPr="00984859">
        <w:rPr>
          <w:rFonts w:ascii="Arial" w:eastAsia="Times New Roman" w:hAnsi="Arial" w:cs="Arial"/>
          <w:i/>
          <w:iCs/>
          <w:lang w:eastAsia="sr-Latn-RS"/>
        </w:rPr>
        <w:t>in vitro/ex vivo</w:t>
      </w:r>
      <w:r w:rsidRPr="00984859">
        <w:rPr>
          <w:rFonts w:ascii="Arial" w:eastAsia="Times New Roman" w:hAnsi="Arial" w:cs="Arial"/>
          <w:lang w:eastAsia="sr-Latn-RS"/>
        </w:rPr>
        <w:t xml:space="preserve"> ispitivanja, korak 5 i 6 se preskaču i direktno se pristupa koraku 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procenu iritacije ili korozivnog oštećenja kože (korak 7). Kada nema dovoljno dokaza za izvođenje zaključne analize kvaliteta podataka o potencijalu supstance da izazove iritaciju/teško oštećenje oka na osnovu pomenutih studija, prvo se procenjuje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potencijal iritacije/korozivnog oštećenja kože korišćenjem metode ispitivanja B.4. koja je data u ovom Prilogu</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i Delu trećem datom uz tu metodu ispitivanja</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Ako se pokaže da supstanca izaziva korozivno oštećenje ili tešku iritaciju kože, a ne postoje drugi podaci koji dokazuju suprotno, pretpostavlja se da je supstanca korozivna/iritativna i za oko. U tom slučaju nema </w:t>
      </w:r>
      <w:r w:rsidRPr="00984859">
        <w:rPr>
          <w:rFonts w:ascii="Arial" w:eastAsia="Times New Roman" w:hAnsi="Arial" w:cs="Arial"/>
          <w:lang w:eastAsia="sr-Latn-RS"/>
        </w:rPr>
        <w:lastRenderedPageBreak/>
        <w:t xml:space="preserve">potrebe za izvođenjem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ispitivanja na oku. Ako supstanca nije korozivna/iritativna za kožu, izvodi se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na oku.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ispitivanje na kunićima (korak 8 i 9).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na oku započinje inicijalnim ispitivanjem korišćenjem jedne životinje. Nije potrebno izvoditi dalje ispitivanje ako rezultati ispitivanja ukažu da je supstanca jak iritans ili koroziv za oko. Ako ispitivanje ne pokaže nikakve značajne reakcije, potrebno je, sa dve dodatne životinje, izvesti ispitivanje kojim se potvrđuje (confoirmatory test).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(1996) Test Guidelines Programme: Final Report on the OECD Workshop on Harmonisation of Validation and Acceptance Criteria for Alternative Toxicological Test Methods. Held on Solna, Sweden, 22-24 January 1996 (http://www1.oecd.org/ehs/test/background.htm).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OECD, (1998) Harmonised Integrated Hazard Classification System for Human Health and Environmental Effects of Chemical Substances, as endorsed by the 28th Joint Meeting of the Chemicals Committee and the Working Party on Chemicals, November 1998 (http://www1.oecd.org/ehs/Class/HCL6.htm).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Worth, A.P., Fentem J.H., Balls M., Botham P.A., Curren R.D., Earl L.K., Esdaile D.J., Liebsch M., (1998). An Evaluation of the Proposed OECD Testing Strategy for Skin Corrosion. ATLA 26, p. 709-720.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Young, J.R., How, M.J., Walker, A.P., Worth, W.M.H., (1988). Classification as Corrosive or Irritant to Skin of Preparations Containing Acidic or Alkaline Substances, Without Testing on Animals. Toxicology In vitro, 2(1), p. 19-26.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Patil, S.M., Patrick, E., Maibach, H.I. (1996) Animal, Human, and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 Methods for Predicting Skin Irritation, in: Francis N. Marzulli and Howard I. Maibach (editors): Dermatotoxicology. Fifth Edition ISBN 1-56032-356-6, Chapter 31, p. 411-436.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Testing Method B.40.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Fentem, J.H., Archer, G.E.B., Balls, M., Botham, P.A., Curren, R.D., Earl, L.K., Esdaile, D.J., Holzhutter, H.G. and Liebsch, M. (1998) The ECVAM international 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tests for skin corrosivity. 2. Results and evaluation by the Management Team.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12, p. 483-524.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četvrti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ISPITIVANJE I STRATEGIJA PROCENE ZA IRITACIJU/TEŠKO OŠTEĆENJE OKA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76"/>
        <w:gridCol w:w="2927"/>
        <w:gridCol w:w="182"/>
        <w:gridCol w:w="3034"/>
        <w:gridCol w:w="2693"/>
      </w:tblGrid>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Aktivnost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Nalaz </w:t>
            </w:r>
          </w:p>
        </w:tc>
        <w:tc>
          <w:tcPr>
            <w:tcW w:w="414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Zaključak </w:t>
            </w:r>
          </w:p>
        </w:tc>
      </w:tr>
      <w:tr w:rsidR="00984859" w:rsidRPr="00984859" w:rsidTr="00984859">
        <w:trPr>
          <w:tblCellSpacing w:w="0" w:type="dxa"/>
        </w:trPr>
        <w:tc>
          <w:tcPr>
            <w:tcW w:w="480" w:type="dxa"/>
            <w:vMerge w:val="restart"/>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1 </w:t>
            </w:r>
          </w:p>
        </w:tc>
        <w:tc>
          <w:tcPr>
            <w:tcW w:w="4755" w:type="dxa"/>
            <w:vMerge w:val="restart"/>
            <w:tcBorders>
              <w:top w:val="single" w:sz="6" w:space="0" w:color="000000"/>
              <w:left w:val="single" w:sz="6" w:space="0" w:color="000000"/>
              <w:bottom w:val="single" w:sz="2" w:space="0" w:color="000000"/>
              <w:right w:val="single"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Postojeći podaci dobijeni na osnovu ispitivanja kod ljudi/životinja koji pokazuju efekte na očima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Teško oštećenje oka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je korozivna za oko</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single" w:sz="6" w:space="0" w:color="000000"/>
              <w:left w:val="single" w:sz="6" w:space="0" w:color="000000"/>
              <w:bottom w:val="single" w:sz="2" w:space="0" w:color="000000"/>
              <w:right w:val="single"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Iritacija oka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je iritativna za oko.</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single" w:sz="6" w:space="0" w:color="000000"/>
              <w:left w:val="single" w:sz="6" w:space="0" w:color="000000"/>
              <w:bottom w:val="single" w:sz="2" w:space="0" w:color="000000"/>
              <w:right w:val="single"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Nema teškog oštećenja/iritacije oka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nije iritativna/korozivna za oko. 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4755" w:type="dxa"/>
            <w:tcBorders>
              <w:top w:val="single" w:sz="2" w:space="0" w:color="000000"/>
              <w:left w:val="single" w:sz="6" w:space="0" w:color="000000"/>
              <w:bottom w:val="single" w:sz="2" w:space="0" w:color="000000"/>
              <w:right w:val="single"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Postojeći podaci dobijeni na osnovu ispitivanja kod ljudi/životinja koji pokazuju korozivne efekte na koži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Korozivno oštećenje kože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Pretpostavlja se da je korozivna za oko.</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4755" w:type="dxa"/>
            <w:tcBorders>
              <w:top w:val="single" w:sz="2" w:space="0" w:color="000000"/>
              <w:left w:val="single" w:sz="6" w:space="0" w:color="000000"/>
              <w:bottom w:val="single" w:sz="6" w:space="0" w:color="000000"/>
              <w:right w:val="single"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Postojeći podaci dobijeni na osnovu ispitivanja kod ljudi/životinja koji pokazuju jake iritativne efekte na koži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Jaka iritacija kože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da je iritativna za oko. Dalja ispitivanja nisu potrebna. </w:t>
            </w: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Nema dostupnih podataka, ili su dostupni podaci neadekvatni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vMerge w:val="restart"/>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2 </w:t>
            </w:r>
          </w:p>
        </w:tc>
        <w:tc>
          <w:tcPr>
            <w:tcW w:w="4755" w:type="dxa"/>
            <w:vMerge w:val="restart"/>
            <w:tcBorders>
              <w:top w:val="single" w:sz="6" w:space="0" w:color="000000"/>
              <w:left w:val="single" w:sz="6" w:space="0" w:color="000000"/>
              <w:bottom w:val="single" w:sz="2" w:space="0" w:color="000000"/>
              <w:right w:val="single"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Izvršiti SAR procenu za iritaciju/teško oštećenje oka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Predviđa se teško oštećenje oka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da je supstanca korozivna za oko. 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single" w:sz="6" w:space="0" w:color="000000"/>
              <w:left w:val="single" w:sz="6" w:space="0" w:color="000000"/>
              <w:bottom w:val="single" w:sz="2" w:space="0" w:color="000000"/>
              <w:right w:val="single"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Predviđa se iritacija oka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da je supstanca iritativna za oko. 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4755" w:type="dxa"/>
            <w:tcBorders>
              <w:top w:val="single" w:sz="2" w:space="0" w:color="000000"/>
              <w:left w:val="single" w:sz="6" w:space="0" w:color="000000"/>
              <w:bottom w:val="single" w:sz="6" w:space="0" w:color="000000"/>
              <w:right w:val="single"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Izvršiti SAR procenu za korozivno oštećenje kože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Predviđa se korozivno oštećenje kože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da je supstanca korozivna za oko. Dalja ispitivanja nisu potrebna </w:t>
            </w: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Nije moguće predvideti, ili su predviđanja negativna i nejasna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3 </w:t>
            </w:r>
          </w:p>
        </w:tc>
        <w:tc>
          <w:tcPr>
            <w:tcW w:w="4755" w:type="dxa"/>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Odrediti pH (po potrebi, razmotriti puferski)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pH </w:t>
            </w:r>
            <w:r w:rsidRPr="00984859">
              <w:rPr>
                <w:rFonts w:ascii="Symbol" w:eastAsia="Times New Roman" w:hAnsi="Symbol" w:cs="Arial"/>
                <w:lang w:eastAsia="sr-Latn-RS"/>
              </w:rPr>
              <w:t></w:t>
            </w:r>
            <w:r w:rsidRPr="00984859">
              <w:rPr>
                <w:rFonts w:ascii="Arial" w:eastAsia="Times New Roman" w:hAnsi="Arial" w:cs="Arial"/>
                <w:lang w:eastAsia="sr-Latn-RS"/>
              </w:rPr>
              <w:t xml:space="preserve"> 2 ili </w:t>
            </w:r>
            <w:r w:rsidRPr="00984859">
              <w:rPr>
                <w:rFonts w:ascii="Symbol" w:eastAsia="Times New Roman" w:hAnsi="Symbol" w:cs="Arial"/>
                <w:lang w:eastAsia="sr-Latn-RS"/>
              </w:rPr>
              <w:t></w:t>
            </w:r>
            <w:r w:rsidRPr="00984859">
              <w:rPr>
                <w:rFonts w:ascii="Arial" w:eastAsia="Times New Roman" w:hAnsi="Arial" w:cs="Arial"/>
                <w:lang w:eastAsia="sr-Latn-RS"/>
              </w:rPr>
              <w:t xml:space="preserve"> 11,5 (sa visokim puferskim kapacitetom, po potrebi)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da je supstanca korozivna za oko. Dalja ispitivanja nisu potrebna </w:t>
            </w: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2 </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 pH </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 11,5 pH </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 2.0 ili </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 11.5 sa malim / bez puferskog kapaciteta, po potrebi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4 </w:t>
            </w:r>
          </w:p>
        </w:tc>
        <w:tc>
          <w:tcPr>
            <w:tcW w:w="4755" w:type="dxa"/>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Procenti podataka koje se odnose na sistemsku toksičnost putem primene na kožu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Veoma toksično pri konsentracijama u kojima se ispituje na oku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bi bila previše toksična za ispitivanje. Dalja ispitivanja nisu potrebna </w:t>
            </w: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Takvi podaci nisu dostupni ili supstanca nije veoma </w:t>
            </w:r>
            <w:r w:rsidRPr="00984859">
              <w:rPr>
                <w:rFonts w:ascii="Arial" w:eastAsia="Times New Roman" w:hAnsi="Arial" w:cs="Arial"/>
                <w:i/>
                <w:iCs/>
                <w:lang w:eastAsia="sr-Latn-RS"/>
              </w:rPr>
              <w:lastRenderedPageBreak/>
              <w:t xml:space="preserve">toksična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5 </w:t>
            </w:r>
          </w:p>
        </w:tc>
        <w:tc>
          <w:tcPr>
            <w:tcW w:w="4755" w:type="dxa"/>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Izvršiti validirana i prihvaćena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teškog oštećenja oka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Korozivna reakcija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da je supstanca korozivna za oko. Dalja ispitivanja nisu potrebna. </w:t>
            </w: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Validirane in vitro ili ex vivo metode ispitivanja teškog oštećenja oka još nisu razvijene ili supstanca nema korozivni efekat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6 </w:t>
            </w:r>
          </w:p>
        </w:tc>
        <w:tc>
          <w:tcPr>
            <w:tcW w:w="4755" w:type="dxa"/>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Izvršiti validirana i prihvaćena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ispitivanja iritacije oka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Iritativna reakcija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da je supstanca korozivna za oko. Dalja ispitivanja nisu potrebna. </w:t>
            </w: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Validirane in vitro ili ex vivo metode ispitivanja iritacije oka još nisu razvijene ili supstanca nema iritativni efekat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7 </w:t>
            </w:r>
          </w:p>
        </w:tc>
        <w:tc>
          <w:tcPr>
            <w:tcW w:w="4755" w:type="dxa"/>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Eksperimentalno proceni potencijal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iritacije/korozivnog oštećenja kože vidi metodu ispitivanja B.4 uključujući Deo treći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Korozivna ili jaka iritativna reakcija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Pretpostavlja se da je supstanca korozivna za oko. Dalja ispitivanja nisu potrebna. </w:t>
            </w: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Supstanca ne dovodi do korozivnog oštećenja ili jake iritacije kože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8 </w:t>
            </w:r>
          </w:p>
        </w:tc>
        <w:tc>
          <w:tcPr>
            <w:tcW w:w="4755" w:type="dxa"/>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Izvršiti inicijalno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oka na jednom kuniću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Teško oštećenje oka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je korozivna za oko.</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Nema teških oštećenja ili nema reakcije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7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4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80" w:type="dxa"/>
            <w:vMerge w:val="restart"/>
            <w:hideMark/>
          </w:tcPr>
          <w:p w:rsidR="00984859" w:rsidRPr="00984859" w:rsidRDefault="00984859" w:rsidP="00984859">
            <w:pPr>
              <w:spacing w:before="100" w:beforeAutospacing="1" w:after="100" w:afterAutospacing="1" w:line="240" w:lineRule="auto"/>
              <w:rPr>
                <w:rFonts w:ascii="Arial" w:eastAsia="Times New Roman" w:hAnsi="Arial" w:cs="Arial"/>
                <w:b/>
                <w:bCs/>
                <w:lang w:eastAsia="sr-Latn-RS"/>
              </w:rPr>
            </w:pPr>
            <w:r w:rsidRPr="00984859">
              <w:rPr>
                <w:rFonts w:ascii="Arial" w:eastAsia="Times New Roman" w:hAnsi="Arial" w:cs="Arial"/>
                <w:b/>
                <w:bCs/>
                <w:lang w:eastAsia="sr-Latn-RS"/>
              </w:rPr>
              <w:t xml:space="preserve">9 </w:t>
            </w:r>
          </w:p>
        </w:tc>
        <w:tc>
          <w:tcPr>
            <w:tcW w:w="4755" w:type="dxa"/>
            <w:vMerge w:val="restart"/>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Obaviti na jednoj ili dve dodatne životinje ispitivanje kojim se potvrđuje </w:t>
            </w: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Korozivno ili iritativno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je korozivna ili iritativna za oko.</w:t>
            </w:r>
            <w:r w:rsidRPr="00984859">
              <w:rPr>
                <w:rFonts w:ascii="Arial" w:eastAsia="Times New Roman" w:hAnsi="Arial" w:cs="Arial"/>
                <w:lang w:eastAsia="sr-Latn-RS"/>
              </w:rPr>
              <w:br/>
              <w:t xml:space="preserve">Dalja ispitivanja nisu potrebna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b/>
                <w:bCs/>
                <w:lang w:eastAsia="sr-Latn-R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31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Nije korozivno ili iritativno </w:t>
            </w:r>
          </w:p>
        </w:tc>
        <w:tc>
          <w:tcPr>
            <w:tcW w:w="414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Supstanca nije korozivna ili iritativna za oko.</w:t>
            </w:r>
            <w:r w:rsidRPr="00984859">
              <w:rPr>
                <w:rFonts w:ascii="Arial" w:eastAsia="Times New Roman" w:hAnsi="Arial" w:cs="Arial"/>
                <w:lang w:eastAsia="sr-Latn-RS"/>
              </w:rPr>
              <w:br/>
              <w:t xml:space="preserve">Dalja ispitivanja nisu potrebna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B.6. SENZIBILIZACIJA KOŽE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Napomene: Osetljivost i mogućnost ispitivanja kojim se određuje potencijal supstanci koje izazivaju senzibilizaciju kože kod ljudi, smatraju se važnim u sistemu klasifikacije na osnovu toksičnosti i važni su za javno zdravlje.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postoji metoda ispitivanja koja na odgovarajući način identifikuje sve supstance koje izazivaju preosetljivost kože ljudi i koja je relevantna za sve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Činioci kao što su fizička svojstva supstance, uključujući njihovu sposobnost prodiranja u kožu, uzimaju se u obzir pri izboru odgovarajuće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Razvijene su dve vrste metoda ispitivanja u kojima se koriste zamorci: metode ispitivanja sa adjuvansom u kojima se alergijska reakcija izaziva rastvaranjem ili suspendovanjem ispitivane supstance "Frojndovom kompletnom adjuvansu" (u daljem tekstu: FCA), i metode ispitivanja bez adjuvansa.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Metode ispitivanja sa adjuvansom su verovatno tačnije u predviđanju da supstanca kod ljudi izaziva senzibilizaciju kože, za razliku od metoda ispitivanja koje ne koriste FCA. Zbog ovoga se preporučuju metode ispitivanja sa adjuvansom.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Test maksimizacije na zamorcima (The Guinea-Pig Maximisation Test, u daljem tekstu: GMPT) je opšte prihvaćen test sa adjuvansom. Za otkrivanje potencijala izazivanja preosetljivosti neke supstance može se koristiti nekoliko različitih metoda ispitivanja, ali se preporučuje GMPT metoda ispitivanja sa adjuvansom.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većine klasa hemikalija, eksperimentalne metode ispitivanja bez adjuvansa (prednost se daje Buehler testu) smatraju se manje osetljivim.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određenim slučajevima postoji opravdan razlog za primenu Buehler testa u kome se ispitivana supstanca primenjuje topikalno, a ne u obliku intradermalne injekcije, kao što je slučaj u GMPT. Za korišćenje Buehler testa, potrebno je dati i naučno zasnovano obrazloženje.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GMPT i Buehler test dati su u ovoj metodi ispitivanja. Ostale metode ispitivanja koriste se ako su prethodno potvrđene i ako je njihovo korišćenje naučno opravdano.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u skrining testu dobije pozitivan rezultat, ispitivana supstanca se označava kao potencijalni uzročnik senzibilizacije. U tom slučaju ne nastavljaju se dalja ispitivanja na zamorcima. Ako se u skrining testu dobije negativan rezultat, ispitivanje na zamorcima se sprovodi koristeći postupke date u ovoj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Senzibilizacija kože (Alergijski kontaktni dermatitis) jeste imunološki posredovana, kožna reakcija na određenu supstancu. Kod ljudi odgovor može biti okarakterisan svrabom, crvenilom, otokom, papulama (bubuljicama), vezikulama (mehurićima), bulama (plikovima) ili njihovom kombinacijom. Kod drugih vrsta reakcije se mogu razlikovati, i mogu se javiti samo eritem ili edem.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Indukcija jeste eksperimentalno izlaganje jedinke ispitivanoj supstanci sa namerom izazivanja reakcije preosetljivosti.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indukcije jeste vremenski period u trajanju od najmanje nedelju dana nakon indukcije tokom kojeg dolazi do razvoja reakcije preosetljivosti.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Provokacije jesu ponovljeno izlaganje ispitivanoj supstanci prethodno tretirane životinje nakon faze indukcije kako bi se odredilo da li jedinka razvija preosetljivost.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Osetljivost i pouzdanost eksperimentalne metode ispitivanja koja se koristi proverava se svakih šest meseci primenom supstanci za koje je poznato da imaju svojstvo blage do srednje senzibilizacije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dobro obavljenom ispitivanju, pozitivan odgovor od najmanje 30% kod metode ispitivanja sa adjuvansom ili 15% kod metode ispitivanja bez adjuvansa očekuje se za supstance koje izazivaju slabu do umerenu senzibilizaciju.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Preporučuju se sledeće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69"/>
        <w:gridCol w:w="1807"/>
        <w:gridCol w:w="2928"/>
        <w:gridCol w:w="2928"/>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nazivi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Uobičajeni nazivi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101 -86 -0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202 -983-3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α-heksilcinamaldehid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α-heksilcinamaldehid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149 -30 -4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205 -736-8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benzotiazol-2-tiol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kaptaks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94-09-7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202 -303-5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benzokain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norkain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Postoje okolnosti u kojima se mogu koristiti druge kontrolne supstance koje zadovoljavaju navedene kriterijume, ako se navede adekvatno opravdanje za njihovu upotrebu.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životinje početno se izlažu ispitivanoj supstanci putem intradermalnih injekcija odnosno epidermalnom primenom (indukcija). Nakon perioda pauze u trajanju od 10 do 14 dana (nakon faze indukcije), tokom koga može doći do razvoja imunološkog odgovora, životinje se izlažu drugoj, ponovljenoj dozi. Stepen prouzrokovane reakcije na koži nakon provokacije kod eksperimentalnih životinja poredi se sa onom reakcijom kod životinja iz kontrolne grupe koje su bile podvrgnute lažnom tretmanu indukcije, i koje su bile podvrgnute provokaciji.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OPIS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potrebno uklanjanje ispitivane supstance, ona se uklanja pomoću vode ili odgovarajućeg rastvarača tako da se ne utiče na nalaz na koži ili da se ne naruši integritet epidermisa.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1.5.1. Test maksimizacije na zamorcima (GMPT)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1.5.1.1.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Zdravi, mladi albino zamorci drže se radi privikavanja najmanje pet dana pre početka ispitivanja u eksperimentalnim uslovima. Pre ispitivanja, slučajnim izborom životinja, formiraju se grupe za tretman. Uklanjanje dlake sa kože životinja vrši se šišanjem, brijanjem ili hemijskom depilacijom, u zavisnosti od primenjene metode ispitivanja. Pazi se da u proceduri ne dođe do oštećenja kože. Telesna masa životinja meri se pre početka ispitivanja i na kraju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1.5.1.2.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1.5.1.2.1.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uobičajene vrste albino zamoraca.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1.5.1.2.2.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mužjaci ili ženke. Ako se koriste ženke, ispitivanje se vrši na ženkama koje nisu ranije rađale i koje nisu gravidne.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Minimum 10 životinja koristi se u tretiranoj grupi i najmanje 5 životinja u kontrolnoj grupi. Kada se koristi manje od 20 tretiranih i 10 kontrolnih zamoraca, i kada nije moguće zaključiti da li ispitivana supstanca dovodi do senzibilizacije, preporučuje se ispitivanje na dodatnim životinjama kako bi se dostigao ukupan broj od najmanje 20 tretiranih i 10 kontrolnih životinja.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1.5.1.2.3.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Koncentraciju ispitivane supstance koja se koristi za indukciju životinje treba dobro da podnose u smislu sistemskih efekata, i treba da bude najveća moguća doza koje će dovesti do slabe ili srednje izražene iritacije kože. Koncentracija koja se koristi za provokaciju treba da bude najveća moguća koja ne dovodi do iritacije kože. Odgovarajuće koncentracije najbolje je odrediti u pilot ispitivanju na dve ili tri životinje, ako drugi podaci nisu dostupni. U ovu svrhu, može se razmotriti i korišćenje FCA-tretiranih životinja.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1.5.1.3. Postupak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1.5.1.3.1. Indukcija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0 - tretirana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 para intradermalnih injekcija zapremine 0,1 mL daju se u području ramenog regiona koje je prethodno obrijano tako da se po jedna injekcija primeni sa svake strane tela.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Injekcija 1: 1:1 smeša (v/v) FCA/voda ili fiziološki rastvor.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Injekcija 2: ispitivana supstanca u određenoj koncentraciji u odgovarajućem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Injekcija 3: ispitivana supstanca u određenoj koncentraciji pripremljena kao 1:1 smeša (v/v) FCA/voda ili fiziološki rastvor.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injekciji 3 supstance rastvorljive u vodi rastvaraju se u vodenoj fazi pre mešanja sa FCA. Supstance rastvorljive u lipidnoj fazi ili potpuno nerastvorne suspenduju se u FCA pre mešanja sa vodenom fazom. Završna koncentracija ispitivane supstance mora biti jednaka onoj korišćenoj u injekciji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Injekcije 1 i 2 daju se jedna pored druge blizu glave, dok se injekcija 3 daje u ivični deo ispitivane površine.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0 - kontrolna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 para intradermalnih injekcija zapremine 0,1mL daju se u isto područje kao kod tretiranih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Injekcija 1: 1:1 smeša (v/v) FCA/voda ili fiziološki rastvor.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Injekcija 2: nerazređeno pomoćno sredstvo.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Injekcija 3: 50% m/v formulacija vehikuluma u 1:1 smeši (v/v) FCA/voda ili fiziološki rastvor.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5-7 - tretirane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ispitivana supstanca nije iritans, nakon šišanja odnosno brijanja i to otprilike 24 sata pre topikalne primene, na površinu kože nanosi se 0,5 mL 10% natrijum lauril sulfata u vazelinu, kako bi se izazvala lokalna iritacija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6-8 - tretirana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 tretiranog dela kože ponovo se uklanja dlaka. Na filter papir veličine 2 cm x 4 cm nanese se u debelom sloju ispitivana supstanca rastvorena u odgovarajućem vehikulumu i drži u kontaktu sa kožom uz pomoć okluzivnog zavoja narednih 48 sati. Izbor vehikuluma potrebno je obrazložiti. Čvrste supstance se pre primene usitne do praha i suspenduju u odgovarajućem vehikulumu. Tečnosti se mogu primeniti i nerazblažene.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6-8 - kontrolna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 površine kože koja se ponovno tretira uklanja se dlaka. Zatim se samo vehikulum, bez ispitivane supstance, nanosi na kožu uz pomoć okluzivnog zavoja i drži u kontaktu sa kožom narednih 48 sati.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1.5.1.3.2. Provokacija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20-22 - tretirane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 bokova životinja iz tretiranih i kontrolnih grupa uklanja se dlaka. Na jedan bok svake životinje nanosi se obloga dobro natopljena ispitivanom supstancom, a na drugi bok obloga natopljena vehikulumom. Obloge se drže u kontaktu sa kožom naredna 24 sata pomoću okluzivnog zavoja.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1.5.1.3.3. Posmatranja i ocenjivanje: tretirane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Približno 21 sat nakon uklanjanja obloga sa mesta provokacije, koža na tom mestu se, po potrebi, čisti i ponovo brija ili depilira.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Približno 3 sata kasnije (48 sati od početka provokacije) posmatraju se reakcije na koži i ocenjuju prema kriterijumima i ocenama datim u Delu drugom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Približno 24 sata nakon prve ocene (nakon ukupno 72 sata) obavlja se i drugo posmatranje reakcija na koži i beleži se 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nasumično ocenjivanje životinja iz tretiranih i kontrolnih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potrebno pojasniti rezultate dobijene nakon prve provokacije, može se obaviti i druga provokacija, i to nakon približno nedelju dana, sa odgovarajućom novom kontrolnom grupom. Druga provokacija može se obaviti i na životinjama iz originalne kontrolne grupe. Sve reakcije na koži kao i neuobičajeni nalazi, uključujući sistemske reakcije, koji su posledica indukcije ili provokacije ispitivanom supstancom beleže se i ocenjuju prema Magnusson/Kligman skali (videti Deo drugi ove metode). Drugi postupci, kao što su histopatološka ispitivanja, merenja debljine kože i sl., mogu se obaviti kako bi se razjasnile nedovoljno jasne reakcije.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Buehler test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Zdravi, mladi albino zamorci drže se radi privikavanja najmanje pet dana pre početka ispitivanja u eksperimentalnim uslovima. Pre ispitivanja, nasumičnim izborom, životinje se razvrstavaju u grupe za tretman. Uklanjanje dlake sa kože životinja vrši se šišanjem, brijanjem ili hemijskom depilacijom, u zavisnosti od primenjene metode ispitivanja. Pazi se da ne dođe do oštećenja kože. Telesna masa životinja meri se pre početka ispitivanja i na kraju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1.5.2.2.1.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već uobičajene vrste albino zamoraca.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1.5.2.2.2.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mužjaci ili ženke. Ako se koriste ženke, ispitivanje se vrši na ženkama koje nisu ranije rađale i koje nisu gravidne.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Minimum 20 životinja koristi se u tretiranoj grupi i najmanje 10 životinja u kontrolnoj grupi.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1.5.2.2.3.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ispitivane supstance koja se koristi pri indukciji mora biti najveća moguća koja će prouzrokovati blagu, ali ne prekomernu iritaciju kože. Koncentracija koja se koristi za provokaciju mora biti najveća koncentracija koja ne izaziva iritaciju kože. Ako je potrebno, odgovarajuća koncentracija može se odrediti iz probnog ispitivanja na dve ili tri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ispitivanih supstanci koje su rastvorljive u vodi, najbolje je koristiti vodu ili razblaženi nenadražujući surfaktant kao vehikulum. U slučaju drugih ispitivanih supstanci za indukciju preporučuje se korišćenje smeše 80% etanol/voda, a za provokaciju aceton.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1.5.2.3. Postupak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1.5.2.3.1. Indukcija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0 - tretirana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 jednog boka životinje šišanjem se uklanja dlaka. Sistem "patch" testa se priprema sa ispitivanom supstancom rastvorenom u odgovarajućem vehikuklumu (izbor vehikuluma potrebno je obrazložiti; ispitivane supstance u tečnom stanju mogu se primeniti i nerazblažene).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"Patch" sistem sa ispitivanom supstancom primenjuje se na površinu kože uz pomoć okluzivnog zavoja i drži u kontaktu s kožom narednih 6 sati.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ovoj vrsti ispitivanja koristi se okluzivni zavoj, a kao obloga može poslužiti okrugao ili kvadratni komadić pamučne gaze, površine 4 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-6 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Kako bi se sprečilo da životinja skine oblogu, može se na mesto primene staviti odgovarajuća prepreka ili dodatni zavoj. U slučaju korišćenja dodatnog zavoja, možda će biti potrebno ponoviti tretman.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0 - kontrolna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 jednog boka životinje brija se koža. Na oblogu se nanosi samo vehikulum koje se potom pomoću zavoja drži u kontaktu sa kožom narednih 6 sati, kao i u slučaju životinja iz ispitivane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Dani 6-8 i 13-15 - tretirane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dane 6-8 i 13-15 primena ispitivane supstance obavlja se na istom mestu na boku životinje kao i na dan 0 (po potrebi, dlaka se ponovno uklanja).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1.5.2.3.2. Provokacija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Dani 27-29 - tretirane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 netretiranog boka životinja iz ispitivane i kontrolne grupe brijanjem se uklanja dlaka. Na tako pripremljen deo kože stavlja se okluzivni zavoj sa oblogom na koji je prethodno naneta odgovarajuća količina ispitivane supstance u najvećoj mogućoj koncentraciji koja neće izazvati iritaciju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neophodno, okluzivni zavoj koji sadrži samo vehikulum takođe se nanosi na kožu netretiranog boka životinja iz ispitivane i kontrolne grupe. Obloge se drže u kontaktu s kožom narednih 6 sati.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1.5.2.3.3. Posmatranje i stepenovanje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Približno 21 sat nakon uklanjanja obloge sa mesta provokacije uklanja se dlaka sa kože na tom mestu.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Približno 3 sata kasnije (tj. približno 30 sati nakon provokacije) posmatraju se reakcije na koži i ocenjuju prema kriterijumima i ocenama datim u Delu drugom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Otprilike 24 sata nakon prve ocene (približno 54 sata nakon provokacije) obavlja se i drugo posmatranje reakcija na koži, i beleže ocene.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nasumično ocenjivanje životinja iz tretiranih i kontrolnih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Ako je potrebno dodatno pojasniti rezultate dobijene nakon prve provokacije, obavlja se i druga provokacija, i to nakon približno nedelju dana, sa odgovarajućom novom kontrolnom grupom.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Druga provokacija može se obaviti i na životinjama iz originalne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reakcije na koži kao i neuobičajeni nalazi, uključujući sistemske reakcije koje su posledica indukcije ili provokacije ispitivanom supstancom beleže se i ocenjuju prema Magnusson/Kligman skali (videti Deo drugi ove metode). Drugi postupci, kao što su histopatološka ispitivanja, merenja debljine kože i sl., mogu se obaviti kako bi se objasnile nedovoljno jasne reakcije.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(GPMT i Buehler test)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prikazuju tabelarno. Za svaku životinju navode se uočene reakcije na koži pri svakom posmatranju.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(GPMT i Buehler test)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skrining ispitivanje obavlja pre ispitivanja na zamorcima, daje se opis obavljenog ispitivanja ili se poziva na preporuku (Mouse Ear Swelling Test, MEST) i iznose se detalji postupka zajedno sa rezultatima dobijenim u sklopu ispitivanja obavljenih sa ispitivanom i referentnom supstancom.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Pisanje izveštaja (GPMT i Buehler test)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Podatke o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soj zamoraca;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poreklo, uslove smeštaja, ishrane,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telesnu masu pojedinačnih životinja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Podatke o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 pripreme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pripreme flastera i obloga;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probnog ispitivanja sa zaključkom o koncentracijama koje će se koristiti za indukciju i provokaciju;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pripreme ispitivane supstance, njene primene na kožu i uklanjanja;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izbor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koncentracije ispitivane supstance i vehikuluma za indukciju i provokaciju, kao i ukupnu količinu primenjene ispitivane supstance u indukciji i provokaciji.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3. Rezultate: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kratak pregled rezultata posljednjeg ispitivanja senzibilizacije i pouzdanosti (videti odeljak 1.3. ove metode) uključujući podatke o ispitivanoj supstanci, koncentraciji i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pojedinačno prikazane za svaku životinju uključujući i sistem ocenjivanja;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vrste i stepena ozbiljnosti uočenih efekata na koži;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histopatološke nalaze.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Zaključke.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zasniva se na Uputstvu za ispitivanje OECD TG 406.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MAGNUSSON/KLIGMAN SKALA ZA OCENU REAKCIJA USLED PROVOKACIJE ISPITIVANOM SUPSTANCOM "PATCH" TESTOM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 nema vidljivih promena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diskretan ili mestimičan (nehomogen) eritem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srednje izražen i raširen eritem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izražen eritem i otok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B.7. AKUTNA (ORALNA) TOKSIČNOST (28 DANA) </w:t>
      </w:r>
      <w:r w:rsidRPr="00984859">
        <w:rPr>
          <w:rFonts w:ascii="Arial" w:eastAsia="Times New Roman" w:hAnsi="Arial" w:cs="Arial"/>
          <w:b/>
          <w:bCs/>
          <w:lang w:eastAsia="sr-Latn-RS"/>
        </w:rPr>
        <w:br/>
        <w:t xml:space="preserve">- PONOVLJENE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primenjuje se peroralno u rastućim dozama na nekoliko različitih grupa eksperimentalnih životinja. Na jednu grupu životinja primenjuje se jedna doza tokom 28 dana. Tokom primene ispitivane supstance životinje se posmatraju svakodnevno kako bi se zabeležili znakovi toksičnosti. Životinje koje uginu tokom ispitivanja podvrgavaju se postmortalnom pregledu, a na kraju eksperimenta i preživele životinje se lišavaju života na human način i podvrgavaju postmortalnom pregledu.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Ova metoda ispitivanja stavlja veći naglasak na neurološke efekte i potrebu za pažljivim kliničkim posmatranjem životinja kako bi se prikupilo što više podataka. Metoda ispitivanja je razvijena kako bi omogućila identifikaciju hemikalija s neurotoksičnim potencijalom, koje zahtevaju dodatna ispitivanja ovog aspekta. Pored toga, metoda ispitivanja može ukazivati i na imunološke efekte ispitivane supstance kao i na toksičnost po reprodukciju.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Zdrave mlade odrasle jedinke nasumično se grupišu u ispitivane i kontrolnu grupu. Kavezi su takvi da se mogući efekti smeštaja svedu na minimum. Životinje se obeležavaju i drže u kavezima najmanje pet dana pre početka ispitivanja kako bi se prilagodile na laboratorijske uslove.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dozira se ili putem hrane ili putem vode za piće ili direktno, sondom u želudac. Metoda oralne primene zavisi od cilja studije i od fizičko-hemijskih svojstava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potrebno ispitivana supstanca se rastvara ili suspenduje u odgovarajućem vehikulumu. Preporučuje se, kad god je moguće, primena vodenog rastvora/suspenzije, a tek zatim rastvora ili emulzije u ulju (npr. kukuruznom ulju) ili nekom drugom sredstvu. Ako se koristi vehikulum koje nije voda, kod tumačenja rezultata uzimaju se u obzir i potencijalni toksični efekti tog vehikuluma. Potrebno je odrediti i stabilnost ispitivane supstance u vehikulumu.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korišćenje mladih, zdravih pacova i to sojeva koji se najčešće koriste u laboratorijskim eksperimentima. Moguće je koristiti i druge glodare. Ispitivanje se vrši na ženkama koje nisu ranije rađale i koje nisu gravidne. Doziranje je najbolje započeti odmah nakon prestanka sisanja, a u svakom slučaju pre nego što životinje navrše devet nedelja.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ispitivanja raspon telesnih masa pojedinačnih životinja ne treba da prelazi ± 20% od srednje vrednosti za svaki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ispitivanje sa ponovljenim oralnim dozama obavlja kao prethodno za dugoročne studije, životinje istog soja i iz istog izvora koriste se u oba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Najmanje 10 životinja (pet ženki i pet mužjaka) koristi se za svaki dozni nivo. Ako se u toku eksperimenta planiraju privremena lišavanja života na human način, broj životinja u eksperimentu povećava se za broj koji se planira da se liši života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Dodatno, prateća grupa od 10 životinja (po pet svakog pola) može se izlagati visokim dozama ispitivane supstance u periodu od 28 dana, kako bi se 14 dana nakon tretmana zabeležila reverzibilnost, postojanost ili odložena pojava toksičnih efekata. Potrebno je uključiti i grupu od 10 kontrolnih životinja (ponovo po pet životinja svakog pola).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Koristite se najmanje tri tretirane grupe, zajedno sa istovremenom kontrolnom grupom. Osim što se životinjama u kontrolnim grupama ne daje ispitivana supstanca, sa životinjama se postupa identično kao sa životinjama iz tretiranih grupa. Ako je korišćen vehikulum, kontrolna grupa dobija vehikulum u najvećoj korišćenoj zapremini.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procenom postojećih podataka, za ispitivanu supstancu u koncentraciji od 1.000 mg/kg TM/dan, ne očekuju nikakvi efekti, preporučuje se obavljanje ispitivanja granične doze. Ako ne postoje odgovarajući podaci za takvu procenu, može se sprovesti ispitivanje sa ciljem određivanja doza koje će se primeniti.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Doze ispitivane supstance biraju se uzimajući u obzir toksikološke ili toksikokinetičke podatke koji već postoje za ispitivanu supstancu ili strukturno slične supstance. Najveća doza bira se tako da izazove toksični efekat, ali ne i smrt ili tešku patnju životinja. Potom se redom biraju opadajuće koncentracije sa ciljem demonstriranja efekata vezanih za primenjenu dozu sve dok se ne dođe do doze bez štetnog efekta, tj. "no-observed-adverse-effects-level" (NOAEL). Doze se smanjuju progresivno za faktor dva do četiri puta, a dodatak četvrte ispitivane doze preporučuje se umesto korišćenja veoma velikih intervala (npr. većih od faktora 10) između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supstance koje se doziraju putem hrane ili vode za piće, važno je prethodno proveriti da količina ispitivane supstance dodata u obrok ne utiče štetno na ishranu ili ravnotežu vode. Kada se ispitivana supstanca dodaje hrani, ona se primenjuje ili u konstantnoj koncentraciji (ppm) ili u konstantnoj dozi izraženoj u jedinicama po telesnoj masi životinje. U svakom slučaju potrebno je propisati odabrani način doziranja. Ako se supstanca primenjuje putem sonde u želudac, doziranje se obavlja približno u isto vreme svaki dan, i podešava se po potrebi kako bi se održao konstantan dozni nivo u odnosu na telesnu masu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ispitivanje sa ponovljenom dozom obavlja kao prethodno za dugotrajne studije, potrebno je u oba ispitivanja koristiti sličnu ishranu.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ispitivanje doze od 1.000 mg/kg TM/dan, ili ekvivalentne doze u slučaju primene putem vode za piće ili hrane (preračunato iz vrednosti za telesnu masu) ne dovodi ni do kakvih toksičnih efekata, i ako se toksični efekti ne očekuju iz podataka za strukturno slične supstance, nije potrebno obaviti kompletno ispitivanje sa sve tri doze. Ispitivanje granične doze primenjuje se u svim slučajevima, osim u onim gde predviđena izloženost ispitivanoj supstanci kod ljudi ne zahteva primenu veće doze.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1.4.2.5. Vreme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posmatranja je 28 dana. Životinje iz prateće grupe koje su predviđene za naknadna posmatranja zadržavaju se još najmanje dodatnih 14 dana bez tretmana kako bi se uočila postojanost toksičnih efekata, odložena pojava efekata ili oporavak od istih.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doziraju sa ispitivanom supstancom svaki dan, sedam dana u nedelji, tokom perioda od 28 dana, a primena petodnevnog režima doziranja dodatno se obrazlaže. U slučaju doziranja putem sonde, ispitivana supstanca se primenjuje u jednoj dozi direktno u želudac, nakon intubiranja. Maksimalna zapremina tečnosti koji se može u jednom doziranju primeniti zavisi od veličine eksperimentalne životinje. Zapremina ne sme da pređe 1 mL/100 g TM životinje, izuzev u slučajevima kad se koriste vodeni rastvori i kada je dozvoljeno primeniti 2 mL/100 g TM životinje. Variranje zapremine ispitivane supstance potrebno je </w:t>
      </w:r>
      <w:r w:rsidRPr="00984859">
        <w:rPr>
          <w:rFonts w:ascii="Arial" w:eastAsia="Times New Roman" w:hAnsi="Arial" w:cs="Arial"/>
          <w:lang w:eastAsia="sr-Latn-RS"/>
        </w:rPr>
        <w:lastRenderedPageBreak/>
        <w:t xml:space="preserve">minimizirati prilagođavanjem koncentracije za svaku dozu, kako bi se obezbedila primena istih zapremina pri svim doznim nivoima.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1.4.3.1. Opšta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Klinička posmatranja životinja obavljaju se najmanje jednom dnevno, ako je moguće u isto vreme svakog dana uzimajući u obzir očekivano vreme maksimalnog efekta nakon doziranja. Beleži se i zdravstveno stanje životinja. Najmanje dva puta dnevno vodi se beleška o smrtnosti ili životinjama na samrti. Životinje na samrti ili životinje koje trpe izrazitu patnju i bol uklanjaju se iz daljeg ispitivanja lišavanjem života na human način, i podvrgavaju se postmortalnom pregledu.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Jedanput pre inicijalnog izlaganja ispitivanoj supstanci (kako bi se omogućilo poređenje unutar grupe životinja), i najmanje jednom nedeljno nakon toga, obavljaju se detaljna klinička posmatranja svih životinja. Ova posmatranja najbolje je obaviti izvan kaveza u kome se životinja inače nalazi, i, ako je moguće, svaki put u isto vreme. Nalazi se pažljivo beleže i pomoću sistema ocenjivanja koji je definisala laboratorija koja vrši ispitivanja. Promene u uslovima ispitivanja treba da budu minimalne, a nalaze da beleže objektivni posmatrači koji nisu upućeni u detalje ispitivanja na životinjama. Beleže se promene na koži, krznu, očima, sluznici, kao i pojava sekreta/izlučevina i obeležja autonomne aktivnosti (npr. suzenje, piloerekcija, veličina zenice, neuobičajen način disanja). Potrebno je posmatrati i promene u hodu, držanju ili promene uzrokovane rukovanjem životinjama, kao i prisutnost toničko-kloničnih pokreta i stereotipnog ponašanja (npr. preterano čišćenje, hodanje u krug) ili bizarnog ponašanja (npr. samopovređivanje, hodanje unazad).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četvrtoj nedelji izlaganja ispitivanoj supstanci utvrđuje se reagovanje životinja na spoljne nadražaje različite prirode (npr. auditorne, vizuelne, proprioceptivne), procenu jačine stiska, i motornu aktivnost. Detalji o preporučenim postupcima dati su u literaturi (videti Opšti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Funkcionalna posmatranja obavljena u četvrtoj nedelji izlaganja mogu se izbeći kad se ispitivanje obavlja kao prethodna studija subhroničnom (90-dnevnom) ispitivanju. U tom slučaju, funkcionalna posmatranja mogu biti deo ovog dugotrajnijeg ispitivanja. S druge strane, dostupnost podataka o funkcionalnim posmatranjima izvedenih iz ispitivanja sa ponavljanim dozama omogućava lakši izbor doza za naknadno subhronično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Izuzetno, funkcionalna posmatranja se mogu izbeći kod onih grupa životinja koje pokazuju znakove toksičnosti u meri koja značajno ometa obavljanje funkcionalnog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1.4.3.2. Telesna masa i potrošnja hrane/vode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Telesna masa svih životinja meri se najmanje jednom nedeljno. Potrošnja hrane i vode beleži se najmanje jednom nedeljno. Ako se ispitivana supstanca daje putem vode za piće, vodi se evidencija o potrošnji vode i to najmanje jedanput nedeljno.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1.4.3.3. Hematološka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ispitivanja potrebno je uraditi sledeća hematološka ispitivanja: odrediti hematokrit, koncentraciju hemoglobina, broj eritrocita, broj ukupnih i diferenciranih leukocita, broj trombocita, kao i koagulabilnost.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Uzorci krvi uzimaju se sa određenog mesta neposredno pre ili za vreme lišavanja života na human način, i čuvaju pod odgovarajućim uslovima.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1.4.3.4. Kliničko-biohemijska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Kliničko-biohemijska ispitivanja krvi obavljaju se sa ciljem ispitivanja toksičnih efekata u tkivima, posebno u jetri i bubrezima, i to na uzorcima krvi svih eksperimentalnih životinja neposredno pre ili za vreme lišavanja života na human način (osim onih koje su već pronađene mrtve ili koje su lišene života na human način u međuvremenu). Pre uzimanja uzoraka krvi</w:t>
      </w:r>
      <w:r w:rsidRPr="00984859">
        <w:rPr>
          <w:rFonts w:ascii="Arial" w:eastAsia="Times New Roman" w:hAnsi="Arial" w:cs="Arial"/>
          <w:b/>
          <w:bCs/>
          <w:sz w:val="15"/>
          <w:szCs w:val="15"/>
          <w:vertAlign w:val="superscript"/>
          <w:lang w:eastAsia="sr-Latn-RS"/>
        </w:rPr>
        <w:t>I</w:t>
      </w:r>
      <w:r w:rsidRPr="00984859">
        <w:rPr>
          <w:rFonts w:ascii="Arial" w:eastAsia="Times New Roman" w:hAnsi="Arial" w:cs="Arial"/>
          <w:lang w:eastAsia="sr-Latn-RS"/>
        </w:rPr>
        <w:t xml:space="preserve"> preporučuje se uskraćivanje hrane životinjama preko noći. Ispitivanja u plazmi ili serumu uključuju i određivanje natrijuma, kalijuma, glukoze, ukupnog holesterola, uree, kreatinina, ukupnih proteina i albumina, i aktivnosti najmanje dva enzima kao indikatora hepatocelularnih efekata (kao što su: alanin aminotransferaza, aspartat aminotransferaza, alkalna fosfataza, gama glutamil transpeptidaza i sorbitol dehidrogenaza). Mogu se obaviti i merenja aktivnosti drugih enzima (enzimi jetre ili nekog drugog porekla) kao i žučnih kiselina što može pod određenim okolnostima obezbediti korisne informacije.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Neobavezno, tokom poslednje nedelje ispitivanja, mogu se obaviti i sledeći pregledi urina sakupljenog u određenom vremenu: odrediti izgled, zapreminu, osmolalnost ili specifičnu gustinu, pH, proteine, glukozu i prisutnost krvi/krvnih ćelija u urinu.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Razmatra se mogućnost određivanja serumskih markera koji ukazuju na opšte oštećenje tkiva. Ako se sumnja da ispitivana supstanca deluje na metaboličke procese, obavljaju se i druga određivanja, kao što su određivanje koncentracije kalcijuma, fosfora, triglicerida, nivoa specifičnih hormona, methemoglobina, i aktivnost holinesteraze. Svi ovi parametri određuju se pri ispitivanju hemikalija iz određenih klasa, tj. u određenim slučajevima.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fleksibilan pristup koji zavisi od vrste ispitivane životinje odnosno očekivanog efekta date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ne postoje adekvatni podaci o kontrolnim vrednostima parametara iz prethodnih ispitivanja, razmatra se potreba za određivanjem hematoloških i kliničko-biohemijskih parametara i pre nego što se započne sa doziranjem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w:t>
      </w:r>
      <w:r w:rsidRPr="00984859">
        <w:rPr>
          <w:rFonts w:ascii="Arial" w:eastAsia="Times New Roman" w:hAnsi="Arial" w:cs="Arial"/>
          <w:lang w:eastAsia="sr-Latn-RS"/>
        </w:rPr>
        <w:t xml:space="preserve"> Za određivanje brojnih parametara iz seruma i plazme, a najviše za određivanje glukoze, preporučuje se gladovanje preko noći. Glavni razlog tome je značajno veća varijacija vrednosti kao posledica uzimanja hrane koja bi mogla da maskira suptilne efekte i oteža tumačenje rezultata. S druge strane, gladovanje preko noći može uticati na opšti metabolizam životinja i, posebno u slučaju davanja ispitivane supstance putem hrane, poremetiti dnevnu izloženost ispitivanoj supstanci. Ako se usvoji gladovanje preko noći, kliničko-biohemijska ispitivanja potrebno je obaviti nakon izvođenja funkcionalnih posmatranja u četvrtoj nedelji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1.4.3.5.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životinje koje se koriste u ispitivanju podvrgavaju se detaljnom postmortalnom pregledu, koja uključuje pažljiv pregled spoljašnje površine tela, uključujući sve otvore, lobanju, grudnu i trbušnu duplju. Jetru, bubrege, nadbubrežne žlezde, testise, semenike, timus, slezenu, mozak i srce svih životinja potrebno je odvojiti od okolnog tkiva, i što je pre moguće, vlažne izmeriti odmah nakon sekcije kako bi se izbeglo sušenje.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Sledeće vrste tkiva čuvaju se u medijumu za fiksiranje radi naknadnog izvođenja histopatoloških pregleda: sva vidljivo oštećena tkiva, mozak (reprezentativne regije, uključujući veliki mozak, mali mozak i produženu moždinu), kičmena moždina, želudac, tanko i debelo crevo (uključujući Pajerove ploče), jetra, bubrezi, nadbubrežne žlezde, slezina, srce, timus, štitna žlezda, dušnik, pluća (ubrizgavanjem fiksatora pa potom uranjanjem u isti medijum), polne žlezde, pomoćni polni organi (npr. materica, prostata), mokraćna bešika, limfni čvorovi (po mogućnosti, jedan uzet sa puta unosa ispitivane supstance u organizam, i </w:t>
      </w:r>
      <w:r w:rsidRPr="00984859">
        <w:rPr>
          <w:rFonts w:ascii="Arial" w:eastAsia="Times New Roman" w:hAnsi="Arial" w:cs="Arial"/>
          <w:lang w:eastAsia="sr-Latn-RS"/>
        </w:rPr>
        <w:lastRenderedPageBreak/>
        <w:t xml:space="preserve">drugi, udaljen od njega kako bi se proučili sistemski efekti), periferni nerv (n. ischiadicus ili n. tibialis), po mogućstvu smešten uz sam mišić, i isečak kostne srži (ili svež aspirat kostne srži). Klinički i drugi nalazi mogu uputiti na potrebu za ispitivanjem i drugih tkiva. Čuvaju se i svi organi koji se na osnovu saznanja o svojstvima ispitivane supstance smatraju ciljnim.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1.4.3.6.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Kompletna histopatološka ispitivanja obavljaju se na sačuvanim organima i tkivima svih životinja iz kontrolne grupe, i grupe izložene visokoj dozi ispitivane supstance. Ako se primete promene kod životinja na koje je primenjena visoka doza ispitivane supstance, histopatološka ispitivanja se obavljaju i na životinjama iz svih ostalih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Ispituju se sve veće (makroskopski vidljive) lezije.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korišćena pomoćna grupa, histopatološkoj obradi se podvrgavaju tkiva i organi na kojima su se kod tretiranih životinja primetile neke promene.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svaku životinju vode se posebni podaci. Podaci se prikazuju tabelarno gde se za svaku ispitivanu grupu životinja navodi broj životinja na početku ispitivanja, broj životinja koje su uginule ili su lišene života na human način za vreme ispitivanja (zajedno sa vremenom lišavanja života), kao i broj životinja kod kojih su pronađeni znakovi toksičnosti. Daje se i detaljan opis uočenih znakova toksičnosti, vreme kada su primećeni, njihovo vreme trajanja i stepen izraženosti, kao i broj životinja kod kojih su primećene lezije zajedno sa opisom tipa lezija i procentom životinja kod kojih su pronađene.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moguće, svi rezultati se analiziraju pomoću odgovarajuće statističke metode, koju je najbolje odabrati još u vreme planiranja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PISANJE IZVEŠTAJA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Podatke o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vrstu/soj;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poreklo životinja, uslove smeštaja, ishrane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individualne telesne mase životinja na početku ispitivanja, kasnije u nedeljnim intervalima i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Podatke o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izbor pomoćnog sredstva, ako se ne radi o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razloge za izbor doze/koncentracije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detalje o formulaciji ispitivane supstance, ishrani, postignutoj koncentraciji ispitivane supstance, stabilnosti i homogenosti pripremljene formulacije;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načinu primene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ukoliko je primenljivo, preračunavanja koncentracije ispitivane supstance primenjene hranom ili putem vode (ppm) na dozu (mg/kg TM/dan);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detalje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Rezultate: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telesnu masu/promene u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konzumiranje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zabeleženim toksičnim efektima prikazane po polu i primenjenoj dozi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prirodi, težini i trajanju kliničkih promena (da li su reverzibilne ili nisu);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procenu senzorne aktivnosti, jačina stiska i motorne aktivnosti;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hematoloških ispitivanja, sa relevantnim kontrolnim vrednostima;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kliničko-biohemijskih ispitivanja sa relevantnim kontrolnim vrednostima;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telesnu masu pre lišavanja života na human način i masu pojedinačnih organa;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nalaze postmortalnog pregleda;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apsorpciji;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statističku obradu rezultata, tamo gde je odgovarajuće.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Zaključke.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oralne toksičnosti zasniva se na Uputstvu za ispitivanje OECD TG 407.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B.8. AKUTNA (INHALACIONA) TOKSIČNOST (28 DANA) - PONOVLJENE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Korisno je imati prethodne podatke o svojstvima ispitivane supstance kao što su: raspodela veličine čestica, pritisak pare, tačka topljenja, tačka ključanja, tačka paljenja i eksplozivnost (ako se radi o eksplozivnoj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B.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Grupe eksperimentalnih životinja dnevno se izlažu rastućim koncentracijama ispitivane supstance tokom vremenskog perioda od 28 dana. Svaka grupa životinja izlaže se jednoj koncentraciji. Kada je neophodno, koristi se i vehikulum koji omogućava postizanje odgovarajuće koncentracije ispitivane supstance u atmosferi. Za vehikulum se određuje i dodatna kontrolna grupa. Životinje se posmatraju svaki dan tokom vremena izlaganja ispitivanoj supstanci kako bi se uočili znakovi toksičnosti. Životinje koje uginu za vreme eksperimenta podvrgavaju se postmortalnom pregledu, a po završetku eksperimenta i preživele životinje se lišavaju života na human način i postmortalno pregledaju.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drže u eksperimentalnim uslovima i hrane po definisanom eksperimentalnom režimu najmanje pet dana pre početka ispitivanja. Pre ispitivanja zdrave mlade jedinke nasumce se grupišu u prethodno definisan broj eksperimentalnih grupa. Kada je neophodno, dodaje se vehikulum koji omogućava postizanje odgovarajuće koncentracije ispitivane supstance u atmosferi. Odabrani vehikulum ne sme biti toksičan, što može da se potvrdi navodima postojeće literature.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ne postoje kontraindikacije, preporučuje se korišćenje pacova i to sojeva koji se najčešće koriste u laboratorijskim ispitivanjima.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ispitivanja, raspon telesnih masa pojedinačnih životinja ne sme da pređe ± 20% od srednje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Najmanje 10 glodara (pet ženki i pet mužjaka) koristi se za svaku ispitivanu koncentraciju. Ženke moraju biti takve da nisu ranije rađale i da nisu gravidne. Ako se u toku ispitivanja planiraju prevremena lišavanja života na human način, broj životinja u ispitivanju povećava se za broj koji je planiran za lišavanje života u toku ispitivanja. Prateća grupa od deset životinja (po pet životinja svakog pola) može se izlagati visokim koncentracijama ispitivane supstance u periodu od 28 dana, kako bi se 14 dana nakon tretmana zabeležile reverzibilnost, postojanost ili vremenski odložena pojava toksičnih efekata. Ukoliko se obavlja ovo posmatranje, uključuje se pomoćna grupa od 10 kontrolnih životinja (po pet svakog pola).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najmanje tri koncentracije ispitivane supstance, zajedno sa odgovarajućim kontrolama (ako se koristi vehikulum, druga kontrola sadrži vehikulum u najvećoj datoj koncentraciji). Osim primene ispitivane supstance, sa životinjama u kontrolnim grupama postupa se na isti način kao sa životinjama iz ispitivanih grupa. Najveća koncentracija ispitivane supstance treba da izazove toksične efekte, ali bez ili sa minimalnim brojem uginulih životinja. Najniža koncentracija ne treba da izazove toksične efekte. Kada je moguće predvideti izloženost ispitivanoj supstanci kod ljudi, najniža koncentracija primenjena na životinje treba da bude malo viša od ove vrednosti. Idealno, srednja koncentracija ispitivane supstance izaziva minimalne toksične efekte. Ako se koristi nekoliko srednjih koncentracija, tada su njihove vrednosti pravilno razmaknute kako bi se postigla gradacija toksičnih efekata. U grupama kod kojih su primenjene niske ili srednje koncentracije ispitivane supstance, kao i u kontrolnim grupama, učestalost smrtnih slučajeva kod životinja treba da bude niska kako bi interpretacija rezultata imala smisla.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Dužina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Trajanje izlaganja tokom jednog dana je šest sati. Drugi vremenski intervali mogu se definisati po potrebi.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podvrgavaju ispitivanju pomoću opreme kojom se može održavati konstantni protok vazduha sa najmanje 12 potpunih izmena u jednom satu, kako bi se obezbedila odgovarajuća koncentracija kiseonika i ravnomerno raspoređena atmosfera. Kada se koristi komora, njen dizajn mora da bude dovoljno prostran da minimizira skučenost životinja i omogući maksimalnu izloženost ispitivanoj supstanci udisanjem. Kao opšte pravilo koje obezbeđuje stabilnost atmosfere u komori koristi se mera prema kojoj "zapremina" životinja ne sme da bude veća od 5% ukupne zapremine komore. Koriste se različiti tipovi komora koji omogućavaju izloženost čitavog tela, samo glave ili samo oro-nazalnih otvora životinje, a ove posljednje dve komore minimiziraju izloženost ispitivanoj supstanci nekim drugim putem unosa.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1.6.2.6. Vreme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Eksperimentalne životinje posmatraju se svaki dan kako bi se uočili znakovi toksičnosti i to tokom trajanja čitavog eksperimenta kao i za vreme oporavka. Važno je zabeležiti vreme pojave ili nestanka prvih znakova trovanja, kao i vreme uginuća.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svakodnevno izlažu ispitivanoj supstanci, ili pet do sedam dana u nedelji, u vremenskom periodu od 28 dana. Životinje iz pratećih grupa koje su predviđene za </w:t>
      </w:r>
      <w:r w:rsidRPr="00984859">
        <w:rPr>
          <w:rFonts w:ascii="Arial" w:eastAsia="Times New Roman" w:hAnsi="Arial" w:cs="Arial"/>
          <w:lang w:eastAsia="sr-Latn-RS"/>
        </w:rPr>
        <w:lastRenderedPageBreak/>
        <w:t xml:space="preserve">naknadna praćenja zadržavaju se dodatnih 14 dana bez tretmana kako bi se zabeležila postojanost toksičnih efekata ili oporavak.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na kojoj se obavlja ispitivanje održava se na 22° C ± 3° C. Relativna vlažnost je između 30% i 70%, ali u nekim slučajevima (npr. kod ispitivanja aerosola) ovo nije izvodljivo. Održavanjem negativnog pritiska unutar komore (± 5 mm vode) sprečava se izlazak ispitivane supstance u okolinu. Za vreme izlaganja ispitivanoj supstanci životinjama se ne daje hrana i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toku ispitivanja koristi se odgovarajući dinamični sistem sa mogućnošću kontrole koncentracije ispitivane supstance. Za uspostavljanje odgovarajuće koncentracije ispitivane supstance, preporučuje se obavljanje probnog ispitivanja. Komora je dizajnirana na takav način da omogućava homogenu distribuciju vazduha za vreme trajanja eksperimenta. Sistem mora da omogući stabilne uslove i njihovo uspostavljanje u što kraćem vremenskom periodu.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Sprovode se merenja i prate sledeći parametri: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brzina protoka vazduha (kontinuirano);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koncentracije ispitivane supstance u zoni udisanja. Tokom dnevnih izlaganja, koncentracija ispitivane supstance ne sme da varira više od ± 15% od srednje vrednosti. Kod aerosola se teško postiže ovakva kontrola doziranja, pa se u tom slučaju tolerišu veće razlike u vrednostima. Za vreme trajanja kompletnog ispitivanja, dnevne koncentracije su što je moguće stabilnije. Za aerosole se obavlja i analiza veličine čestica (najmanje jedanput nedeljno u svakoj grupi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temperatura i vlažnost (kontinuirano, ako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Opažanja se beleže sistematično za vreme i nakon izlaganja. Svaka životinja ima poseban karton. Životinje se prate svaki dan, a znakovi trovanja beleže se redovno, uključujući vreme pojave, ozbiljnost i trajanje. Beleže se promene na koži i krznu, očima, sluznici, respiratornom, kardiovaskularnom, autonomnom i centralnom nervnom sistemu, kao i somatomotorna aktivnost i način ponašanja. Jednom nedeljno određuje se telesna masa životinja i prati potrošnja hrane. Životinje se redovno prate kako bi se izbegao gubitak zbog kanibalizma ili autolize tkiva. Na kraju ispitivanja obavlja se postmortalni pregled svih preživelih životinja iz osnovnih (ne pratećih) ispitivanih grupa. Životinje koje su izrazito slabe ili na samrti izdvajaju se iz grupe i lišavaju života na human način, a potom se postmortalno pregledaju.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Sledeća ispitivanja sprovode se na kraju eksperimenta na svim životinjama, uključujući i one iz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hematološka ispitivanja, uključujući hematokrit, koncentraciju hemoglobina, broj eritrocita, broj ukupnih i pojedinih loza leukocita, kao i koagulabilnost krvi;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kliničko-biohemijska ispitivanja krvi uključujući najmanje jedan parametar koji ukazuje na funkciju jetre i bubrega: alanin aminotransferaza (poznata i pod nazivom: glutamat piruvat transaminaza), aspartat aminotransferaza (poznata i pod nazivom: glutamat oksaloacetat transaminaza), azot uree, albumin, kreatinin, ukupni bilirubin i proteini u serumu.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Druga ispitivanja koja mogu biti potrebna za adekvatnu evaluaciju toksičnosti uključuju određivanje kalcijuma, fosfora, hlorida, natrijuma, kalijuma, glukoze (u uslovima gladovanja), lipida, hormona, acido-baznu ravnotežu methemoglobin i aktivnost holinesteraze.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Dodatne biohemijske analize obavljaju se po potrebi, kako bi se detaljnije proučili toksični efekti.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eksperimentalne životinje detaljno se postmortalno pregledaju. Odmah nakon sekcije mere se, još vlažni, sledeći organi: jetra, bubrezi, nadbubrežne žlezde, pluća i testisi. Organi i tkiva (respiratorni trakt, jetra, bubrezi, slezina, testisi, nadbubrežne žlezde i srce, kao i drugi organi na kojima se primete promene u veličini) čuvaju se u odgovarajućem medijumu za dalja histopatološka ispitivanja. Pluća se vade netaknuta, mere i stavljaju u odgovarajući fiksator kako bi sačuvala sve strukture.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kontrolnim grupama i grupama izloženim visokim koncentracijama ispitivane supstance obavljaju se histološka ispitivanja izolovanih organa i tkiva. Organi i tkiva koji pokažu oštećenja koja se mogu pripisati visokim koncentracijama ispitivane supstance detaljno se ispituju i kod životinja koje su bile izložene nižim koncentracijama. Životinje iz pratećih grupa takođe je potrebno histološki obraditi sa posebnom pažnjom na organima i tkivima koja su pokazala promene i kod životinja iz drugih ispitivanih grupa.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prikazuju tabelarno gde se za svaku ispitivanu grupu životinja navodi broj životinja na početku eksperimenta, kao i broj životinja kod kojih su pronađene promene.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 dobijeni rezultati analiziraju se pomoću odgovarajuće statističke metode. Koristi se bilo koja prihvaćena statistička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REZULTATIMA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PISANJE IZVEŠTAJA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Podatke o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vrstu, soj, poreklo, uslove čuvanja, ishrane,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Podatke o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komore ili aparature uključujući dizajn, tip, dimenzije, izvor vazduha, sistem za raspršivanje aerosola, metode za kondicioniranje vazduha i način čuvanja životinja u komori. Opisuje se i aparaturu za merenje temperature, vlažnosti, koncentracije aerosola i određivanje raspodele veličine čestica.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Podatke o izlaganju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ovi podaci prikazuju se tabelarno u vidu srednjih vrednosti sa odstupanjima (standardna devijacija), a ako je moguće sadrže 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brzini protoka vazduha kroz otvore u aparaturi;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b) temperaturi i vlažnosti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nominalnoj koncentraciji (ukupnom sadržaju ispitivane supstance koja se uvodi kroz otvore u aparaturi, podeljenom sa zapreminom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prirodi vehikuluma, ako je korišćen;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tačnoj koncentraciji supstance u zoni udisanja;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đ) srednjem masenom aerodinamičkom dijametru (MMAD) i geometrijskoj standardnoj devijaciji (GSD).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Podatke o nalazima o toksičnim efektima predstavljenim u odnosu na pol životinja i koncentraciju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Vreme uginuća u toku eksperimenta, tj. da li su životinje preživele eksperiment.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Opis toksičnih i ostalih efekata; koncentraciju bez efekta.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Vreme pojave abnormalnosti i njihov kasniji tok.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Podatke o ishrani i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Podatke o hematološkim ispitivanjima i nalazima.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Rezultate kliničko-biohemijskih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Nalaze postmortalnog pregleda.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Statističku obradu rezultata gde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Raspravu o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G.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B.9. AKUTNA (DERMALNA) TOKSIČNOST(28 DANA) </w:t>
      </w:r>
      <w:r w:rsidRPr="00984859">
        <w:rPr>
          <w:rFonts w:ascii="Arial" w:eastAsia="Times New Roman" w:hAnsi="Arial" w:cs="Arial"/>
          <w:b/>
          <w:bCs/>
          <w:lang w:eastAsia="sr-Latn-RS"/>
        </w:rPr>
        <w:br/>
        <w:t xml:space="preserve">- PONOVLJENE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Videti Opšti uvod, Deo 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B.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primenjuje se svakodnevno na kožu životinja podeljenih u grupe u rastućim dozama. Na jednu grupu životinja primenjuje se jedna doza tokom perioda od 28 dana. Tokom primene ispitivane supstance životinje se svakodnevno posmatraju kako bi se beležili znakovi toksičnosti. Životinje koje uginu tokom ispitivanja postmortalno pregledaju se, a na kraju eksperimenta i preživele životinje se lišavaju života na human način i postmortalno pregledaju.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drže u eksperimentalnim uslovima i hrane po definisanom eksperimentalnom režimu najmanje pet dana pre početka ispitivanja. Pre ispitivanja, zdrave mlade životinje nasumce se dele u ispitivane i kontrolne grupe. Neposredno pre početka ispitivanja, životinjama se uklanja krzno sa dorzalnog dela tela. Krzno se može ukloniti i brijanjem, ali je u tom slučaju brijanje potrebno uraditi 24 sata pre ispitivanja. Šišanje i brijanje se ponavljaju jednom nedeljno. Kod uklanjanja krzna, pazi se da ne dođe do oštećenja kože. Za primenu ispitivane supstance čisti se najmanje 10% ukupne površine kože životinje. Kod procene površine i dimenzija kože koja se čisti uzima se u obzir i telesna masa životinje. Ako se ispituje čvrsta supstanca, koja se po potrebi može usitniti do praha, dobijeni prašak potrebno je dobro ovlažiti vodom ili nekim drugim vehikulumom kako bi se omogućio dobar kontakt sa kožom. Ako se koristi neki vehikulum, uzima se u obzir i njegov uticaj na prodiranje ispitivane supstance kroz kožu. Ispitivane supstance koje se već nalaze u tečnom obliku, najčešće se koriste nerazblažene. Ispitivana supstanca se primenjuje na kožu između pet do sedam dana nedeljno.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ovakav tip ispitivanja najčešće se koriste odrasli pacovi, kunići ili zamorci. Ako se koriste druge vrste laboratorijskih životinja, daje se obrazloženje za ovo korišćenje.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eksperimenta raspon telesnih masa životinja ne sme da prelazi ± 20% od odgovarajuće srednje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Najmanje 10 životinja (5 mužjaka i 5 ženki) sa zdravom kožom koriste se za svaku ispitivanu dozu. Ispitivanje se vrši na ženkama koje nisu ranije rađale i koje nisu gravidne. Ako se u toku eksperimenta planiraju prevremena lišavanja života na human način, broj životinja u eksperimentu povećava se za broj koji se planira lišiti života u toku ispitivanja. Prateća grupa od 10 životinja (po pet svakog pola) može da se izloži visokim koncentracijama ispitivane supstance u periodu od 28 dana, kako bi se 14 dana nakon tretmana zabeležile reverzibilnost, postojanost ili odložena pojava toksičnih efekata. Ukoliko se obavlja ovo posmatranje, uključuje se pomoćna grupa od 10 kontrolnih životinja (po pet svakog pola).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najmanje tri doze ispitivane supstance, zajedno sa odgovarajućim kontrolama (ako se koristi vehikulum, druga kontrola se izlaže vehikulumu). Vreme izlaganja je najmanje šest sati dnevno. Ispitivana supstanca nanosi se na kožu u približno isto vreme svakog dana, a naneta doza se prilagođava (jedanput ili dva puta nedeljno) promenama telesne mase životinje. Osim primene ispitivane supstance, sa životinjama u kontrolnim grupama postupa se identično kao sa životinjama iz ispitivanih grupa. Ako se koristi vehikulum, kontrolna grupa životinja dozira se vehikulumom na isti način kao i ispitivana grupa kojoj je primenjena najveća doza. Najveća doza ispitivane supstance treba da izazove toksične efekte kod životinja, ali bez ili sa minimalnim brojem uginulih životinja. Najniža koncentracija ne treba da izazove toksične efekte.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moguće predvideti izloženost ispitivanoj supstanci kod ljudi, najniža koncentracija primenjena na životinje treba da bude malo viša od ove vrednosti. Idealno, srednja koncentracija ispitivane supstance izaziva minimalne toksične efekte. Ako se koristi nekoliko srednjih koncentracija, njihove vrednosti su pravilno raspoređene kako bi se postigla gradacija toksičnih efekata. U grupama kod kojih su primenjene niske ili srednje koncentracije ispitivane supstance, kao i u kontrolnim grupama, učestalost smrtnih slučajeva kod životinja treba da bude niska kako bi tumačenje rezultata imalo smisla.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primena ispitivane supstance izaziva tešku iritaciju kože, doze se smanjuju, što može uticati na smanjenje ili potpuni nestanak drugih toksičnih efekata kod visokih doza. Ako dođe do izrazitih oštećenja kože, preporučuje se okončavanje ispitivanja i početak novog ispitivanja sa nižim koncentracijama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prethodno ispitivanje sa dozom od 1.000 mg/kg ili većom dozom u slučajevima kada se predviđa izloženost ljudi većoj dozi ne rezultira toksičnim efektima, nastavak ispitivanja smatra se nepotrebnim.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Vreme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Eksperimentalne životinje posmatraju se svakog dana kako bi se uočili znakovi toksičnosti. Beleži se vreme pojave ili nestanka prvih znakova toksičnosti, kao i vreme uginuća.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drže u zasebnim kavezima. U idealnim uslovima, životinje se tretiraju sedam dana u nedelji, tokom perioda od 28 dana. Životinje iz pratećih grupa koje su predviđene za naknadna praćenja zadržavaju se dodatnih 14 dana bez tretmana kako bi se zabeležila postojanost toksičnih efekata ili oporavak. Vreme izlaganja je najmanje šest sati dnevno.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Ispitivana supstanca primenjuje se ravnomerno preko čitave površine koja iznosi otprilike 10% od ukupne površine kože. U slučaju veoma toksičnih supstanci, izložena površina može biti i manja, ali je potrebno primenjeni sloj ravnomerno rasporediti u što je moguće tanjem sloju.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ispitivanja ispitivana supstanca se drži u kontaktu sa kožom pomoću porozne gaze i flastera koji ne izaziva iritaciju kože. Mesto primene dodatno se može prekriti kako bi se onemogućila ingestija ispitivane supstance. Ako je neophodno, životinji se stavljaju i dodatni štitnici kojima se sprečava direktan kontakt sa tretiranom kožom, ali se ne preporučuje kompletna imobilizacija životinje. Kao alternativa koristi se zaštitni okovratnik.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propisanog vremena izlaganja, višak ispitivane supstance uklanja se ispiranjem vodom ili pomoću nekog drugog sredstva za čišćenje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Posmatranja se svakodnevno sistematično beleže. Beleže se znakovi toksičnosti, vreme njihove pojave, stepen i trajanje; promene na koži i krznu, očima, sluzokoži, respiratornom, kardiovaskularnom, autonomnom i centralnom nervnom sistemu, kao i somatomotorna aktivnost i način ponašanja. Jednom nedeljno određuje se telesna masa životinja i beleže opažanja vezana za potrošnju hrane. Redovno se prate životinje kako bi se izbegao njihov gubitak zbog kanibalizma ili autolize tkiva. Na kraju eksperimenta, postmortalno pregledaju se sve preživele životinje iz osnovnih (ne pratećih) ispitivanih gupa. Životinje koje su izrazito slabe ili na samrti izdvajaju se iz grupe i lišavaju života na human način, a potom se postmortalno pregledaju.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Sprovode se sledeća ispitivanja na kraju eksperimenta na svim životinjama uključujući one iz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hematološka ispitivanja, uključujući hematokrit, koncentraciju hemoglobina, broj eritrocita, broj ukupnih i pojedinih loza leukocita, kao i brzinu zgrušavanja krvi;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kliničko-biohemijska ispitivanja krvi, uključujući najmanje jedan parametar koji ukazuje na funkciju jetre i bubrega: alanin aminotransferaza (poznata i pod nazivom: glutamat piruvat transaminaza), aspartat aminotransferaza (poznata i pod nazivom: glutamat oksaloacetat transaminaza), azot uree, albumin, kreatinin, ukupni bilirubin i proteini u serumu;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druga ispitivanja koja mogu biti potrebna za adekvatnu evaluaciju toksičnosti uključujući određivanje kalcijuma, fosfora, hlorida, natrijuma, kalijuma, glukoze (u uslovima gladovanja), lipida, hormona, acido-baznu ravnotežu, methemoglobin i aktivnost holinesteraze;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dodatne biohemijske analize obavljaju se po potrebi, kako bi se detaljnije proučili toksični efekti.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eksperimentalne životinje detaljno se postmortalno pregledaju. Sledeći organi mere se odmah nakon sekcije, još vlažni: jetra, bubrezi, nadbubrežne žlezde, pluća i testisi. Organi i tkiva (respiratorni trakt, jetra, bubrezi, slezina, testisi, nadbubrežne žlezde i srce, kao i drugi organi na kojima se primete promene u veličini) čuvaju se u odgovarajućem medijumu za dalja histopatološka ispitivanja. Pluća se vade netaknuta, mere i stavljaju u odgovarajući fiksator kako bi se sačuvale sve strukture.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kontrolnim grupama i grupama izloženim visokim koncentracijama ispitivane supstance prave se histološka ispitivanja izolovanih organa i tkiva. Organi i tkiva koji pokažu oštećenja koja se mogu pripisati visokim koncentracijama ispitivane supstance detaljno se ispituju i kod životinja koje su bile izložene nižim koncentracijama. Životinje iz pratećih grupa takođe je potrebno histološki obraditi sa posebnim pažnjom na organe i tkiva koja su pokazala promene i kod životinja iz drugih ispitivanih grupa.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prikazuju tabelarno gde se za svaku ispitivanu grupu životinja navodi broj životinja na početku eksperimenta, kao i broj životinja kod kojih su pronađene promene.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 dobijeni rezultati analiziraju se odgovarajućom statističkom metodom. Koristi se bilo koja prihvaćena statistička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PISANJE IZVEŠTAJA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Podatke o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vrstu, soj, poreklo, uslovi smeštaja,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Podatke o uslovima ispitivanja (uključujući način primene, okluzivni ili ne-okluzivni).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Koncentracije ispitivane supstance u dozama (koncentracija vehikuluma, ako je korišćen).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Podatke o dozi bez štetnog efekta.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Podatke o toksičnim efektima, sortirane prema polu životinja i primenjenoj dozi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Vreme smrti u toku eksperimenta, tj. da li su životinje preživele celi eksperiment.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Opis toksičnih ili drugih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Vreme opažanja bilo kakvih abnormalnosti, i njihov kasniji tok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Podatke o ishrani i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Podatke o hematološkim ispitivanjima i nalazima.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Rezultate kliničko-biohemijskih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Nalaze postmortalnog pregleda.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Statističku obradu rezultata kada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Raspravu o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16.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G.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Deo 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B.10. MUTAGENOST - </w:t>
      </w:r>
      <w:r w:rsidRPr="00984859">
        <w:rPr>
          <w:rFonts w:ascii="Arial" w:eastAsia="Times New Roman" w:hAnsi="Arial" w:cs="Arial"/>
          <w:b/>
          <w:bCs/>
          <w:i/>
          <w:iCs/>
          <w:lang w:eastAsia="sr-Latn-RS"/>
        </w:rPr>
        <w:t>IN VITRO</w:t>
      </w:r>
      <w:r w:rsidRPr="00984859">
        <w:rPr>
          <w:rFonts w:ascii="Arial" w:eastAsia="Times New Roman" w:hAnsi="Arial" w:cs="Arial"/>
          <w:b/>
          <w:bCs/>
          <w:lang w:eastAsia="sr-Latn-RS"/>
        </w:rPr>
        <w:t xml:space="preserve"> ISPITIVANJE HROMOZOMSKIH ABERACIJA KOD SISARA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zasniva se na Uputstvu za ispitivanje OECD 473,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ispitivanje hromozomskih aberacija (1997).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ispitivanja hromozomskih aberacija je utvrđivanje agenasa koji uzrokuju strukturnu hromozomsku aberaciju u kulturi ćelija sisara</w:t>
      </w:r>
      <w:r w:rsidRPr="00984859">
        <w:rPr>
          <w:rFonts w:ascii="Arial" w:eastAsia="Times New Roman" w:hAnsi="Arial" w:cs="Arial"/>
          <w:b/>
          <w:bCs/>
          <w:sz w:val="15"/>
          <w:szCs w:val="15"/>
          <w:vertAlign w:val="superscript"/>
          <w:lang w:eastAsia="sr-Latn-RS"/>
        </w:rPr>
        <w:t>1, 2, 3</w:t>
      </w:r>
      <w:r w:rsidRPr="00984859">
        <w:rPr>
          <w:rFonts w:ascii="Arial" w:eastAsia="Times New Roman" w:hAnsi="Arial" w:cs="Arial"/>
          <w:lang w:eastAsia="sr-Latn-RS"/>
        </w:rPr>
        <w:t xml:space="preserve">. Postoje dve vrste strukturnih aberacija: hromozomska i hromatidna. Sa većinom hemijskih mutagena izazvane aberacije su na hromatidama, ali može doći i do aberacija na hromozomima. Povećanje polipoidnosti može da ukaže na to da hemikalija ima potencijal za izazivanje numeričkih aberacija. Ova metoda nije namenjena za merenje numeričkih aberacija i ne koristi se rutinski u te svrhe. Hromozomske mutacije i s njima povezani efekti uzrok su mnogih genetskih oboljenja kod ljudi. Postoje dokazi da hromozomske mutacije i s njima povezani efekti koji izazivaju promene u onkogenima i tumor-supresorskim genima somatskih ćelija imaju ulogu u izazivanju kancera kod ljudi i eksperimentalnih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ispitivanje hromozomskih aberacija može da koristi: kulture utvrđenih ćelijskih linija, ćelijskih vrsta ili u prvom redu ćelijskih kultura. Ćelije se biraju na osnovu sposobnosti rasta u kulturi, stabilnosti kariotipa, hromozomskog broja, hromozomske h raznolikosti i spontane frekvencije hromozomskih aberacija.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Ispitivanja koja se obavljaju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zahtevaju upotrebu egzogenog izvora metaboličke aktivacije. Ovaj sistem metaboličke aktivacije ne može u celini da oponaša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uslove sisara. Vodi se računa da se izbegavaju uslovi koji dovode do pozitivnih rezultata, a koji ne odražavaju suštinsku mutagenost i koji mogu da nastanu usled promena u pH, osmolalnosti ili usled visokog nivoa citotoksičnosti</w:t>
      </w:r>
      <w:r w:rsidRPr="00984859">
        <w:rPr>
          <w:rFonts w:ascii="Arial" w:eastAsia="Times New Roman" w:hAnsi="Arial" w:cs="Arial"/>
          <w:b/>
          <w:bCs/>
          <w:sz w:val="15"/>
          <w:szCs w:val="15"/>
          <w:vertAlign w:val="superscript"/>
          <w:lang w:eastAsia="sr-Latn-RS"/>
        </w:rPr>
        <w:t>4, 5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 ispitivanje koristi se za traženje mogućih mutagena i karcinogena za sisare. Mnoge supstance koje su pozitivne u ovom ispitivanju, karcinogene su za sisare. Uzajamna zavisnost između ovog ispitivanja i karcinogenosti nije besprekorna. Uzajamna zavisnost zavisi od hemijske klase. Sve je više dokaza da postoje karcinogeni koji se ne otkrivaju ovim ispitivanjem jer deluju mehanizmima koji su drugačiji od neposrednog oštećenja DNK.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Aberacija tipa hromatida jeste strukturno oštećenje hromozoma izraženo kao prekidanje pojedinih hromatida ili prekidanje i ponovno spajanje između hromatida.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Aberacija tipa hromozoma jeste strukturno oštećenje hromozoma izraženo kao prekidanje pojedinih hromatida ili prekidanje i ponovno spajanje hromatida na identičnom mestu.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Endoreduplikacija jeste proces kod kojeg nakon S faze DNK replikacije jezgro ne ulazi u mitozu, već započinje druga S faza. Rezultat procesa su hromozomi sa 4, 8, 16 i više hromatida.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"Gap" (prekid) jeste ahromatska lezija manja od širine jedne hromatide i sa minimalnom iskrivljenošću hromatida.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Mitotski indeks jeste odnos broja ćelija u metafazi i ukupnog broja ćelija koje su posmatrane u populaciji ćelija; odnosno mitotski indeks jeste mera stepena proliferacije te ćelijske populacije.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Numerička aberacija jeste promena u broju hromozoma u odnosu na normalan broj karakterističan za korišćene ćelije.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Poliploidija jeste pojava kada ćelija sadrži više od haploidnog broja hromozoma (n), osim kada sadrži diploidni broj hromozoma (tj. 3n, 4n,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Strukturna aberacija jeste promena u strukturi hromozoma koja se može otkriti mikroskopskim pregledom u metafazi ćelijske deobe, a koja se zapaža u vidu delecija i fragmentacija, translokacija ili inverzija.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Ćelijske kulture izlažu se ispitivanoj supstanci uz metaboličku aktivaciju i bez nje. Nakon izlaganja ćelijskih kultura ispitivanoj supstanci, u prethodno određenim intervalima, ćelijske kulture se tretiraju supstancama koje prekidaju metafazu (npr. Colcemid® ili kolhicin); zatim se uzimaju, boje i mikroskopski se analiziraju ćelije u metafazi, odnosno ispituju se na prisutnost hromozomskih aberacija.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Preparati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Ćelije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koristiti različite ćelijske linije, sojevi ili primarne ćelijske kulture, uključujući humane ćelije (npr. fibroblasti kineskog hrčka, humani ili drugi limfociti periferne krvi sisara).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Medijum (hranljive podloge) i uslovi kultivisanja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održavanje kultura koriste se odgovarajuće hranljive podloge i uslovi inkubacije (posude,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koncentracija, temperatura i vlažnost). Postojećim ćelijskim linijama i sojevima rutinski se proverava stabilnost u modalnom broju hromozoma i odsustvo kontaminacije mikoplazmom pri čemu se ćelijske linije i sojevi ne koriste ako su kontaminirani. Treba da budu poznati uobičajeno vreme ćelijskog ciklusa ćelije i uslovi kultivisanja koji se koriste.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Priprema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Utvrđene ćelijske linije i sojevi: ćelije se umnožavaju od "stock" kultura, zasejavaju se u podlozi pri gustini koja je takva da se u kulturama ne dostigne konfluentnost pre vremena sakupljanja i inkubiraju se na temperaturi od 37°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Limfociti: puna krv tretirana sa antikoagulansom (npr. heparinom) ili izdvojeni limfociti dobijeni od zdrave životinje dodaju se podlozi koji sadrži mitogen (npr. fitohemaglutinin) i inkubiraju se na temperaturi od 37° 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1.4.1.4. Metabolička aktivacija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Ćelije se izlažu ispitivanoj supstanci u prisustvu i u odsustvu odgovarajućeg sistema metaboličke aktivacije. Najčešće korišćeni sistem je post-mitohodrijalna frakcija sa kofaktorom (S9) pripremljena od jetre glodara tretiranih agensima koji indukuju enzime kao što su: Aroclor 1254</w:t>
      </w:r>
      <w:r w:rsidRPr="00984859">
        <w:rPr>
          <w:rFonts w:ascii="Arial" w:eastAsia="Times New Roman" w:hAnsi="Arial" w:cs="Arial"/>
          <w:b/>
          <w:bCs/>
          <w:sz w:val="15"/>
          <w:szCs w:val="15"/>
          <w:vertAlign w:val="superscript"/>
          <w:lang w:eastAsia="sr-Latn-RS"/>
        </w:rPr>
        <w:t xml:space="preserve">6, 7, 8, 9 </w:t>
      </w:r>
      <w:r w:rsidRPr="00984859">
        <w:rPr>
          <w:rFonts w:ascii="Arial" w:eastAsia="Times New Roman" w:hAnsi="Arial" w:cs="Arial"/>
          <w:lang w:eastAsia="sr-Latn-RS"/>
        </w:rPr>
        <w:t>ili smeša fenobarbitona i ß-naftoflavona</w:t>
      </w:r>
      <w:r w:rsidRPr="00984859">
        <w:rPr>
          <w:rFonts w:ascii="Arial" w:eastAsia="Times New Roman" w:hAnsi="Arial" w:cs="Arial"/>
          <w:b/>
          <w:bCs/>
          <w:sz w:val="15"/>
          <w:szCs w:val="15"/>
          <w:vertAlign w:val="superscript"/>
          <w:lang w:eastAsia="sr-Latn-RS"/>
        </w:rPr>
        <w:t>10, 11, 12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Post-mitohondrijalne frakcije obično se koriste u koncentracijama u opsegu od 1% v/v do 10% v/v u konačnoj podlozi. Uslovi metaboličke aktivacije mogu da zavise od klase hemikalije koja se ispituje. U nekim slučajevima prikladno je da se koristi više od jedne koncentracije post-mitohondrijalne frakcije.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Pojedina dostignuća, uključujući ćelijske linije dobijene genetskim inženjeringom kod kojih se javlja ekspresija specifičnih aktivirajućih enzima, mogu da omoguće potencijal za endogenu aktivaciju. Izbor korišćenih ćelijskih linija mora da bude naučno opravdan (npr. relevantnost izoenzima citohroma P450 za metabolizam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1.4.1.5. Ispitivana hemikalija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u čvrstom stanju, pre tretmana ćelija, rastvaraju se ili suspenduju u odgovarajućem rastvaraču ili vehikulumu i, ako je potrebno, razblažuju. Ispitivane supstance u tečnom stanju mogu da se dodaju neposredno u ispitivani sistem, odnosno mogu da se razblaže pre tretmana. Koriste se sveži preparati ispitivane supstance, osim ako podaci o stabilnosti pokazuju da se preparati mogu čuvati.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Vehikulum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Vehikulum je takav da hemijski ne reaguje sa ispitivanom supstancom i da bude kompatibilan sa preživljavanjem ćelija i S9 aktivnošću. Ako se koristi vehikulum koji nije opštepoznat, njegova primena mora da bude obrazložena podacima koji potvrđuju njegovu kompatibilnost. Preporučuje se, kad god je moguće, da se u prvom redu koriste vodeni vehikulumi. Ako su ispitivane supstance nestabilne u vodi, organski rastvarači koja se koriste ne smeju da sadrže vodu. Voda može da se ukloni dodavanjem molekularnog sita.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Koncentracije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Kriterijumi koji se razmatraju kod određivanja najviših koncentracija su: citotoksičnost, rastvorljivost u ispitivanom sistemu i promene pH ili osmolalnost.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Citotoksičnost se određuje sa i bez metaboličke aktivacije u glavnom eksperimentu uz korišćenje odgovarajuće indikacije za ćelijski integritet i rast, kao što je stepen združivanja, broj živih ćelija ili mitotski indeks. Korisno je da se u prethodnom eksperimentu odredi citotoksičnost i rastvorljivost.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Analizira se najmanje tri koncentracije. Koncentracije koje izazivaju citotoksičnost pokrivaju opseg od maksimalne do male toksičnosti ili bez toksičnosti; što obično znači da se koncentracije međusobno razlikuju najviše za faktor između √2 i √10. U vreme zrelosti najviša koncentracija mora da pokaže znatno smanjenje stepena združivanja, broja ćelija ili mitotskog indeksa (sve veće od 50%). Mitotski indeks je posredna mera citotoksičnih/citostatskih efekata i zavisi od vremena nakon tretmana. Mitotski indeks prihvatljiv je za suspenzije kultura kod kojih bi druge mere toksičnosti mogle da budu komplikovane i nepraktične. Podatak o kinetici ciklusa ćelije kao što je prosečno vreme generisanja (u daljem tekstu: AGT) može da se koristi kao dodatni podatak. AGT je srednja vrednost koja ne otkriva uvek postojanje subpopulacija, i čak i mali porasti prosečnog vremena generacije mogu da budu povezani sa vrlo bitnim kašnjenjem u vremenu optimalne produkcije aberacija.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supstance koje su relativno necitotoksične, najviša ispitivana koncentracija je 5 µL/mL, 5 mg/mL ili 0,01 M, zavisno od toga koja koncentracija je niža.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relativno nerastvorne supstance koje nisu toksične pri proizvodu koncentracija njenih jona nižem od proizvoda rastvorljivosti, najviša doza koja se koristi je iznad granice rastvorljivosti u konačnoj podlozi na kraju tretmana. U nekim slučajevima (npr. kad se toksičnost supstance pojavljuje samo pri proizvodu koncentracija jona višim od proizvoda rastvorljivosti), preporučuje se da se ispitivanje obavi sa više od jedne doze sa talogom. Procena rastvorljivosti na početku i na kraju tretmana može da bude od koristi, jer se rastvorljivost može menjati tokom izlaganja u sistemu ispitivanja usled prisutnosti ćelija, S9, seruma, itd. Talog može da se otkrije golim okom. Talog ne sme da utiče na ocenjivanje.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1.4.2.3. Pozitivne i negativne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Istovremene pozitivne i negativne (vehikulum) kontrole, sa i bez metaboličke aktivacije, uključene su u svaki eksperiment. Ako se koristi metabolička aktivacija, pozitivne kontrolne hemikalije su one koje zahtevaju aktivaciju, kako bi dale mutageni odgovor.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pozitivnih kontrola koristi se poznati klastogen i nivoi izloženosti kod kojih se očekuje dobijanje reproduktivnog povećanja u odnosu na kontrolu, što ukazuje na osetljivost ispitivanog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Koncentracije pozitivne kontrole treba da pokažu jasne efekte, ali da licu koje obavlja tumačenje rezultata ne bude odmah poznat identitet kodiranih slajdova.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Primeri supstanci za pozitivnu kontrolu: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335"/>
        <w:gridCol w:w="2613"/>
        <w:gridCol w:w="1092"/>
        <w:gridCol w:w="1092"/>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Uslovi metaboličke aktivacije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 br. </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Odsustvo egzogene metaboličke aktivacije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Metil metansulfonat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66-27-3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200-625-0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 metansulfonat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62-50-0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200-536-7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 nitrozourea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759-73-9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212-072-2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Mitomicin 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50-07-7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200-008-6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4-Nitrohinolin-N-oksid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56-57-5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200-281-1 </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Prisustvo egzogene metaboličke aktivacije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Benzo[a]piren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50-32-8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200-028-5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Ciklofosfamid</w:t>
            </w:r>
            <w:r w:rsidRPr="00984859">
              <w:rPr>
                <w:rFonts w:ascii="Arial" w:eastAsia="Times New Roman" w:hAnsi="Arial" w:cs="Arial"/>
                <w:lang w:eastAsia="sr-Latn-RS"/>
              </w:rPr>
              <w:br/>
              <w:t xml:space="preserve">Ciklofosfamid monohidrat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50-18-0</w:t>
            </w:r>
            <w:r w:rsidRPr="00984859">
              <w:rPr>
                <w:rFonts w:ascii="Arial" w:eastAsia="Times New Roman" w:hAnsi="Arial" w:cs="Arial"/>
                <w:lang w:eastAsia="sr-Latn-RS"/>
              </w:rPr>
              <w:br/>
              <w:t xml:space="preserve">6055-19-2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200-015-4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pozitivnu kontrolu mogu da se koriste i druge supstance. Kada je moguće, razmatra se upotreba pozitivne kontrole koja je srodne klase ispitivanoj hemikaliji.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Negativne kontrole koje se sastoje samo od vehikuluma u podlozi za tretiranje i sa kojima se postupa na isti način kao i sa tretiranim kulturama, uključene su za svako vreme sakupljanja. Koriste se i netretirane kontrole, osim ako postoje podaci kontrole iz ranijih studija koji pokazuju da odabrani rastvarač ne izaziva nikakve štetne niti mutagene efekte.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1.4.3.1. Tretman ispitivanom supstancom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se tokom proliferacije tretiraju ispitivanom supstancom u prisustvu ili odsustvu sistema metaboličke aktivacije. Obrada limfocita počinje oko 48 sati nakon stimulacije mitoze.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svaku koncentraciju obično se koriste kulture u duplikatu, a strogo se preporučuju za negativne kontrolne kulture odnosno kontrolne kulture vehikuluma. Kada na osnovu postojećih podataka mogu da se pokažu minimalne promene između kultura u duplikatu</w:t>
      </w:r>
      <w:r w:rsidRPr="00984859">
        <w:rPr>
          <w:rFonts w:ascii="Arial" w:eastAsia="Times New Roman" w:hAnsi="Arial" w:cs="Arial"/>
          <w:b/>
          <w:bCs/>
          <w:sz w:val="15"/>
          <w:szCs w:val="15"/>
          <w:vertAlign w:val="superscript"/>
          <w:lang w:eastAsia="sr-Latn-RS"/>
        </w:rPr>
        <w:t xml:space="preserve">13, 14 </w:t>
      </w:r>
      <w:r w:rsidRPr="00984859">
        <w:rPr>
          <w:rFonts w:ascii="Arial" w:eastAsia="Times New Roman" w:hAnsi="Arial" w:cs="Arial"/>
          <w:lang w:eastAsia="sr-Latn-RS"/>
        </w:rPr>
        <w:t xml:space="preserve">prihvatljivo je korišćenje jedne kulture za svaku koncentraciju.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Gasovite ili isparljive supstance se ispituju odgovarajućim metodama, npr. korišćenjem hermetički zatvorenih posuda za kultivisanje</w:t>
      </w:r>
      <w:r w:rsidRPr="00984859">
        <w:rPr>
          <w:rFonts w:ascii="Arial" w:eastAsia="Times New Roman" w:hAnsi="Arial" w:cs="Arial"/>
          <w:b/>
          <w:bCs/>
          <w:sz w:val="15"/>
          <w:szCs w:val="15"/>
          <w:vertAlign w:val="superscript"/>
          <w:lang w:eastAsia="sr-Latn-RS"/>
        </w:rPr>
        <w:t>15, 16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1.4.3.3. Vreme sakupljanja kulture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prvom eksperimentu ćelije se izlažu ispitivanoj supstanci 3 do 6 sati sa i bez metaboličke aktivacije, a uzorci se uzimaju posle približno 1,5 dužine normalnog ćelijskog ciklusa nakon početka tretmana</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Ako ovaj protokol da negativne rezultate i sa i bez aktivacije, obavlja se dodatni eksperiment bez aktivacije, sa neprekidnim tretmanom do uzorkovanja posle približno 1,5 dužine normalnog ćelijskog ciklusa. Određene hemikalije mogu se lakše otkriti kod vremena tretmana/uzorkovanja koje je duže od 1,5 dužine ciklusa. Negativni rezultati sa metaboličkom aktivacijom moraju da se potvrde u zavisnosti od slučaja. U slučajevima kada se potvrda negativnih rezultata ne smatra potrebnom, daje se obrazloženje.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1.4.3.4. Priprema hromozoma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Ćelijske kulture tretiraju se Colcemid®-om ili kolhicinom obično jedan do tri sata pre sakupljanja. Svaka ćelijska kultura sakuplja se i obrađuje posebno za pripremu hromozoma. Priprema hromozoma obuhvata: tretiranje ćelija hipotoničnim rastvorom, fiksaciju i bojenje.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1.4.3.5.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 slajdovi, uključujući one pozitivnih i negativnih kontrola, nezavisno se kodiraju pre mikroskopske analize. Postupci fiksacije često dovode do prekida proporcije metafaznih ćelija sa gubitkom hromozoma, pa procenjivane ćelije sadrže broj centromera koji je jednak modalnom broju ± 2 za sve vrste ćelija. Najmanje 200 dobro raspoređenih metafaza, podjednako podeljenih između duplikata, mora da se uoči po koncentraciji i kontroli. Taj broj može da bude i manji ako se uoči veliki broj aberacija.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je svrha ispitivanja otkrivanje hromozomskih aberacija, važno je zabeležiti i poliploidiju i endoreduplikaciju, ukoliko se uoče.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Eksperimentalna jedinica je ćelija. Zbog ovoga se procenjuje procenat ćelija sa strukturnim hromozomskim aberacijama. Strukturno različite vrste hromozomskih aberacija upisuju se sa svojim brojevima i učestalostima za eksperimentalne i kontrolne kulture. Oštećenja se upisuju odvojeno i navode u izveštaju, ali generalno nisu uključena u ukupnu učestalost aberacija.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Istovremene mere citotoksičnosti za sve tretirane i negativne kontrolne kulture u glavnim ispitivanjima aberacija, takođe se beleže.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Navode se podaci o svakoj pojedinačnoj kulturi. Svi podaci se navode sažeto u tabeli.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postoje zahtevi za potvrdu jasnog pozitivnog odgovora. Dvosmisleni rezultati se razjašnjavaju daljim ispitivanjem, ako je moguće modifikacijama eksperimentalnih uslova. Potreba za potvrđivanjem negativnih rezultata razmotrena je odeljku 1.4.3.3. ove metode. Za izvođenje daljih razmatra se modifikacija parametara ispitivanja za proširenje opsega procenjenih uslova. Parametri ispitivanja se mogu modifikovati obuhvataju opseg koncentracije i uslove metaboličke aktivacije.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Postoji nekoliko kriterijuma za određivanje pozitivnog rezultata, kao što je povećanje zavisno od koncentracije ili reproducibilno povećanje broja ćelija sa hromozomskim aberacijama. Prvo se razmatra biološka relevantnost rezultata. Statističke metode mogu da se koriste kao pomoć u proceni rezultata ispitivanja</w:t>
      </w:r>
      <w:r w:rsidRPr="00984859">
        <w:rPr>
          <w:rFonts w:ascii="Arial" w:eastAsia="Times New Roman" w:hAnsi="Arial" w:cs="Arial"/>
          <w:b/>
          <w:bCs/>
          <w:sz w:val="15"/>
          <w:szCs w:val="15"/>
          <w:vertAlign w:val="superscript"/>
          <w:lang w:eastAsia="sr-Latn-RS"/>
        </w:rPr>
        <w:t>3, 13</w:t>
      </w:r>
      <w:r w:rsidRPr="00984859">
        <w:rPr>
          <w:rFonts w:ascii="Arial" w:eastAsia="Times New Roman" w:hAnsi="Arial" w:cs="Arial"/>
          <w:lang w:eastAsia="sr-Latn-RS"/>
        </w:rPr>
        <w:t xml:space="preserve">. Statistički značaj ne može da bude jedini faktor koji određuje pozitivni odgovor.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Povećanje broja poliploidnih ćelija može da ukaže na to da ispitivana supstanca ima potencijal da inhibira procese mitoze i izazove numeričke hromozomske aberacije. Povećanje broja ćelija sa endoreduplikovanim hromozomima može da ukaže na to da ispitivana supstanca ima potencijal da inhibira progresiju ćelijskog ciklusa</w:t>
      </w:r>
      <w:r w:rsidRPr="00984859">
        <w:rPr>
          <w:rFonts w:ascii="Arial" w:eastAsia="Times New Roman" w:hAnsi="Arial" w:cs="Arial"/>
          <w:b/>
          <w:bCs/>
          <w:sz w:val="15"/>
          <w:szCs w:val="15"/>
          <w:vertAlign w:val="superscript"/>
          <w:lang w:eastAsia="sr-Latn-RS"/>
        </w:rPr>
        <w:t>17, 18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za koju rezultati ispitivanja ne zadovoljavaju gore navedene kriterijume smatra se nemutagenom u ovom sistemu.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većina eksperimenata daje jasne pozitivne ili negativne rezultate, u retkim slučajevima dobijeni podaci ne omogućavaju donošenje konačne procene aktivnosti ispitivane supstance. Rezultati mogu da ostanu dvosmisleni ili nejasni bez obzira na to koliko puta je eksperiment ponovljen.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Pozitivni rezultati iz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ispitivanja aberacije hromozoma ukazuju da ispitivana supstanca izaziva strukturne aberacije hromozoma u kulturi somatskih ćelija sisara. Negativni rezultati ukazuju da, pod ispitivanim uslovima, ispitivana supstanca ne izaziva aberaciju hromozoma u kulturi somatskih ćelija sisara.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obrazloženje za izbor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i stabilnost ispitivane supstance u vehikulumu, ako su poznati.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Ćelijama: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i poreklo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kariotipne karakteristike i podesnost korišćene vrste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odsustvo mikoplazme,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podatak o dužini ćelijskog ciklusa;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pol davaoca krvi, puna krv ili korišćeni odvojeni limfociti, mitogen;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prolaza,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za održavanje kulture ćelije,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modalni broj hromozoma.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identitet supstance koja je korišćena za zaustavljanje metafaze, njena koncentracija i trajanje izloženosti ćelije;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argumentacija za izbor koncentracija i broj kultura, uključujući npr. podatke o citotoksičnosti, ograničenju rastvorljivosti, ako su dostupni;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sastav podloge, koncentracija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zapremina vehikuluma i dodate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trajanje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gustina ćelija kod zasejavanja,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i sastav sistema metaboličke aktivacije, uključujući kriterijume prihvatljivosti;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pozitivne i negativne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pripreme slajdova;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za procenu aberacije;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broj analiziranih metafaza;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za merenje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za smatranje studija pozitivnim, negativnim ili dvosmislenim.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znakovi toksičnosti, tj. stepen konfluencije, podaci o ćelijskom ciklusu, broj izbrojanih ćelija, mitotski indeks;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znakovi taloženja;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pH i osmolalnosti podloge za tretiranje, ako je određeno;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definicija za aberacije, uključujući oštećenja;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ćelija sa hromozomskim aberacijama i vrsta aberacija hromozoma, za svaku tretiranu i kontrolnu kulturu posebno;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promene u ploidiji, ako se vide;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doza - odgovor, kada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eventualne statističke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istovremenoj negativnoj (vehikulum) i pozitivnoj kontroli;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iz literature o negativnoj (vehikulum) i pozitivnoj kontroli sa opsezima, srednjim vrednostima i standardnim devijacijama.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Evans, H. J., (1976) Cytological Methods for Detecting Chemical Mutagens. In: Chemical mutagens, Principles and Methods for their Detection, Vol. 4, Hollaender, A. (ed) Plenum Press, New York and London, p. 1-29.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Ishidate, M. Jr. and Sofuni, T., (1985). The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Chromosomal Aberration Test Using Chinese Hamster Lung (CHL) Fibroblast Cells in Culture. In: Progress in Mutation Research, Vol. 5, Ashby, J. et al., (Eds) Elsevier Science Publishers, Amsterdam-New York-Oxford, p. 427-432.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Galloway, S.M., Armstrong, M.J., Reuben, C., Colman, S., Brown, B., Cannon, C., Bloom, A.D., Nakamura, F., Ahmed, M., Duk, S., Rimpo, J., Margolin, G.H., Resnick, MA, Anderson, G. and Zeiger, E., (1978). Chromosome aberration and sister chromatic exchanges in Chinese hamster ovary cells: Evaluation of 108 chemicals. Environs. Molec. Mutagen 10 (suppl. 10), p. 1-175.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4. Scott, D., Galloway, S.M., Marshall, R.R., Ishidate, M.Jr., Brusick, D., Ashby, J. and Myhr, B.C., (1991) Genotoxicity under Extreme Culture Conditions. A report from ICPEMC Task Group 9. Mutation Res, 257, p. 147-204.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Morita, T., Nagaki, T., Fukuda, I. and Okumura, K., (1992). Clastogenicity of low pH to Various Cultured Mammalian Cells. Mutation Res., 268, p. 297-305.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Ames, B.N., McCann, J. and Yamasaki, E., (1975). Methods for Detecting Carcinogens and Mutagens with the Salmonella/Mammalian Microsome Mutagenicity Test. Mutation Res., 31, p. 347-364.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Maron, D.M. and Ames, B.N., (1983) Revised Methods for the Salmonella Mutagenicity Test. Mutation Res., 113, p. 173-215.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Natarajan, A.T., Tates, A.D., van Buul, P.P.W., Meijers, M. and de Vogel, N., (1976) Cytogenetic Effects of Mutagen/Carcinogens after Activation in a Microsomal System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 Induction of Chromosome Aberrations and Sister Chromatid Exchange by Diethylnitrosamine (DEN) and Dimethylnitrosamine (DMN) in CHO Cells in the Presence of Rat-Liver Microsomes. Mutation Res., 37, p. 83-90.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Matsuoka, A., Hayashi, M. and Ishidate, M. Jr., (1979) Chromosomal Aberration Tests on 29 Chemicals Combined with S9 Mix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Mutation Res., 66, p. 277-290.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Elliot, B.M., Combes, R.D., Elcombe, C.R., Gatehouse, D.G., Gibson, G.G., Mackay, J.M. and Wolf, R.C., (1992). Report of UK Environmental Mutagen Society Working Party. Alternatives to Aroclor 1254-induced S9 in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Genotoxicity Assays. Mutagenesis, 7, p. 175-177.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Matsushima, T., Sawamura, M., Hara, K. and Sugimura, T., (1976) A Safe Substitute for Polychlorinated Biphenyls as an Inducer of Metabolic Activation Systems. In: de Serres, F.J., Fouts, J.R., Bend, J.R. and Philpot, R.M. (eds)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Metabolic Activation in Mutagenesis Testing, Elsevier, North-Holland, p. 85-88.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Galloway, S.M., Aardema, M.J., Ishidate, M.Jr., Ivett, J.L., Kirkland, D.J., Morita, T., Mosesso, P., Sofuni, T., (1994) Report from Working Group on in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Tests for Chromosomal Aberrations. Mutation Res., 312, p. 241-261.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Richardson, C., Williams, D.A., Allen, J.A., Amphlett, G., Chanter, D.O. and Phillips, B., (1989) Analysis of Data from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Cytogenetic Assays. In: Statistical Evaluation of Mutagenicity Test Data. Kirkland, D.J., (ed) Cambridge University Press, Cambridge, p. 141-154.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Soper, K.A. and Galloway, S.M., (1994) Replicate Flasks are not Necessary for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Chromosome Aberration Assays in CHO Cells. Mutation Res., 312, p. 139-149.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Krahn, D.F., Barsky, F.C. and McCooey, K.T., (1982) CHO/HGPRT Mutation Assay: Evaluation of Gases and Volatile Liquids. In: Tice, R.R., Costa, D.L., Schaich, K.M. (eds). Genotoxic Effects of Airborne Agents. New York, Plenum, p. 91-103.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Zamora, P.O., Benson, J.M., Li, A.P. and Brooks, A.L., (1983) Evaluation of an Exposure System Using Cells Grown on Collagen Gels for Detecting Highly Volatile Mutagens in the CHO/HGPRT Mutation Assay. Environmental Mutagenesis, 5, p. 795-801.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17. Locke-Huhle, C., (1983) Endoreduplication in Chinese hamster cells during alpha-radiation induced G2 arrest. Mutation Res., 119, p. 403-413.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Huang, Y., Change, C. and Trosko, J.E., (1983) Aphidicolin-induced endoreduplication in Chinese hamster cells. Cancer Res., 43, p. 1362-1364.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B.11. MUTAGENOST - </w:t>
      </w:r>
      <w:r w:rsidRPr="00984859">
        <w:rPr>
          <w:rFonts w:ascii="Arial" w:eastAsia="Times New Roman" w:hAnsi="Arial" w:cs="Arial"/>
          <w:b/>
          <w:bCs/>
          <w:i/>
          <w:iCs/>
          <w:lang w:eastAsia="sr-Latn-RS"/>
        </w:rPr>
        <w:t xml:space="preserve">IN VIVO </w:t>
      </w:r>
      <w:r w:rsidRPr="00984859">
        <w:rPr>
          <w:rFonts w:ascii="Arial" w:eastAsia="Times New Roman" w:hAnsi="Arial" w:cs="Arial"/>
          <w:b/>
          <w:bCs/>
          <w:lang w:eastAsia="sr-Latn-RS"/>
        </w:rPr>
        <w:t xml:space="preserve">ISPITIVANJE HROMOZOMSKIH ABERACIJA NA KOSTNOJ SRŽI SISARA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zasniva se na Uputstvu za ispitivanje OECD 475, Ispitivanje hromozomskih aberacija u kostnoj srži sisara (1997).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hromozomskih aberacija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kod sisara koristi se za otkrivanje strukturnih hromozomskih aberacija koje je ispitivana supstanca izazvala u ćelijama kostne srži životinja, obično glodara</w:t>
      </w:r>
      <w:r w:rsidRPr="00984859">
        <w:rPr>
          <w:rFonts w:ascii="Arial" w:eastAsia="Times New Roman" w:hAnsi="Arial" w:cs="Arial"/>
          <w:b/>
          <w:bCs/>
          <w:sz w:val="15"/>
          <w:szCs w:val="15"/>
          <w:vertAlign w:val="superscript"/>
          <w:lang w:eastAsia="sr-Latn-RS"/>
        </w:rPr>
        <w:t>1, 2, 3, 4</w:t>
      </w:r>
      <w:r w:rsidRPr="00984859">
        <w:rPr>
          <w:rFonts w:ascii="Arial" w:eastAsia="Times New Roman" w:hAnsi="Arial" w:cs="Arial"/>
          <w:lang w:eastAsia="sr-Latn-RS"/>
        </w:rPr>
        <w:t xml:space="preserve">. Strukturne hromozomske aberacije mogu biti dvojake: hromozomske i hromatidne. Povećanje poliploidnosti može da ukaže na to da hemikalija ima potencijal da izazove numeričke aberacije. Većina hemijskih mutagena izaziva aberacije hromatidnog tipa, ali dolazi i do aberacija hromozomskog tipa. Hromozomske mutacije i sa njima povezane pojave uzrok su mnogih genetskih bolesti kod ljudi i postoje značajni dokazi da su hromozomske mutacije i sa njima povezane pojave, koje izazivaju promene onkogena i tumor-supresorskih gena, povezane sa rakom kod ljudi i u eksperimentalnim sistemima.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ovoj metodi ispitivanja obično se koriste glodari. Kostna srž predstavlja ciljno tkivo ovog ispitivanja, s obzirom da je reč o visoko prokrvljenom tkivu koje sadrži populaciju ćelija koje brzo prolaze kroz cikluse, a koje je moguće lako izolovati i obraditi. Druge životinjske vrste i ciljna tkiva nisu predmet ove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Navedeno ispitivanje hromozomskih aberacija posebno je relevantno za procenu opasnosti od mutagenog dejstva jer omogućava da se uzme u obzir metabolizam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farmakokinetičke i procese reparacije DNK, iako se isti mogu razlikovati kod različitih vrsta i tkiva.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korisno je i za dalje istraživanje mutagenih efekata otkrivenih prilikom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Ovaj oblik ispitivanja ne odgovara ukoliko se pojave dokazi da ispitivana supstanca ili reaktivni metabolit neće dospeti do ciljnog tkiva.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Aberacija tipa hromatida jeste strukturno oštećenje hromozoma izraženo kao prekidanje pojedinih hromatida ili prekidanje i ponovno spajanje između hromatida.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Aberacija tipa hromozoma jeste strukturno oštećenje hromozoma izraženo kao prekidanje pojedinih hromatida ili prekidanje i ponovno spajanje hromatida na identičnom mestu.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Endoreduplikacija jeste proces kod koga nakon S faze replikacije DNK jedro ne ulazi u mitozu nego započinje druga S faza. Rezultat su hromozomi sa 4, 8, 16 i više hromatida.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"Gap" (prekid) jeste ahromatska lezija manja od širine jedne hromatide i sa minimalnom iskrivljenosti hromatida.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Numerička aberacija jeste promena u broju hromozoma u odnosu na normalan broj karakterističan za ćelije koje se koriste.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Poliploidija jeste pojava kada ćelija sadrži više od haploidnog broja hromozoma (n), osim kada sadrži diploidni broj (tj. 3n, 4n,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Strukturna aberacija jeste promena u strukturi hromozoma koja se može otkriti mikroskopskim pregledom u metafazi ćelijske deobe, a koja se zapaža u vidu delecija i fragmentacija, translokacija ili inverzija.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odgovarajućim putem izlažu ispitivanoj supstanci i lišavaju života na human način u određeno vreme nakon tretiranja. Pre lišavanja života na human način, životinje se tretiraju agensom za zaustavljanje metafaze (npr. kolhicinom ili Colcemid®-om). Nakon toga, pripreme se preparati hromozoma ćelija kostne srži i analiziraju se ćelije u metafazi sa ciljem utvrđivanja hromozomskih aberacija.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koriste pacovi, miševi i kineski hrčci. Mogu se koristiti i druge odgovarajuće vrste sisara. Koriste se mlade, zdrave, odrasle životinje sojeva koji se uobičajeno upotrebljavaju. Prilikom započinjanja istraživanja odstupanje u telesnoj masi životinja treba da bude minimalno i da ne prelazi ± 20% prosečne telesne mase za svaki pol.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Uslovi smeštaja i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Primenjuju se opšti uslovi koji su navedeni u Opštem uvodu, iako se nastoji da se vlažnost održi na nivou od 50% do 60%.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Zdrave odrasle životinje nasumično se grupišu u kontrolnu i tretirane grupe. Kavezi su takvi da mogući efekti na ispitivanje budu minimalni. Životinje se pojedinačno označavaju. Životinje se aklimatizuju na laboratorijske uslove najmanje pet dana pre početka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1.4.1.4.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tretiranja životinja ispitivanom supstancom čvrste ispitivane supstance se rastvaraju ili suspenduju u odgovarajućim vehikulumima i, ukoliko je potrebno, razblažuju. Tečne ispitivane supstance mogu direktno da se primene ili da se razblaže pre primene. Sveži preparati ispitivane supstance se odmah upotrebljavaju, osim ukoliko podaci o stabilnosti ne pokazuju da je čuvanje prihvatljivo.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1.4.2.1. Vehikulum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Vehikulum ne sme da izaziva toksične efekte pri doznim nivoima koji se primenjuju i ne sme da postoji sumnja da će hemijski da reaguje sa ispitivanom supstancom. Ukoliko se primenjuju manje poznati vehikulumi, njihovo uključivanje u ispitivanje se obrazlaže podacima koji ukazuju na njihovu kompatibilnost. Kad god je moguće, preporučuje se primena vodenog rastvora.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Istovremene pozitivne i negativne (vehikulum) kontrole se uključuju u svako ispitivanje i za svaki pol. Osim primene ispitivane supstance, sa životinjama u kontrolnim grupama se postupa na isti način kao i sa životinjama u tretiranim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Pozitivne kontrole proizvode strukturne aberacije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pri nivoima izloženosti za koje se očekuje da će dati povećanje u odnosu na pozadinu koja može da se detektuje. Pozitivne kontrolne doze biraju se tako da efekti budu jasni, ali da licu koje očitava rezultate odmah ne otkriju identitet šifriranih mikroskopskih preparata (slajdova). Dozvoljeno je da se supstanca koja je pozitivna kontrola primeni putem koji je različit od puta primene ispitivane supstance, i da se uzorkuje samo jednom. Može se uzeti u obzir primena pozitivnih kontrola koje pripadaju istoj hemijskoj klasi kao i ispitivana hemikalija. Primeri supstanci koje se koriste kao pozitivne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791"/>
        <w:gridCol w:w="2042"/>
        <w:gridCol w:w="229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 metansulfonat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62-50-0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200-536-7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 nitrozourea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759-73-9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212-072-2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mitomicin 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50-07-7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200-008-6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ciklofosfamid</w:t>
            </w:r>
            <w:r w:rsidRPr="00984859">
              <w:rPr>
                <w:rFonts w:ascii="Arial" w:eastAsia="Times New Roman" w:hAnsi="Arial" w:cs="Arial"/>
                <w:lang w:eastAsia="sr-Latn-RS"/>
              </w:rPr>
              <w:br/>
              <w:t xml:space="preserve">ciklofosfamid monohidrat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50-18-0</w:t>
            </w:r>
            <w:r w:rsidRPr="00984859">
              <w:rPr>
                <w:rFonts w:ascii="Arial" w:eastAsia="Times New Roman" w:hAnsi="Arial" w:cs="Arial"/>
                <w:lang w:eastAsia="sr-Latn-RS"/>
              </w:rPr>
              <w:br/>
              <w:t xml:space="preserve">6055-19-2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200-015-4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trietilenmelamin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51-18-3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200-083-5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Negativne kontrole, tretirane samo vehikulumom, sa kojima se inače postupa na isti način kao sa grupama obuhvaćenim tretmanom, su obuhvaćene svakim uzorkovanjem, osim ukoliko su dostupni podaci o varijabilnosti u okviru vrste i u frekvenciji ćelija sa hromozomskim aberacijama. Ukoliko se na negativne kontrole primenjuje jedno uzorkovanje, najprimerenije je vreme prvog uzorkovanja. Istovremeno se koriste i netretirane kontrole (kontrolni uzroci), osim ukoliko postoje podaci o kontrolama iz ranijih studija ili objavljeni kontrolni podaci koji dokazuju da odabran vehikulum ne izaziva štetne ili mutagene efekte.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Broj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Svaka tretirana i kontrolna grupa obuhvata najmanje pet životinja istog pola na kojima je moguće obaviti analizu. Ukoliko postoje podaci istraživanja obavljenog na istoj vrsti i istim putem izlaganja koji dokazuju da ne postoje značajnije razlike u toksičnosti među polovima, dovoljno je obaviti ispitivanje kod samo jednog pola. U slučajevima u kojima izlaganje ljudi hemikalijama može da bude specifično za određeni pol, kao na primer kod nekih farmaceutskih agensa, ispitivanje se obavlja na životinjama odgovarajućeg pola.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1.5.2. Plan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primena ispitivane supstance u okviru jednog tretmana. Ispitivane supstance je moguće davati u obliku podeljene doze, tj. dva tretmana tokom istog dana u razmaku od najviše nekoliko sati, kako bi se olakšalo davanje velike zapremine ispitivane supstance. Ostali režimi tretiranja naučno se opravdavaju.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Uzorci se uzimaju u dva navrata nakon tretmana tokom jednog dana. Kod glodara prvo vreme uzorkovanja je 1,5 dužina redovnog ćelijskog ciklusa (koji iznosi 12 do 18 sati) nakon tretmana. S obzirom da vreme koje je potrebno za unos i metabolizam ispitivane supstance, kao i za njen efekat na dinamiku ćelijskog ciklusa, može da utiče na optimalno vreme potrebno za otkrivanje hromozomske aberacije, preporučuje se i kasnije uzimanje uzorka: 24 sata nakon prvog uzorkovanja. Ukoliko se primenjuju režimi tretiranja ispitivanom supstancom duži od jednog dana, nakon poslednjeg tretmana obavlja se jedno uzorkovanje od oko 1,5 dužine normalnog ćelijskog ciklusa.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lišavanja života na human način životinjama se intraperitonealno ubrizgava odgovarajuća doza agensa za zaustavljanje metafaze (npr. Colcemid® ili kolhicin). Životinjama se nakon toga uzimaju uzorci u odgovarajućim intervalima. Za miševe navedeni interval iznosi otprilike 3 do 5 sati, a za kineske hrčke interval je približno 4 do 5 sati. Ćelije se izoluju iz kostne srži i analiziraju radi otkrivanja hromozomskih aberacija.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Ukoliko se ispitivanje obavlja sa ciljem utvrđivanja opsega doza zbog toga što nema dostupnih podataka, navedeno ispitivanje se obavlja u istoj laboratoriji, uz korišćenje iste vrste, soja, pola i režima tretiranja kao i u glavnom ispitivanju</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Ukoliko postoji toksičnost, za prvo uzorkovanje koriste se tri dozna nivoa. Navedene doze obuhvataju opseg od maksimalne do niske toksičnosti ili nivo bez toksičnosti. Prilikom narednog uzorkovanja potrebno je koristiti samo najvišu dozu. Najviša doza se definiše kao doza usled koje nastaju takvi znakovi toksičnosti da bi viša doza prouzrokovala uginjavanje životinja. Supstance specifične biološke aktivnosti u malim netoksičnim dozama (poput hormona i mitogena) mogu biti izuzetak za primenu kriterijuma za izbor doza i tada se doze procenjuju u zavisnosti od slučaja. Najviša doza se definiše i kao doza koja dovodi do nekih indikacija toksičnosti u kostnoj srži (npr. smanjenje mitotskog indeksa veće od 50%).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u ispitivanju sa jednom dozom od najmanje 2.000 mg/kg TM u jednokratnom tretmanu ili u dva tretmana tokom istog dana ne nastanu nikakvi primetni toksični efekti i ukoliko se na osnovu podataka o strukturno srodnim supstancama ne očekuje genotoksičnost, nije potrebno primeniti kompletno ispitivanje primenom tri dozna nivoa. Za ispitivanja u trajanju do 14 dana granična doza iznosi 2.000 mg/kg TM/dan, a za tretmane koji traju duže od 14 dana 1.000 mg/kg TM/dan. Očekivana izloženost ljudi može da ukaže na potrebu za primenom više doze u ispitivanju granične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1.5.5.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obično se primenjuje intubacijom i to korišćenjem želudačne sonde ili odgovarajuće intubacione kanile ili intraperitonealnom injekcijom. Mogu se primeniti i drugi putevi izlaganja uz navođenje obrazloženja za tu primenu. Maksimalna zapremina tečnosti koju je moguće dati putem sonde ili injekcijom u jednom navratu zavisi od veličine eksperimentalne životinje. Zapremina ne prelazi 2 mL/100 g TM. Upotrebu većih zapremina potrebno je obrazložiti. Izuzev u slučaju iritativnih i korozivnih supstanci kod kojih će se </w:t>
      </w:r>
      <w:r w:rsidRPr="00984859">
        <w:rPr>
          <w:rFonts w:ascii="Arial" w:eastAsia="Times New Roman" w:hAnsi="Arial" w:cs="Arial"/>
          <w:lang w:eastAsia="sr-Latn-RS"/>
        </w:rPr>
        <w:lastRenderedPageBreak/>
        <w:t xml:space="preserve">normalno ispoljiti pogoršani efekti pri višim koncentracijama, odstupanja u zapremini treba da budu minimalna podešavanjem koncentracije, kako bi se obezbedila konstantna zapremina pri svim nivoima doza.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1.5.6. Hromozomski preparat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nakon što se životinja liši života na human način, uzima se kostna srž koja se izlaže hipotoničnom rastvoru i fiksira. Ćelije se nanesu na mikroskopske pločice i oboje.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1.5.7.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mera citotoksičnosti određuje se mitotski indeks u najmanje 1.000 ćelija po životinji za sve tretirane životinje (uključujući pozitivne kontrole) i netretirane životinje negativne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Analizi se podvrgava najmanje 100 ćelija svake životinje. Navedeni broj se može smanjiti ukoliko se uoči veliki broj aberacija. Sve preparate (slajdove), uključujući one pozitivne i negativne kontrole, potrebno je šifrovati pre mikroskopske analize. S obzirom da postupci izrade preparata često imaju za posledicu promenu proporcije metafaza uz gubitak hromozoma, ćelije koje se broje sadrže broj centromera jednak broju 2n ± 2.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koji se odnose na pojedine životinje navode se tabelarno. Životinja predstavlja eksperimentalnu jedinicu. Za svaku životinju potrebno je odrediti broj ćelija koje se procenjuju, broj aberacija po ćeliji i procenat ćelija sa strukturnim hromozomskim aberacijama. Navode se različite vrste strukturnih hromozomskih aberacija zajedno sa svojim brojevima i frekvencijama, a u odnosu na tretirane i kontrolne grupe. Hromozomski prekidi navode se odvojeno, ali se generalno ne uključuju u ukupnu učestalost aberacija. Ukoliko ne postoje dokazi o razlikama među polovima, podatke dobijene ispitivanjem oba pola moguće je sjediniti radi statističke analize.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Postoji nekoliko kriterijuma za utvrđivanje pozitivnog rezultata, kao što je dozno zavisno povećanje relativnog broja ćelija sa hromozomskim aberacijama ili jasno povećanje broja ćelija sa aberacijama u grupi koja je primila jednu dozu, prilikom jedinog vremena uzorkovanja. Prvenstveno se uzima u obzir biološki značaj rezultata. Statističke metode se mogu primeniti kao pomoćno sredstvo prilikom vrednovanja rezultata ispitivanja</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Statistički značaj ne treba da bude jedini faktor za utvrđivanje pozitivne reakcije. Dvosmisleni rezultati se pojašnjavaju daljim ispitivanjem, najbolje modifikovanjem eksperimentalnih uslova.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Povećanje poliploidnosti može da ukaže na to da ispitivana supstanca ima potencijal da izazove numeričke hromozomske aberacije. Povećanje endoreduplikacije (endomitoze) može da ukaže na to da ispitivana supstanca ima potencijal da inhibira progresiju ćelijskog ciklusa</w:t>
      </w:r>
      <w:r w:rsidRPr="00984859">
        <w:rPr>
          <w:rFonts w:ascii="Arial" w:eastAsia="Times New Roman" w:hAnsi="Arial" w:cs="Arial"/>
          <w:b/>
          <w:bCs/>
          <w:sz w:val="15"/>
          <w:szCs w:val="15"/>
          <w:vertAlign w:val="superscript"/>
          <w:lang w:eastAsia="sr-Latn-RS"/>
        </w:rPr>
        <w:t>7, 8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za koju dobijeni rezultati ne zadovoljavaju gore navedene kriterijume, smatra se nemutagenom u ovom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Iako većina eksperimenata daje jasno pozitivne ili negativne rezultate, u retkim slučajevima utvrđeni podaci ne omogućavaju donošenje konačne odluke o delovanju ispitivane supstance. Rezultati mogu ostati dvosmisleni ili pod znakom pitanja, bez obzira na broj obavljenih eksperimenata.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Pozitivni rezultati ispitivanja hromozomskih aberacija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ukazuju na to da supstanca uzrokuje hromozomske aberacije u kostnoj srži ispitivane životinjske vrste. Negativni rezultati ukazuju na to da, pod navedenim eksperimentalnim uslovima, ispitivana supstanca ne izaziva aberacije u kostnoj srži ispitivane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razmotriti verovatnoću da ispitivana supstanca ili njeni metaboliti dospeju u krvotok ili, konkretno, do ciljnog tkiva (npr. sistemska toksičnost).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opravdanost izbora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i stabilnost ispitivane supstance u vehikulumu, ukoliko su poznati.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izvor/poreklo, smeštaj,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pojedinačna telesna masa životinja na početku ispitivanja, uključujući raspon telesne mase, srednju vrednost i standardnu devijaciju za svaku grupu.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pozitivna i negativna (vehikulum)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ispitivanja za utvrđivanje raspona doza, ukoliko je obavljeno;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izbor doznih nivoa;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pripreme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primene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puta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za potvrdu činjenice da je ispitivana supstanca dospela u sistemski krvotok ili do ciljnog tkiva, ukoliko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 preračunavanja koncentracije ispitivane supstance u hrani/vodi za piće (ppm) u dozu (mg/kg TM/dan), ukoliko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detalji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rasporeda tretmana i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za merenje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identitet supstance koja zaustavlja metafazu, njena koncentracija i trajanje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pripremanja mikroskopskih preparata;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za prebrojavanje aberacija;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analiziranih ćelija po životinji;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za proglašavanje ispitivanja pozitivnim, negativnim ili dvosmislenim.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znakovi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mitotski indeks;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i broj aberacija, pojedinačno navedenih za svaku životinju;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ukupan broj aberacija po grupi, srednja vrednost i standardna devijacija;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ćelija sa aberacijama po grupi, srednja vrednost i standardna devijacija;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promene u ploidiji, ukoliko su uočene;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doza - odgovor, gde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statističke analize, ukoliko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istovremene negativne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negativni kontrolni podaci iz literature sa opsezima, srednjim vrednostima i standardnim devijacijama;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istovremeni pozitivni kontrolni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Adler, I.D., (1984) Cytogenetic Tests in Mammals. In: Mutagenicity Testing: a Practical Approach. S. Venitt and J.M. Parry (Eds). IRL Press, Oxford, Washington D.C., p. 275-306.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 Preston, R.J., Dean, B.J., Galloway, S., Holden, H., McFee, A.F. and Shelby, M. (1987). Mammalian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Cytogenetic Assays: Analysis of Chromosome Aberrations in Bone Marrow Cells. Mutation Res., 189, p. 157-165.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Richold, M., Chandley, A., Ashby, J., Gatehouse, D.G., Bootman, J. and Henderson, L., (1990)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Cytogenetic Assays. In: D.J. Kirkland (Ed.) Basic Mutagenicity Tests, UKEMS Recommended Procedures. UKEMS Sub-Committee on Guidelines for Mutagenicity Testing. Report. Part I revised. Cambridge University Press, Cambridge, New York, Port Chester, Melbourne, Sydney, p. 115-141.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Tice, R.R., Hayashi, M., MacGregor, J.T., Anderson, D., Blakey, D.H., Holden, H.E., Kirsch-Volders, M., Oleson Jr., F.B., Pacchierotti, F., Preston, R.J., Romagna, F., Shimada, H., Sutou, S. and Vannier, B., (1994) Report from the Working Group on the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Mammalian Bone Marrow Chromosomal Aberration Test. Mutation Res., 312, p. 305-312.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Fielder, R.J., Allen, J.A., Boobis, A.R., Botham, P.A., Doe, J., Esdaile, D.J., Gatehouse, D.G., Hodson-Walker, G., Morton, D.B., Kirkland, D.J. and Richold, M. (1992). Report of British Toxicology Society/UK Environmental Mutagen Society Working Group: Dose setting in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Mutagenicity Assays. Mutagenesis, 7, p. 313-319.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Lovell, D.P., Anderson, D., Albanese, R., Amphlett, G.E., Clare, G., Ferguson, R., Richold, M., Papworth, D.G. and Savage, J.R.K. (1989). Statistical Analysis of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Cytogenetic Assays. In: UKEMS Sub-Committee on Guidelines for Mutagenicity Testing. Report Part III. Statistical Evaluation of Mutagenicity Test Data. D.J. Kirkland, (Ed.) Cambridge University Press, Cambridge. p. 184-232.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Locke-Huhle, C., (1983) Endoreduplication in Chinese hamster cells during alpha-radiation induced G2 arrest. Mutation Res. 119, p. 403-413.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Huang, Y., Change, C. and Trosko, J.E., (1983) Aphidicolin-induced endoreduplication in Chinese hamster cells. Cancer Res., 43, p. 1362-1364.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B.12. MUTAGENOST - MIKRONUKLEUS TEST </w:t>
      </w:r>
      <w:r w:rsidRPr="00984859">
        <w:rPr>
          <w:rFonts w:ascii="Arial" w:eastAsia="Times New Roman" w:hAnsi="Arial" w:cs="Arial"/>
          <w:b/>
          <w:bCs/>
          <w:i/>
          <w:iCs/>
          <w:lang w:eastAsia="sr-Latn-RS"/>
        </w:rPr>
        <w:t xml:space="preserve">IN VIVO </w:t>
      </w:r>
      <w:r w:rsidRPr="00984859">
        <w:rPr>
          <w:rFonts w:ascii="Arial" w:eastAsia="Times New Roman" w:hAnsi="Arial" w:cs="Arial"/>
          <w:b/>
          <w:bCs/>
          <w:lang w:eastAsia="sr-Latn-RS"/>
        </w:rPr>
        <w:t xml:space="preserve">NA ERITROCITIMA SISARA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zasniva se na Uputstvu za ispitivanje OECD 474, Mikronukleus test na eritrocitima sisara (1997).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Mikronukleus test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kod sisara koristi se za otkrivanje oštećenja izazvanih ispitivanom supstancom na hromozomima ili mitotskom sistemu eritroblasta, na osnovu analize eritrocita iz kostne srži i/ili ćelija periferne krvi životinja, obično glodara.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mikronukleus testa jeste identifikacija supstanci koje izazivaju citogenetska oštećenja koja za posledicu imaju formiranje mikronukleusa koji sadrži zaostale fragmente hromozoma ili čitave hromozome.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eritroblast kostne srži razvije u polihromatski eritrocit, glavni nukleus biva istisnut; svaki nastali mikronukleus može da zaostane u citoplazmi koja inače nema jezgro. Vidljivost mikronukleusa u ovim ćelijama olakšana je s obzirom da im nedostaje glavno jezgro. </w:t>
      </w:r>
      <w:r w:rsidRPr="00984859">
        <w:rPr>
          <w:rFonts w:ascii="Arial" w:eastAsia="Times New Roman" w:hAnsi="Arial" w:cs="Arial"/>
          <w:lang w:eastAsia="sr-Latn-RS"/>
        </w:rPr>
        <w:lastRenderedPageBreak/>
        <w:t xml:space="preserve">Povećanje učestalosti polihromatskih eritrocita sa mikronukleusima kod tretiranih životinja pokazatelj je izazvanih hromozomskih oštećenja.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navedeno ispitivanje obično se koristi kostna srž glodara, jer se proizvodnja polihromatskih eritrocita odvija u tom tkivu. Mera mikronukleusnih nezrelih (polihromatskih) eritrocita u perifernoj krvi jednako je prihvatljiva kod bilo koje vrste kod koje je dokazana nesposobnost slezine da ukloni mikronukleusne eritrocite ili koja je pokazala odgovarajuću osetljivost na otkrivanje agensa koji izazivaju strukturne ili numeričke hromozomske aberacije. Mikronukleuse je moguće razlikovati na osnovu većeg broja kriterijuma. Navedeni kriterijumi obuhvataju identifikaciju prisustva ili odsustva kinetohore ili centromere DNK u mikronukleusima. Učestalost mikronukleusnih nezrelih (polihromatskih) eritrocita predstavlja ciljni pokazatelj ispitivanja. U slučajevima kada se životinje neprekidno tretiraju tokom četiri nedelje ili duže, kao krajnja tačka ispitivanja može se koristiti broj zrelih (normohromatskih) eritrocita u perifernoj krvi koji sadrže mikronukleuse u datom broju zrelih eritrocita.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mikronukleus test kod sisara posebno je važan za procenu mutagenosti jer uzima u obzir faktore metabolizma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farmakokinetku i procese reparacije DNK, iako isti mogu da se razlikuju između različitih vrsta i tkiva, kao i između različitih genetskih pokazatelja ispitivanja.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korisno je i za dalje istraživanje mutagenih efekata otkrivenih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sistemu.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 ispitivanje ne odgovara ukoliko se pojave dokazi da ispitivana supstanca ili reaktivni metabolit neće stići do ciljnog tkiva.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Centromera (Kinetohora) jeste područje(a) hromozoma sa kojima su tokom ćelijske deobe povezane niti deobnog vretena, a čime je omogućeno uredno kretanje kćerki hromozoma prema polovima kćerki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Mikronukleusi jesu zasebni mali nukleusi, odvojeni od glavnog jedra ćelije, nastali tokom telofaze mitoze (mejoze) zaostajanjem fragmenata hromozoma ili čitavih hromozoma.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Normohromatski eritrociti jesu zreli eritrociti kojima nedostaju ribozomi. Mogu se razlikovati od nezrelih polihromatskih eritrocita na osnovu crta karakterističnih za prisustvo ribozoma.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Polihromatski eritrociti jesu nezreli eritrociti u prelaznoj fazi razvoja koji još uvek sadrže ribozome. Mogu se razlikovati od zrelih, normohromatskih eritrocita na osnovu crta karakterističnih za prisustvo ribozoma.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Životinje se odgovarajućim putem izlažu ispitivanoj supstanci. Ukoliko se koristi kostna srž, životinje se lišavaju života na human način u odgovarajuće vreme nakon tretmana, nakon čega se uzima kostna srž i izrađuju i boje preparati</w:t>
      </w:r>
      <w:r w:rsidRPr="00984859">
        <w:rPr>
          <w:rFonts w:ascii="Arial" w:eastAsia="Times New Roman" w:hAnsi="Arial" w:cs="Arial"/>
          <w:b/>
          <w:bCs/>
          <w:sz w:val="15"/>
          <w:szCs w:val="15"/>
          <w:vertAlign w:val="superscript"/>
          <w:lang w:eastAsia="sr-Latn-RS"/>
        </w:rPr>
        <w:t>1, 2, 3, 4, 5, 6, 7</w:t>
      </w:r>
      <w:r w:rsidRPr="00984859">
        <w:rPr>
          <w:rFonts w:ascii="Arial" w:eastAsia="Times New Roman" w:hAnsi="Arial" w:cs="Arial"/>
          <w:lang w:eastAsia="sr-Latn-RS"/>
        </w:rPr>
        <w:t>. Prilikom korišćenja periferne krvi, krv se uzima u odgovarajuće vreme nakon tretmana i izrađuju se preparati razmaza krvi koji se boje</w:t>
      </w:r>
      <w:r w:rsidRPr="00984859">
        <w:rPr>
          <w:rFonts w:ascii="Arial" w:eastAsia="Times New Roman" w:hAnsi="Arial" w:cs="Arial"/>
          <w:b/>
          <w:bCs/>
          <w:sz w:val="15"/>
          <w:szCs w:val="15"/>
          <w:vertAlign w:val="superscript"/>
          <w:lang w:eastAsia="sr-Latn-RS"/>
        </w:rPr>
        <w:t>4, 8, 9, 10</w:t>
      </w:r>
      <w:r w:rsidRPr="00984859">
        <w:rPr>
          <w:rFonts w:ascii="Arial" w:eastAsia="Times New Roman" w:hAnsi="Arial" w:cs="Arial"/>
          <w:lang w:eastAsia="sr-Latn-RS"/>
        </w:rPr>
        <w:t xml:space="preserve">. Kod istraživanja sa perifernom krvlju vreme proteklo od poslednjeg izlaganja i ubiranja ćelija je što kraće. Preparati se analiziraju kako bi se utvrdilo postojanje mikronukleusa.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1.4.1.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korišćenja kostne srži preporučuje se primena miševa i pacova, iako se mogu koristiti i druge odgovarajuće vrste sisara. U slučaju korišćenja periferne krvi preporučuju se miševi. Mogu se koristiti i druge odgovarajuće vrste sisara ako slezina te vrste ne uklanja eritrocite sa mikronukleusima ili da je vrsta pokazala odgovarajuću osetljivost za otkrivanje agensa koji izazivaju strukturne ili numeričke hromozomske aberacije. Koriste se mlade, zdrave životinje laboratorijskih sojeva koji se generalno upotrebljavaju. Prilikom započinjanja istraživanja odstupanje u telesnoj masi životinja treba da bude minimalno i ne veće od ± 20% prosečne telesne mase svakog pola.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Uslovi čuvanja i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Primenjuju se opšti uslovi dati u Opštem uvodu, iako se nastoji da se vlažnost održava na nivou od 50% do 60%.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Zdrave, odrasle životinje nasumično se grupišu u kontrolnu i tretirane grupe. Životinje se pojedinačno označavaju. Životinje se aklimatizuju na laboratorijske uslove najmanje pet dana. Kavezi su takvi da se mogući uticaji svedu na minimum.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1.4.1.4.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primene, čvrste ispitivane supstance se rastvaraju ili suspenduju u odgovarajućim vehikulumima i, ukoliko je potrebno, razblažuju. Tečne ispitivane supstance mogu direktno da se primene ili da se pre primene razblaže. Sveži preparati ispitivane supstance se odmah upotrebljavaju, osim ukoliko podaci o stabilnosti pokazuju da je čuvanje prihvatljivo.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Vehikulum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Vehikulum ne sme da izaziva toksične efekte pri doznim nivoima u kojima se primenjuje i ne sme da postoji sumnja da će hemijski da reaguje sa ispitivanom supstancom. Ukoliko se primenjuju manje poznati vehikulumi, njihovo uključivanje u ispitivanje se obrazlaže podacima koji ukazuju na njihovu kompatibilnost. Kad god je moguće, preporučuje se primena vodenog vehikuluma.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Istovremene pozitivne i negativne (vehikulum) kontrole uključene su u svako ispitivanje i za svaki pol. Osim tretiranja ispitivanom supstancom, sa životinjama u kontrolnim grupama postupa se na isti način kao i sa životinjama u tretiranim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Pozitivne kontrole treba da izazovu stvaranje mikronukleusa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pri doznim nivoima za koje se očekuje da će dovesti do uočljivog povećanja u odnosu na negativnu kontrolu. Doze pozitivne kontrole biraju se tako da efekti budu jasni, ali da licu koja očitava rezultate odmah ne otkriju identitet šifriranih mikroskopskih preparata (slajdova). Dozvoljeno je da se pozitivna kontrola primeni putem koji je različit od puta primene ispitivane supstance, i uzorak se uzima samo jednom. Može se uzeti u obzir primena pozitivnih kontrola koje pripadaju istoj </w:t>
      </w:r>
      <w:r w:rsidRPr="00984859">
        <w:rPr>
          <w:rFonts w:ascii="Arial" w:eastAsia="Times New Roman" w:hAnsi="Arial" w:cs="Arial"/>
          <w:lang w:eastAsia="sr-Latn-RS"/>
        </w:rPr>
        <w:lastRenderedPageBreak/>
        <w:t xml:space="preserve">hemijskoj klasi kao i ispitivana hemikalija. Primeri supstanci koje se koriste kao pozitivne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897"/>
        <w:gridCol w:w="2047"/>
        <w:gridCol w:w="2188"/>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 metansulfonat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62-50-0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200-536-7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N-etil-N-nitrozourea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759-73-9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212-072-2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Mitomicin 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50-07-7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200-008-6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Ciklofosfamid</w:t>
            </w:r>
            <w:r w:rsidRPr="00984859">
              <w:rPr>
                <w:rFonts w:ascii="Arial" w:eastAsia="Times New Roman" w:hAnsi="Arial" w:cs="Arial"/>
                <w:lang w:eastAsia="sr-Latn-RS"/>
              </w:rPr>
              <w:br/>
              <w:t xml:space="preserve">Ciklofosfamid monohidrat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50-18-0</w:t>
            </w:r>
            <w:r w:rsidRPr="00984859">
              <w:rPr>
                <w:rFonts w:ascii="Arial" w:eastAsia="Times New Roman" w:hAnsi="Arial" w:cs="Arial"/>
                <w:lang w:eastAsia="sr-Latn-RS"/>
              </w:rPr>
              <w:br/>
              <w:t xml:space="preserve">6055-19-2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200-015-4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Trietilenmelamin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51-18-3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200-083-5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Negativne kontrole, tretirane samo vehikulumom, sa kojima se postupa na isti način kao sa grupama obuhvaćenim tretmanom, obuhvaćene su svakim uzorkovanjem, osim ukoliko su dostupni podaci kontrole iz ranijih studija o varijabilnosti u okviru vrste i frekvenciji ćelija sa mikronukleusima. Ukoliko se na negativne kontrole primenjuje jedno uzorkovanje, najprimerenije je vreme prvog uzorkovanja. Istovremeno se koriste i netretirane kontrole (kontrolni uzroci), osim ukoliko postoje kontrolni podaci iz prethodnih ispitivanja ili objavljeni kontrolni podaci koji dokazuju da odabran vehikulum ne izaziva štetne ili mutagene efekte.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koristi periferna krv može biti prihvatljiv i uzorak uzet pre tretmana u svojstvu negativne kontrole (negativnog kontrolnog uzorka), ali samo kod kratkotrajnih istraživanja periferne krvi (npr. 1 do 3 tretmana), a kada se dobijeni podaci nalaze unutar očekivanog opsega s obzirom na raniju kontrolu.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Broj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Svaka tretirana i kontrolna grupa obuhvata najmanje pet životinja istog pola na kojima je moguće obaviti analizu</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Ukoliko postoje podaci istraživanja obavljenog na istoj vrsti i istim putem izlaganja koji dokazuju da ne postoje značajnije razlike među polovima u toksičnosti, dovoljno je da se ispitivanje obavi kod samo jednog pola. U slučajevima u kojima izlaganje ljudi hemikalijama može da bude specifično za pol, kao na primer kod nekih farmaceutskih agenasa, ispitivanje se obavlja sa životinjama odgovarajućeg pola.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Plan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Nije moguće preporučiti nikakav standardni plan tretmana (tj. jedan, dva ili više tretmana u intervalima od 24 sata). Uzorci dobijeni iz produženih režima tretmana prihvatljivi su ako je dokazan pozitivan efekat ili, kada je u pitanju negativno ispitivanje, ako je dokazana toksičnost ili upotrebljena granična doza i da je tretiranje nastavljeno sve do vremena uzorkovanja. Ispitivane supstance se mogu davati u obliku podeljenih doza, tj. u obliku dva tretmana tokom istog dana u razmaku od najviše nekoliko sati, kako bi se olakšalo davanje velike zapremine materijala.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može obaviti na dva načina: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Životinje se jednom tretiraju ispitivanom supstancom. Uzorci kostne srži uzimaju se najmanje dva puta, počevši najranije 24 sata nakon tretmana, ali najkasnije 48 sati nakon tretmana, uz primenu odgovarajućih intervala između uzimanja uzoraka. Uzorkovanje pre </w:t>
      </w:r>
      <w:r w:rsidRPr="00984859">
        <w:rPr>
          <w:rFonts w:ascii="Arial" w:eastAsia="Times New Roman" w:hAnsi="Arial" w:cs="Arial"/>
          <w:lang w:eastAsia="sr-Latn-RS"/>
        </w:rPr>
        <w:lastRenderedPageBreak/>
        <w:t xml:space="preserve">isteka perioda od 24 sata nakon tretmana potrebno je obrazložiti. Uzorci periferne krvi uzimaju se najmanje dva puta, počevši najranije 36 sati nakon tretmana, uz primenu odgovarajućih intervala nakon uzimanja prvog uzorka, ali ne duže od 72 sata nakon tretmana. Ukoliko se potvrdi pozitivna reakcija prilikom jednog intervala uzorkovanja, nije potrebno dalje uzorkovanje.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 Ukoliko se primenjuje dva ili više tretmana dnevno (npr. dva ili više tretmana u intervalima od 24 sata), uzorci se uzimaju jednom, između 18 sati i 24 sata nakon konačnog tretmana kada je u pitanju kostna srž, i jednom između 36 sati i 48 sati nakon konačnog tretmana u slučaju periferne krvi</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dodatno primeniti drugi intervali uzorkovanja, kada je to značajno.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Ukoliko se zbog nedostatka dostupnih podataka obavlja istraživanje sa ciljem utvrđivanja opsega doza, navedeno istraživanje se obavlja u istoj laboratoriji, uz korišćenje iste vrste, soja, pola i režima ispitivanja kao i u glavnom istraživanju</w:t>
      </w:r>
      <w:r w:rsidRPr="00984859">
        <w:rPr>
          <w:rFonts w:ascii="Arial" w:eastAsia="Times New Roman" w:hAnsi="Arial" w:cs="Arial"/>
          <w:b/>
          <w:bCs/>
          <w:sz w:val="15"/>
          <w:szCs w:val="15"/>
          <w:vertAlign w:val="superscript"/>
          <w:lang w:eastAsia="sr-Latn-RS"/>
        </w:rPr>
        <w:t>13</w:t>
      </w:r>
      <w:r w:rsidRPr="00984859">
        <w:rPr>
          <w:rFonts w:ascii="Arial" w:eastAsia="Times New Roman" w:hAnsi="Arial" w:cs="Arial"/>
          <w:lang w:eastAsia="sr-Latn-RS"/>
        </w:rPr>
        <w:t xml:space="preserve">. Ukoliko postoji toksičnost, prilikom prvog uzorkovanja koriste se tri dozna nivoa. Navedene doze obuhvataju raspon od maksimalne do niske toksičnosti ili nivo bez toksičnosti. Prilikom drugog uzorkovanja potrebno je upotrebiti samo najvišu dozu. Najviša doza toksičnosti definiše se kao doza usled koje nastaju takvi znakovi toksičnosti da bi viša doza prouzrokovala uginjavanje životinja. Supstance specifične biološke aktivnosti u malim netoksičnim dozama (poput hormona i mitogena) mogu biti izuzetak od kriterijuma za izbor doza i tada se doze procenjuju u zavisnosti od slučaja. Najviša doza se može definisati i kao dozu koja dovodi do nekih indikacija toksičnosti u kostnoj srži (npr. smanjenje udela nezrelih eritrocita u ukupnom broju eritrocita u kostnoj srži ili perifernoj krvi).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u ispitivanju sa jednom dozom od najmanje 2.000 mg/kg TM u jednokratnom tretmanu ili u obliku dva tretmana tokom istog dana ne nastanu nikakvi primetni toksični efekti i ukoliko se na osnovu podataka o strukturno sličnim supstancama ne očekuje genotoksičnost, nije potrebno primeniti kompletno ispitivanje primenom tri dozna nivoa. Za ispitivanja koja traju do 14 dana granična doza iznosi 2.000 mg/kg TM/dan, a za ispitivanja koja traju duže od 14 dana iznosi 1.000 mg/kg TM/dan. Očekivana izloženost ljudi može da ukaže na potrebu za primenom više doze u ispitivanju granične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1.5.5.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obično se primenjuje intubacijom, i to korišćenjem želučane sonde ili odgovarajuće intubacione kanile ili intraperitonealnom injekcijom. Mogu se primeniti i ostali putevi izlaganja uz obrazloženje. Maksimalna zapremina tečnosti koja se može dati putem sonde ili injekcijom u jednom navratu zavisi od veličine eksperimentalne životinje. Zapremina ne prelazi 2 mL/100 g TM. Upotrebu većih zapremina potrebno je obrazložiti. Izuzev u slučaju iritanasa i koroziva kod kojih se efekti ispoljavaju pri višim koncentracijama, odstupanja u zapremini treba da budu minimalna podešavanjem koncentracije, a kako bi se obezbedila konstantna zapremina pri svim doznim nivoima.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1.5.6. Pripremanje uzoraka koštane srži/krvi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kostne srži obično se dobijaju iz butne ili goleničnih kostiju odmah nakon lišavanja života na human način. Ćelije se izoluju iz butne kosti i golenice, pripremljene i obojene primenom potvrđenih metoda ispitivanja. Periferna krv se uzima iz repne vene ili drugog </w:t>
      </w:r>
      <w:r w:rsidRPr="00984859">
        <w:rPr>
          <w:rFonts w:ascii="Arial" w:eastAsia="Times New Roman" w:hAnsi="Arial" w:cs="Arial"/>
          <w:lang w:eastAsia="sr-Latn-RS"/>
        </w:rPr>
        <w:lastRenderedPageBreak/>
        <w:t>odgovarajućeg krvnog suda. Krvne ćelije se odmah supravitalno oboje</w:t>
      </w:r>
      <w:r w:rsidRPr="00984859">
        <w:rPr>
          <w:rFonts w:ascii="Arial" w:eastAsia="Times New Roman" w:hAnsi="Arial" w:cs="Arial"/>
          <w:b/>
          <w:bCs/>
          <w:sz w:val="15"/>
          <w:szCs w:val="15"/>
          <w:vertAlign w:val="superscript"/>
          <w:lang w:eastAsia="sr-Latn-RS"/>
        </w:rPr>
        <w:t xml:space="preserve">8, 9, 10 </w:t>
      </w:r>
      <w:r w:rsidRPr="00984859">
        <w:rPr>
          <w:rFonts w:ascii="Arial" w:eastAsia="Times New Roman" w:hAnsi="Arial" w:cs="Arial"/>
          <w:lang w:eastAsia="sr-Latn-RS"/>
        </w:rPr>
        <w:t>ili se izrade preparati u obliku razmaza koji se zatim oboje. Primenom boje koja je specifična za DNK (npr. akridin oranž</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xml:space="preserve"> ili Hoechst 33258 plus pironin-Y</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mogu se otkloniti neki od nedostataka vezanih za primenu DNK-nespecifičnih boja. Navedena prednost ne isključuje primenu uobičajenih boja (npr. Giemsa). Mogu da se primene i dodatni sistemi (npr. celulozne ploče za otklanjanje nukleusnih ćelija</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xml:space="preserve">), ako je dokazano kako navedeni sistemi na odgovarajući način funkcionišu prilikom izrade mikronukleusnih preparata u laboratoriji.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1.5.7.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Udeo nezrelih eritrocita u ukupnom broju eritrocita (nezreli plus zreli) utvrđuje se za svaku životinju prebrojavanjem ukupnog broja od najmanje 200 eritrocita za kostnu srž i 1.000 eritrocita za perifernu krv</w:t>
      </w:r>
      <w:r w:rsidRPr="00984859">
        <w:rPr>
          <w:rFonts w:ascii="Arial" w:eastAsia="Times New Roman" w:hAnsi="Arial" w:cs="Arial"/>
          <w:b/>
          <w:bCs/>
          <w:sz w:val="15"/>
          <w:szCs w:val="15"/>
          <w:vertAlign w:val="superscript"/>
          <w:lang w:eastAsia="sr-Latn-RS"/>
        </w:rPr>
        <w:t>17</w:t>
      </w:r>
      <w:r w:rsidRPr="00984859">
        <w:rPr>
          <w:rFonts w:ascii="Arial" w:eastAsia="Times New Roman" w:hAnsi="Arial" w:cs="Arial"/>
          <w:lang w:eastAsia="sr-Latn-RS"/>
        </w:rPr>
        <w:t xml:space="preserve">. Sve preparate, uključujući one pozitivne i negativne kontrole, potrebno je šifrirati pre mikroskopske analize. Za svaku životinju najmanje 2.000 nezrelih eritrocita podvrgava se analizi radi utvrđivanja pojave mikronukleusnih nezrelih eritrocita. Dodatni podaci mogu se dobiti prebrojavanjem zrelih eritrocita sa mikronukleusima. Prilikom analiziranja mikroskopskih preparata, udeo nezrelih eritrocita prema ukupnom broju eritrocita nije manji od 20% kontrolne vrednosti. Kada se životinje neprekidno tretiraju tokom četiri nedelje ili duže, na pojavu mikronukleusa može se ispitati najmanje 2.000 zrelih eritrocita po životinji. Sistemi za automatizovanu analizu (analiza krvne slike i protočna citometrija suspenzije ćelija) predstavljaju prihvatljive alternative manuelnom ocenjivanju ukoliko su opravdani i validirani.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koji se odnose na pojedinačne životinje navode se tabelarno. Životinja predstavlja eksperimentalnu jedinicu. Za svaku analiziranu životinju zasebno se navodi: broj nezrelih vrednovanih eritrocita, broj mikronukleusnih nezrelih eritrocita i ukupan broj nezrelih eritrocita. Kada se životinje neprekidno tretiraju tokom četiri nedelje ili duže, potrebno je navesti i podatke o zrelim eritrocitima ukoliko se isti prikupljaju. Za svaku životinju se navodi odnos između broja nezrelih i ukupnog broja eritrocita i, ukoliko je potrebno, procenat mikronukleusnih eritrocita. Ukoliko ne postoje dokazi o razlikama među polovima, podaci dobijeni ispitivanjem oba pola mogu se sjediniti radi statističke analize.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Postoji nekoliko kriterijuma za utvrđivanje pozitivnog rezultata, kao što je dozno zavisno povećanje broja mikronukleusnih ćelija ili jasno povećanje broja mikronukleusnih ćelija u grupi koja je primala jednu dozu, prilikom jednog intervala uzorkovanja. Prvenstveno se uzima u obzir biološka relevantnost rezultata. Mogu se primeniti statističke metode kao pomoćno sredstvo prilikom procene rezultata ispitivanja</w:t>
      </w:r>
      <w:r w:rsidRPr="00984859">
        <w:rPr>
          <w:rFonts w:ascii="Arial" w:eastAsia="Times New Roman" w:hAnsi="Arial" w:cs="Arial"/>
          <w:b/>
          <w:bCs/>
          <w:sz w:val="15"/>
          <w:szCs w:val="15"/>
          <w:vertAlign w:val="superscript"/>
          <w:lang w:eastAsia="sr-Latn-RS"/>
        </w:rPr>
        <w:t>18, 19</w:t>
      </w:r>
      <w:r w:rsidRPr="00984859">
        <w:rPr>
          <w:rFonts w:ascii="Arial" w:eastAsia="Times New Roman" w:hAnsi="Arial" w:cs="Arial"/>
          <w:lang w:eastAsia="sr-Latn-RS"/>
        </w:rPr>
        <w:t xml:space="preserve">. Statistički značaj ne treba da bude jedini faktor za utvrđivanje pozitivne reakcije. Dvosmisleni rezultati se pojašnjavaju daljim ispitivanjem, najbolje modifikovanjem eksperimentalnih uslova.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za koju rezultati ne zadovoljavaju gore navedene kriterijume, u ovom ispitivanju smatra se nemutagenom.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većina eksperimenata daje jasno pozitivne ili negativne rezultate, u retkim slučajevima utvrđeni podaci ne omogućavaju donošenje konačne odluke o delovanju ispitivane supstance. Rezultati mogu ostati dvosmisleni ili pod znakom pitanja, bez obzira na broj obavljenih eksperimenata.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Pozitivni rezultati mikronukleus testa ukazuju na to da supstanca izaziva nastajanje mikronukleusa koji su posledica hromozomskih oštećenja ili oštećenja mitotskog sistema u eritroblastima eksperimentalne vrste životinja. Negativni rezultati ukazuju na to da, pod eksperimentalnim uslovima, ispitivana supstanca ne izaziva nastanak mikronukleusa u nezrelim eritrocitima eksperimentalne vrste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razmotriti verovatnoću da ispitivana supstanca ili njeni metaboliti dospeju u krvotok ili, konkretno, do ciljnog tkiva (npr. sistemska toksičnost).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opravdanost izbora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i stabilnost ispitivane supstance u vehikulumu, ukoliko su poznati.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smeštaj,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pojedinačna telesna masa životinja na početku ispitivanja, uključujući raspon telesne mase, srednju vrednost i standardnu devijaciju za svaku grupu.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pozitivna i negativna (vehikulum)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ispitivanja za utvrđivanje raspona doza, ukoliko je obavljeno;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izbor doznih nivoa;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pripreme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primene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puta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za potvrdu činjenice da je ispitivana supstanca dospela u sistemski krvotok ili do ciljnog tkiva, ukoliko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 preračunavanja koncentracije ispitivane supstance u hrani/vodi za piće (ppm) u dozu (mg/kg TM/dan), ukoliko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rasporeda tretmana i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metode pripreme mikroskopskih pločica (slajdova);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merenja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 za vrednovanje mikronukleusnih nezrelih eritrocita;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analiziranih ćelija po životinji;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 za smatranje ispitivanja kao pozitivnog, negativnog ili dvosmislenog.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znakovi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udeo nezrelih eritrocita prema ukupnom broju eritrocita;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mikronukleusnih nezrelih eritrocita, zasebno dat za svaku životinju;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srednja vrednost ± standardna devijacija broja mikronukleusnih nezrelih eritrocita po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doza - odgovor, gde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primenjene statističke analize i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negativne kontrole iz konkurentne studije i ranije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pozitivne kontrolne iz konkurentne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Heddle, J.A., (1973) A Rapid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Test for Chromosomal Damage, Mutation Res., 18, p. 187-190.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Schmid, W., (1975) The Micronucleus Test, Mutation Res., 31, p. 9-15.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Heddle, J.A., Salamone, M.F., Hite, M., Kirkhart, B., Mavournin, K., MacGregor, J.G. and Newell, G.W. (1983). The Induction of Micronuclei as a Measure of Genotoxicity. Mutation Res., 123, p. 61-118.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Mavournin, K.H., Blakey, D.H., Cimino, M.C., Salamone, M.F. and Heddle, J.A., (1990) The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Micronucleus Assay in Mammalian Bone Marrow and Peripheral Blood. A report of the U.S. Environmental Protection Agency Gene-Tox Program, Mutation Res., 239, p. 29-80.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MacGregor, J.T., Schlegel, R. Choy, W.N., and Wehr, C.M., (1983) Micronuclei in Circulating Erythrocytes: A Rapid Screen for Chromosomal Damage During Routine Toxicity Testing in Mice. Iin: "Developments in Science and Practice of Toxicology", Ed. A.W. Hayes, R.C. Schnell and T.S. Miya, Elsevier, Amsterdam, p. 555-558.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6. MacGregor, J.T., Heddle, J.A. Hite, M., Margolin, G.H., Ramel, C., Salamone, M.F., Tice, R.R., and Wild, D., (1987) Guidelines for the Conduct of Micronucleus Assays in Mammalian Bone Marrow Erytrocytes. Mutation Res., 189, p. 103-112.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MacGregor, J.T., Wehr, C.M., Henika, P.R., and Shelby, M.E., (1990) The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Erythrocyte Micronucleus Test: Measurement at Steady State Increases Assay Efficiency and Permits Integration with Toxicity Studies. Fund. Appl. Toxicol., 14, p. 513-522.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Hayashi, M., Morita, T., Kodama, Y., Sofuni, T. and Ishidate, M. Jr., (1990) The Micronucleus Assay with Mouse Peripheral Blood Reticulocytes Using Acridine Orange-Coated Slides. Mutation Res., 245, p. 245-249.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The Collaborative Study Group for the Micronucleus Test, (1992) Micronucleus Test with Mouse Peripheral Blood Erythrocytes by Acridine Orange Supravital Staining: The Summary Report of the 5th Collaborative Study by CSGMT/JEMMS. MMS. Mutation Res., p. 278, 83-98.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The Collaborative Study Group for the Micronucleus Test (CSGMT/JEMMS. MMS: The Mammalian Mutagenesis Study Group of the Environmental Mutagen Society of Japan), (1995) Protocol recommended for the short-term mouse peripheral blood micronucleus test. Mutagenesis, 10, p. 153-159.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Hayashi, M., Tice, R.R., MacGregor, J.T., Anderson, D., Blackey, D.H., Kirsch-Volders, M., Oleson, Jr. F. B., Pacchierotti, F., Romagna, F., Shimada, H., Sutou, S. and Vannier, B., (1994)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Rodent Erythrocyte Micronucleus Assay. Mutation Res., 312, p. 293-304.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Higashikuni, N. and Sutou, S., (1995) An optimal, generalised sampling time of 30 ± 6 h after double dosing in the mouse peripheral blood micronucleus test. Mutagenesis, 10, p. 313-319.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Fielder, R.J., Allen, J.A., Boobis, A.R., Botham, P.A., Doe, J., Esdaile, D.J., Gatehouse, D.G., Hodson-Walker, G., Morton, D.B., Kirkland, D.J. and Rochold, M., (1992) Report of British Toxicology Society/UK Environmental Mutagen Society Working Group: Dose Setting in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Mutagenicity Assays. Mutagenesis, 7, p. 313-319.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Hayashi, M., Sofuni, T. and Ishidate, M. Jr., (1983) An Application of Acridine Orange Fluorescent Staining to the Micronucleus Test. Mutation Res., 120, p. 241-247.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MacGregor, J.T., Wehr, C.M. and Langlois, R.G., (1983) A Simple Fluorescent Staining Procedure for Micronuclei and RNA in Erythrocytes Using Hoechst 33258 and Pyronin Y. Mutation Res., 120, p. 269-275.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Romagna, F. and Staniforth, C.D., (1989) The automated bone marrow micronucleus test. Mutation Res., 213, p. 91-104.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Gollapudi, B. and McFadden, L.G., (1995) Sample size for the estimation of polychromatic to normochromatic erythrocyte ratio in the bone marrow micronucleus test. Mutation Res., 347, p. 97-99.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Richold, M., Ashby, J., Bootman, J., Chandley, A., Gatehouse, D.G. and Henderson, L., (1990)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Cytogenetics Assay. In: D.J. Kirkland (Ed.) Basic Mutagenicity tests. UKEMS Recommended Procedures. UKEMS Sub-Committee on Guidelines for Mutagenicity Testing. Report, Part I, revised. Cambridge University Press, Cambridge, New York, Port Chester, Melbourne, Sydney, p. 115-141.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19. Lovell, D.P., Anderson, D., Albanese, R., Amphlett, G.E., Clare, G., Ferguson, R., Richold, M., Papworth, D.G. and Savage, J.R.K., (1989) Statistical Analysis of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Cytogenetic Assays. In: D.J. Kirkland (Ed.) Statistical Evaluation of Mutagenicity Test Data. UKEMS Sub-Committee on Guidelines for Mutagenicity Testing. Report, Part III. Cambridge University Press, Cambridge, New York, Port Chester, Melbourne, Sydney, p. 184-232.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 13/14. MUTAGENOST: ISPITIVANJE REVERZNIH MUTACIJA NA BAKTERIJAMA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zasniva se na Uputstvu za ispitivanje OECD 471, Ispitivanje Bakterijskih Reverznih Mutacija (1997).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ispitivanje bakterijskih reverznih mutacija koriste se sojevi Salmonella-e typhimurium i Escherichia-e coli kojima su neophodne aminokiseline, sa ciljem otkrivanja tačkastih mutacija koje obuhvataju supstituciju, adiciju i deleciju jednog ili nekoliko parova baza DNK</w:t>
      </w:r>
      <w:r w:rsidRPr="00984859">
        <w:rPr>
          <w:rFonts w:ascii="Arial" w:eastAsia="Times New Roman" w:hAnsi="Arial" w:cs="Arial"/>
          <w:b/>
          <w:bCs/>
          <w:sz w:val="15"/>
          <w:szCs w:val="15"/>
          <w:vertAlign w:val="superscript"/>
          <w:lang w:eastAsia="sr-Latn-RS"/>
        </w:rPr>
        <w:t>1, 2, 3</w:t>
      </w:r>
      <w:r w:rsidRPr="00984859">
        <w:rPr>
          <w:rFonts w:ascii="Arial" w:eastAsia="Times New Roman" w:hAnsi="Arial" w:cs="Arial"/>
          <w:lang w:eastAsia="sr-Latn-RS"/>
        </w:rPr>
        <w:t xml:space="preserve">. Princip ispitivanja bakterijskih reverznih mutacija je da detektuje mutacije koje dovode do reverzije mutacija prisutnih u ispitivanim sojevima i tako obnavljaju funkcionalnu sposobnost bakterija da sintetišu esencijalne aminokiseline. Reverzno mutirane bakterije mogu se otkriti na osnovu njihove sposobnosti rasta u odsustvu aminokiseline koja je potrebna roditeljskom ispitivanom soju.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Tačkaste mutacije su uzrok mnogih genetskih oboljenja kod ljudi i postoje znatni dokazi da tačkaste mutacije u onkogenima i tumor-supresorskim genima somatskih ćelija učestvuju u nastanku tumora kod ljudi i eksperimentalnih životinja. Ispitivanje bakterijskih reverznih mutacija je brzo, jeftino i relativno jednostavno za izvođenje. Mnogi eksperimentalni sojevi imaju nekoliko svojstava koje ih čine osetljivijim na otkrivanje mutacija, uključujući osetljive sekvence DNK na mestima reverzije, povećanu propustljivost ćelija za veće molekule i eliminaciju sistema reparacije DNK ili pojačavanja procesa reparacije DNK molekula sklonih greškama. Specifičnost eksperimentalnih sojeva može da pruži korisne podatke o tipu mutacija koje izazivaju genotoksični agensi. Dostupna je velika baza rezultata ispitivanja bakterijskih reverznih mutacija za veliki broj različitih struktura i razvijene su dobro utemeljene metodologije za ispitivanje hemikalija sa različitim fizičkim i hemijskim svojstvima, uključujući isparljiva jedinjenja.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reverzne mutacije na Salmonella typhimurium ili na Escherichia coli otkriva mutaciju u soju kome je neophodna aminokiselina (histidin odnosno triptofan, redom) koja proizvodi soj koji ne zavisi od spoljašnjeg izvora aminokiseline.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Mutageni koji dovode do supstitucije baznog para (mutageni supstitucije baznog para) jesu agensi koji izazivaju promene baza u DNK. U ispitivanju reverznih mutacija do ove promene može doći na mestu izvorne mutacije ili na drugom mestu u bakterijskom genomu.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Mutageni koji dovode do pomeranja okvira čitanja (mutageni pomaka okvira) jesu agensi koji izazivaju adiciju ili deleciju jednog ili više parova baza u DNK, menjajući time okvir očitavanja RNK.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POLAZNA RAZMATRANJA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ispitivanje bakterijskih reverznih mutacija koriste se prokariotske ćelije koje se od ćelija sisara razlikuju u karakteristikama kao što su: unošenje, metabolizam, hromozomska struktura i procesi reparacije DNK. Ispitivanja koja se obavljaju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obično zahtevaju upotrebu egzogenog izvora metaboličke aktivacije. Sistemi za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metaboličku aktivaciju ne mogu potpuno da oponašaju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uslove kod sisara. Ispitivanje ne pruža direktne podatke o mutagenom i karcinogenom potencijalu supstance kod sisara.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bakterijskih reverznih mutacija obično se primenjuje kao inicijalni skrining za genotoksičnu aktivnost i, posebno, kao aktivnost koja izaziva pojavu tačkastih mutacija. Opsežna baza podataka pokazala je da mnoge hemikalije koje su u ovom ispitivanju dale pozitivan rezultat pokazuju mutageno delovanje i u drugim ispitivanjima. Postoje primeri mutagenih agensa koji se ne mogu otkriti ovim ispitivanjem. Razlozi za ove nedostatke mogu se pripisati specifičnoj prirodi efekta koji se detektuje, razlikama u metaboličkoj aktivaciji ili u bioraspoloživosti. Faktori koji povećavaju osetljivost ispitivanja bakterijskih reverznih mutacija mogu da dovedu do precenjivanja mutagene aktivnosti.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bakterijskih reverznih mutacija možda neće biti prikladno za procenu određenih klasa hemikalija, npr. visoko baktericidnih jedinjenja (npr. određeni antibiotici), kao i onih za koje se smatra (ili je poznato) da specifično interferiraju sa sistemom replikacije ćelija sisara (npr. neki inhibitori topoizomeraze i neki analozi nukleotida). U tim slučajevima mogu da budu primerenija ispitivanja mutacija na ćelijama sisara.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je mnoštvo jedinjenja, koja daju pozitivan rezultat u ovom ispitivanju, karcinogeno za sisare, povezanost nije apsolutna. Ona zavisi od klase hemikalije, a postoje i karcinogeni koji se ne mogu otkriti ovim ispitivanjem zbog toga što deluju posredstvom drugih mehanizama koji nisu genotoksični ili putem mehanizama koji ne postoje u ćelijama bakterija.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Suspenzije bakterijskih ćelija izlažu se ispitivanoj supstanci u prisustvu i odsustvu egzogenog sistema metaboličke aktivacije. U okviru metode inkorporacije u podlogu, navedene suspenzije mešaju se sa nadslojem agara i odmah se nanose na minimalnu količinu podloge. U metodi preinkubacije smeša za tretman se inkubira, a zatim meša sa nadslojem agara pre nanošenja na minimalnu količinu podloge. Kod obe tehnike, nakon dva ili tri dana inkubacije, broje se revertantne kolonije i upoređuju sa brojem spontanih revertantnih kolonija na kontrolnim podlogama sa vehikulumom.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Opisano je nekoliko postupaka za izvođenje ispitivanja bakterijskih reverznih mutacija. Među navedenim obično se koristi metoda inkorporacije u podlogu </w:t>
      </w:r>
      <w:r w:rsidRPr="00984859">
        <w:rPr>
          <w:rFonts w:ascii="Arial" w:eastAsia="Times New Roman" w:hAnsi="Arial" w:cs="Arial"/>
          <w:b/>
          <w:bCs/>
          <w:sz w:val="15"/>
          <w:szCs w:val="15"/>
          <w:vertAlign w:val="superscript"/>
          <w:lang w:eastAsia="sr-Latn-RS"/>
        </w:rPr>
        <w:t>1, 2, 3, 4</w:t>
      </w:r>
      <w:r w:rsidRPr="00984859">
        <w:rPr>
          <w:rFonts w:ascii="Arial" w:eastAsia="Times New Roman" w:hAnsi="Arial" w:cs="Arial"/>
          <w:lang w:eastAsia="sr-Latn-RS"/>
        </w:rPr>
        <w:t>, metoda preinkubacije</w:t>
      </w:r>
      <w:r w:rsidRPr="00984859">
        <w:rPr>
          <w:rFonts w:ascii="Arial" w:eastAsia="Times New Roman" w:hAnsi="Arial" w:cs="Arial"/>
          <w:b/>
          <w:bCs/>
          <w:sz w:val="15"/>
          <w:szCs w:val="15"/>
          <w:vertAlign w:val="superscript"/>
          <w:lang w:eastAsia="sr-Latn-RS"/>
        </w:rPr>
        <w:t>2, 3, 5, 6, 7, 8</w:t>
      </w:r>
      <w:r w:rsidRPr="00984859">
        <w:rPr>
          <w:rFonts w:ascii="Arial" w:eastAsia="Times New Roman" w:hAnsi="Arial" w:cs="Arial"/>
          <w:lang w:eastAsia="sr-Latn-RS"/>
        </w:rPr>
        <w:t>, metoda fluktuacije</w:t>
      </w:r>
      <w:r w:rsidRPr="00984859">
        <w:rPr>
          <w:rFonts w:ascii="Arial" w:eastAsia="Times New Roman" w:hAnsi="Arial" w:cs="Arial"/>
          <w:b/>
          <w:bCs/>
          <w:sz w:val="15"/>
          <w:szCs w:val="15"/>
          <w:vertAlign w:val="superscript"/>
          <w:lang w:eastAsia="sr-Latn-RS"/>
        </w:rPr>
        <w:t xml:space="preserve">9, 10 </w:t>
      </w:r>
      <w:r w:rsidRPr="00984859">
        <w:rPr>
          <w:rFonts w:ascii="Arial" w:eastAsia="Times New Roman" w:hAnsi="Arial" w:cs="Arial"/>
          <w:lang w:eastAsia="sr-Latn-RS"/>
        </w:rPr>
        <w:t>i metoda suspenzije</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Opisane su i modifikacije namenjene ispitivanju gasova ili para</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Postupci opisani u metodi ispitivanja prvenstveno se odnose na metodu inkorporacije u podlogu i metodu preinkubacije. Obe metode prikladne su za izvođenje eksperimenta sa i bez metaboličke aktivacije. Neke supstance se mogu efikasnije otkriti primenom metode preinkubacije. Navedene supstance pripadaju hemijskim klasama koje uključuju alifatične nitrozamine kratkog lanca, dvovalentne metale, aldehide, azo-boje i diazo jedinjenja, pirolizidinske alkaloide, alil jedinjenja i nitro jedinjenja</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Određene klase mutagena ne mogu se uvek detektovati korišćenjem standardnih postupaka, poput metode inkorporacije u podlogu ili metode preinkubacije. Navedene klase mutagena smatraju se "posebnim slučajevima" i za njihovo otkrivanje preporučuje se korišćenje alternativnih postupaka. Mogu se identifikovati sledeći "posebni slučajevi" (zajedno s primerima postupaka koji se mogu upotrebiti za njihovo otkrivanje): azo-boje i diazo jedinjenja</w:t>
      </w:r>
      <w:r w:rsidRPr="00984859">
        <w:rPr>
          <w:rFonts w:ascii="Arial" w:eastAsia="Times New Roman" w:hAnsi="Arial" w:cs="Arial"/>
          <w:b/>
          <w:bCs/>
          <w:sz w:val="15"/>
          <w:szCs w:val="15"/>
          <w:vertAlign w:val="superscript"/>
          <w:lang w:eastAsia="sr-Latn-RS"/>
        </w:rPr>
        <w:t>3, 5, 6, 13</w:t>
      </w:r>
      <w:r w:rsidRPr="00984859">
        <w:rPr>
          <w:rFonts w:ascii="Arial" w:eastAsia="Times New Roman" w:hAnsi="Arial" w:cs="Arial"/>
          <w:lang w:eastAsia="sr-Latn-RS"/>
        </w:rPr>
        <w:t>, gasovi i isparljive hemikalije</w:t>
      </w:r>
      <w:r w:rsidRPr="00984859">
        <w:rPr>
          <w:rFonts w:ascii="Arial" w:eastAsia="Times New Roman" w:hAnsi="Arial" w:cs="Arial"/>
          <w:b/>
          <w:bCs/>
          <w:sz w:val="15"/>
          <w:szCs w:val="15"/>
          <w:vertAlign w:val="superscript"/>
          <w:lang w:eastAsia="sr-Latn-RS"/>
        </w:rPr>
        <w:t xml:space="preserve">12, 14, 15, 16 </w:t>
      </w:r>
      <w:r w:rsidRPr="00984859">
        <w:rPr>
          <w:rFonts w:ascii="Arial" w:eastAsia="Times New Roman" w:hAnsi="Arial" w:cs="Arial"/>
          <w:lang w:eastAsia="sr-Latn-RS"/>
        </w:rPr>
        <w:t>i glikozidi</w:t>
      </w:r>
      <w:r w:rsidRPr="00984859">
        <w:rPr>
          <w:rFonts w:ascii="Arial" w:eastAsia="Times New Roman" w:hAnsi="Arial" w:cs="Arial"/>
          <w:b/>
          <w:bCs/>
          <w:sz w:val="15"/>
          <w:szCs w:val="15"/>
          <w:vertAlign w:val="superscript"/>
          <w:lang w:eastAsia="sr-Latn-RS"/>
        </w:rPr>
        <w:t>17, 18</w:t>
      </w:r>
      <w:r w:rsidRPr="00984859">
        <w:rPr>
          <w:rFonts w:ascii="Arial" w:eastAsia="Times New Roman" w:hAnsi="Arial" w:cs="Arial"/>
          <w:lang w:eastAsia="sr-Latn-RS"/>
        </w:rPr>
        <w:t xml:space="preserve">. Odstupanje od standardnog postupka naučno se opravdava.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1.5.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1.5.1.1. Bakterije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Sveže kulture bakterija se uzgajaju do kasne eksponencijalne ili rane stacionarne faze rasta (približno 10</w:t>
      </w:r>
      <w:r w:rsidRPr="00984859">
        <w:rPr>
          <w:rFonts w:ascii="Arial" w:eastAsia="Times New Roman" w:hAnsi="Arial" w:cs="Arial"/>
          <w:sz w:val="15"/>
          <w:szCs w:val="15"/>
          <w:vertAlign w:val="superscript"/>
          <w:lang w:eastAsia="sr-Latn-RS"/>
        </w:rPr>
        <w:t>9</w:t>
      </w:r>
      <w:r w:rsidRPr="00984859">
        <w:rPr>
          <w:rFonts w:ascii="Arial" w:eastAsia="Times New Roman" w:hAnsi="Arial" w:cs="Arial"/>
          <w:lang w:eastAsia="sr-Latn-RS"/>
        </w:rPr>
        <w:t xml:space="preserve"> ćelija po mL). Kulture u kasnoj stacionarnoj fazi se ne upotrebljavaju. Potrebno je da kulture koje se koriste tokom eksperimenta sadrže visok titar vijabilnih bakterija. Titar se može pokazati ili iz krivih rasta na osnovu podataka kontrole iz ranijih studija ili u svakom ispitivanju utvrđivanjem broja vijabilnih ćelija eksperimentom na podlozi.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Preporučena temperatura inkubacije iznosi 37°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Potrebno je upotrebiti najmanje pet sojeva bakterija. Sojevi obuhvataju četiri soja S. typhimurium (TA1535; TA1537 ili TA97a ili TA97; TA98; i TA100) koji su se pokazali kao pouzdani i reproducibilni između laboratorija. Navedena četiri soja S. typhimurium imaju GC parove baza na primarnom mestu reverzne mutacije i poznato je da oni možda neće otkriti određene oksidujuće mutagene, agense koji dovode do unakrsnog povezivanja i hidrazine. Ovakve supstance mogu se otkriti pomoću sojeva E. coli WP2 ili S. typhimurium TA102</w:t>
      </w:r>
      <w:r w:rsidRPr="00984859">
        <w:rPr>
          <w:rFonts w:ascii="Arial" w:eastAsia="Times New Roman" w:hAnsi="Arial" w:cs="Arial"/>
          <w:b/>
          <w:bCs/>
          <w:sz w:val="15"/>
          <w:szCs w:val="15"/>
          <w:vertAlign w:val="superscript"/>
          <w:lang w:eastAsia="sr-Latn-RS"/>
        </w:rPr>
        <w:t>19</w:t>
      </w:r>
      <w:r w:rsidRPr="00984859">
        <w:rPr>
          <w:rFonts w:ascii="Arial" w:eastAsia="Times New Roman" w:hAnsi="Arial" w:cs="Arial"/>
          <w:lang w:eastAsia="sr-Latn-RS"/>
        </w:rPr>
        <w:t xml:space="preserve"> koji imaju AT bazni par na primarnom mestu reverzne mutacije. Preporučena kombinacija sojeva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 typhimurium TA1535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 typhimurium TA1537 ili TA97 ili TA97a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 typhimurium TA98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 typhimurium TA100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 coli WP2 uvrA ili E. coli WP2 uvrA (pKM101) ili S. typhimurium TA102.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Kako bi se otkrili mutageni koji dovode do unakrsnog povezivanja, može biti potrebno da se uključi TA102 ili dodati soj E. coli koji je vičan u popravci DNK (npr. E. coli WP2 ili E. coli WP2 (PKM101)).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Potrebno je primeniti prihvaćene postupke za pripremanje "stock" kulture, verifikaciju markera i čuvanje. Potreba za aminokiselinama za rast demonstrira se za svaki preparat zamrznute "stock" kulture (za histidinom za sojeve S. typhimurium i triptofanom za sojeve E. coli). Na sličan način potrebno je proveriti ostale fenotipske karakteristike, odnosno prisustvo ili odsustvo plazmida R-faktora ako je potrebno (tj. rezistencija na ampicilin kod sojeva TA98, TA100 i TA97a ili TA97, WP2 uvrA i WP2 uvrA (pKM101) i rezistencija na ampicilin + tetraciklin kod soja TA102); postojanje svojstvenih mutacija (tj. rfa mutacija kod S. typhimurium putem osetljivosti na kristal-violet i uvrA mutacija kod E. Coli ili uvrB mutacija kod S. typhimurium, putem osetljivosti na ultraljubičastu svetlost)</w:t>
      </w:r>
      <w:r w:rsidRPr="00984859">
        <w:rPr>
          <w:rFonts w:ascii="Arial" w:eastAsia="Times New Roman" w:hAnsi="Arial" w:cs="Arial"/>
          <w:b/>
          <w:bCs/>
          <w:sz w:val="15"/>
          <w:szCs w:val="15"/>
          <w:vertAlign w:val="superscript"/>
          <w:lang w:eastAsia="sr-Latn-RS"/>
        </w:rPr>
        <w:t>2, 3</w:t>
      </w:r>
      <w:r w:rsidRPr="00984859">
        <w:rPr>
          <w:rFonts w:ascii="Arial" w:eastAsia="Times New Roman" w:hAnsi="Arial" w:cs="Arial"/>
          <w:lang w:eastAsia="sr-Latn-RS"/>
        </w:rPr>
        <w:t xml:space="preserve">. Sojevi daju takav broj spontanih revertantnih kolonija na podlogama koji se nalazi u okviru raspona učestalosti koji se očekuje na osnovu podataka iz ranije kontrole laboratorije i koji se po mogućstvu nalazi unutar raspona koji se navodi u literaturi.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1.5.1.2. Podloga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Primenjuje se odgovarajući minimalni agar (npr. koji sadrži Vogel-Bonner-ovu minimalnu podlogu "E" i glukozu) i nadsloj agara koji sadrži histidin i biotin ili triptofan koji omogućava nekoliko deoba ćelija</w:t>
      </w:r>
      <w:r w:rsidRPr="00984859">
        <w:rPr>
          <w:rFonts w:ascii="Arial" w:eastAsia="Times New Roman" w:hAnsi="Arial" w:cs="Arial"/>
          <w:b/>
          <w:bCs/>
          <w:sz w:val="15"/>
          <w:szCs w:val="15"/>
          <w:vertAlign w:val="superscript"/>
          <w:lang w:eastAsia="sr-Latn-RS"/>
        </w:rPr>
        <w:t>1, 2, 9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1.5.1.3. Metabolička aktivacija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Bakterije se izlažu ispitivanoj supstanci i u prisustvu i u odsustvu sistema metaboličke aktivacije. Najčešće korišćen sistem je postmitohondrijalna frakcija sa kofaktorom (S9) pripremljena od jetre glodara tretiranih agensima enzimske indukcije poput Aroclor-a 1254</w:t>
      </w:r>
      <w:r w:rsidRPr="00984859">
        <w:rPr>
          <w:rFonts w:ascii="Arial" w:eastAsia="Times New Roman" w:hAnsi="Arial" w:cs="Arial"/>
          <w:b/>
          <w:bCs/>
          <w:sz w:val="15"/>
          <w:szCs w:val="15"/>
          <w:vertAlign w:val="superscript"/>
          <w:lang w:eastAsia="sr-Latn-RS"/>
        </w:rPr>
        <w:t xml:space="preserve">1, 2 </w:t>
      </w:r>
      <w:r w:rsidRPr="00984859">
        <w:rPr>
          <w:rFonts w:ascii="Arial" w:eastAsia="Times New Roman" w:hAnsi="Arial" w:cs="Arial"/>
          <w:lang w:eastAsia="sr-Latn-RS"/>
        </w:rPr>
        <w:t>ili kombinacije fenobarbitona i ß-naftoflavona</w:t>
      </w:r>
      <w:r w:rsidRPr="00984859">
        <w:rPr>
          <w:rFonts w:ascii="Arial" w:eastAsia="Times New Roman" w:hAnsi="Arial" w:cs="Arial"/>
          <w:b/>
          <w:bCs/>
          <w:sz w:val="15"/>
          <w:szCs w:val="15"/>
          <w:vertAlign w:val="superscript"/>
          <w:lang w:eastAsia="sr-Latn-RS"/>
        </w:rPr>
        <w:t>18, 20, 21</w:t>
      </w:r>
      <w:r w:rsidRPr="00984859">
        <w:rPr>
          <w:rFonts w:ascii="Arial" w:eastAsia="Times New Roman" w:hAnsi="Arial" w:cs="Arial"/>
          <w:lang w:eastAsia="sr-Latn-RS"/>
        </w:rPr>
        <w:t>. Postmitohondrijalna frakcija obično se koristi u koncentracijama u rasponu od 5% v/v do 30% v/v u obliku S9-mešavine. Izbor i uslovi sistema metaboličke aktivacije mogu da zavise od klase hemikalije koja se ispituje. U nekim slučajevima može da bude prikladno da se iskoristi više od jedne koncentracije postmitohondrijalne frakcije. Za azo-boje i diazo-jedinjenja može da se pokaže primerenijom primena sistema reduktivne metaboličke aktivacije</w:t>
      </w:r>
      <w:r w:rsidRPr="00984859">
        <w:rPr>
          <w:rFonts w:ascii="Arial" w:eastAsia="Times New Roman" w:hAnsi="Arial" w:cs="Arial"/>
          <w:b/>
          <w:bCs/>
          <w:sz w:val="15"/>
          <w:szCs w:val="15"/>
          <w:vertAlign w:val="superscript"/>
          <w:lang w:eastAsia="sr-Latn-RS"/>
        </w:rPr>
        <w:t>6, 13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1.5.1.4. Ispitivana supstanca/Preparat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tretiranja bakterija, čvrste ispitivane supstance se rastvaraju ili suspenduju u odgovarajućim vehikulumima i, ukoliko je potrebno, da se razblaže. Tečne ispitivane supstance mogu se direktno dodati ispitivanim sistemima i/ili se razblažiti pre tretiranja. Sveži preparati ispitivane supstance upotrebljavaju se odmah, osim ukoliko podaci o stabilnosti pokazuju da je čuvanje prihvatljivo.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 sme da postoji sumnja da vehikulum hemijski reaguje sa ispitivanom supstancom. Vehikulum je kompatibilan sa preživljenjem bakterija i S9 aktivnošću</w:t>
      </w:r>
      <w:r w:rsidRPr="00984859">
        <w:rPr>
          <w:rFonts w:ascii="Arial" w:eastAsia="Times New Roman" w:hAnsi="Arial" w:cs="Arial"/>
          <w:b/>
          <w:bCs/>
          <w:sz w:val="15"/>
          <w:szCs w:val="15"/>
          <w:vertAlign w:val="superscript"/>
          <w:lang w:eastAsia="sr-Latn-RS"/>
        </w:rPr>
        <w:t>22</w:t>
      </w:r>
      <w:r w:rsidRPr="00984859">
        <w:rPr>
          <w:rFonts w:ascii="Arial" w:eastAsia="Times New Roman" w:hAnsi="Arial" w:cs="Arial"/>
          <w:lang w:eastAsia="sr-Latn-RS"/>
        </w:rPr>
        <w:t xml:space="preserve">. Ukoliko se primenjuju manje poznati vehikulumi, njihovo uključivanje u ispitivanje se potkrepljuje podacima koji ukazuju na njihovu kompatibilnost. Kad god je moguće, preporučuje se vodeni vehikulum. Prilikom ispitivanja supstanci koje su nestabilne u vodi, organski rastvarači koji se koriste ne smeju sadržati vodu.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1.5.2.1. Eksperimentalni sojevi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1.5.1.1.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1.5.2.2. Koncentracija kojoj se izlažu bakterije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Među kriterijima koji se uzimaju u obzir prilikom utvrđivanja najveće količine ispitivane supstance koja će se primeniti je citotoksičnost i rastvorljivost u konačnoj smeši namenjenoj za primenu.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Može da bude korisno da se utvrdi toksičnost i rastvorljivost u preliminarnom eksperimentu. Citotoksičnost se može otkriti preko redukcije broja revertantnih kolonija, bistrenjem ili smanjivanjem pozadine ili stepena preživljavanja tretiranih kultura. Citotoksičnost neke supstance može se promeniti usled prisustva sistema metaboličke aktivacije. Nerastvorljivost je potrebno oceniti kao precipitaciju (taloženje) u konačnoj mešavini pod stvarnim eksperimentalnim uslovima, a koja je vidljiva golim okom.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Preporučena maksimalna ispitivana koncentracija za rastvorne supstance koje nisu citotoksične iznosi 5 mg/podloga ili 5 µL/podloga. Za supstance koje nisu citotoksične i koje se ne rastvaraju pri 5 mg/podloga ili 5 µL/podloga, jedna ili više ispitivanih koncentracija treba da bude nerastvorna u konačnoj smeši namenjenoj za tretman. Ispitivane supstance </w:t>
      </w:r>
      <w:r w:rsidRPr="00984859">
        <w:rPr>
          <w:rFonts w:ascii="Arial" w:eastAsia="Times New Roman" w:hAnsi="Arial" w:cs="Arial"/>
          <w:lang w:eastAsia="sr-Latn-RS"/>
        </w:rPr>
        <w:lastRenderedPageBreak/>
        <w:t xml:space="preserve">koje su ciotoksične već pri nivoima nižim od 5 mg/podloga ili 5 µL/podloga ispituju se sve do citotoksične koncentracije. Precipitat ne sme da utiče na ocenjivanje (prebrojavanje).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upotrebiti najmanje pet različitih koncentracija ispitivane supstance (koje je moguće analizirati) u intervalima od otprilike polovine log (tj. √10) između tačaka ispitivanja u inicijalnom eksperimentu. Manji intervali mogu se pokazati prikladnim prilikom ispitivanja veze između koncentracije i odgovora. Ispitivanje koncentracija iznad 5 mg/podloga ili 5 µL/podloga može da se uzme u obzir prilikom vrednovanja supstance koje sadrže značajne količine potencijalno mutagenih nečistoća.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1.5.2.3. Pozitivne i negativne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Svako ispitivanje uključuje istovremene pozitivne i negativne kontrole (vehikuklum) specifične za soj, sa i bez metaboličke aktivacije. Potrebno je odabrati koncentracije pozitivne kontrole koje će pokazati efikasno obavljanje svakog eseja.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eseje sa sistemom metaboličke aktivacije, referentna supstanca pozitivne kontrole se bira na osnovu vrste bakterijskih sojeva koji se koriste.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Primeri supstanci odgovarajućih pozitivnih kontrola za eseje sa metaboličkom aktivacijom: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09"/>
        <w:gridCol w:w="2283"/>
        <w:gridCol w:w="4840"/>
      </w:tblGrid>
      <w:tr w:rsidR="00984859" w:rsidRPr="00984859" w:rsidTr="00984859">
        <w:trPr>
          <w:tblCellSpacing w:w="0" w:type="dxa"/>
        </w:trPr>
        <w:tc>
          <w:tcPr>
            <w:tcW w:w="11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12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 </w:t>
            </w:r>
          </w:p>
        </w:tc>
        <w:tc>
          <w:tcPr>
            <w:tcW w:w="26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Nazivi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781-43-1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212-308-4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9,10-dimetilantracen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57-97-6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200-359-5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7,12-dimetilbenzo[a]antracen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50-32-8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200-028-5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benzo[a]piren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613-13-8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210-330-9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2-aminoantracen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50-18-0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ciklofosfamid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6055-19-2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200-015-4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ciklofosfamid monohidrat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koja predstavlja odgovarajuću pozitivnu kontrolu za metodu reduktivne metaboličke aktivacije: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2.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09"/>
        <w:gridCol w:w="2283"/>
        <w:gridCol w:w="4840"/>
      </w:tblGrid>
      <w:tr w:rsidR="00984859" w:rsidRPr="00984859" w:rsidTr="00984859">
        <w:trPr>
          <w:tblCellSpacing w:w="0" w:type="dxa"/>
        </w:trPr>
        <w:tc>
          <w:tcPr>
            <w:tcW w:w="11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12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 </w:t>
            </w:r>
          </w:p>
        </w:tc>
        <w:tc>
          <w:tcPr>
            <w:tcW w:w="26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Nazivi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573-58-0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209-358-4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Kongo crveno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2-aminoantracen se ne upotrebljava kao jedini indikator efikasnosti S9-smeše. Ukoliko se koristi 2-aminoantracen, svaki lot S9 takođe nosi obeležje mutagena koji zahteva metaboličku aktivaciju mikrozomalnim enzimima, npr. benz[a]piren, dimetilbenzantracen.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date u Tabeli 3 primeri su pozitivnih kontrola specifičnih za soj za eseje koji se sprovode bez egzogenog sistema metaboličke aktivacije: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3.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49"/>
        <w:gridCol w:w="1361"/>
        <w:gridCol w:w="3516"/>
        <w:gridCol w:w="2906"/>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EINECS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Nazivi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Soj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26628-22-8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247-852-1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Natrijum-azid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 1535 i TA 100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607-57-8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210-138-5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2-nitrofluoren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 98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90-45-9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201-995-6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9-aminoakridin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 1537, TA 97 i TA 97a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17070-45-0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241-129-4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ICR 191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 1537, TA 97 i TA 97a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80-15-9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201-254-7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Kumen hidroperoksid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 102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50-07-7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200-008-6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mitomicin 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WP2 uvrA i TA102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70-25-7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200-730-1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N-etil-N-nitro-N-nitrozogvanidin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WP2, WP2uvrA i</w:t>
            </w:r>
            <w:r w:rsidRPr="00984859">
              <w:rPr>
                <w:rFonts w:ascii="Arial" w:eastAsia="Times New Roman" w:hAnsi="Arial" w:cs="Arial"/>
                <w:lang w:eastAsia="sr-Latn-RS"/>
              </w:rPr>
              <w:br/>
              <w:t xml:space="preserve">WP2uvrA(pKM101)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56-57-5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200-281-1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4-nitrohinolin-1-oksid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WP2, WP2uvrA i</w:t>
            </w:r>
            <w:r w:rsidRPr="00984859">
              <w:rPr>
                <w:rFonts w:ascii="Arial" w:eastAsia="Times New Roman" w:hAnsi="Arial" w:cs="Arial"/>
                <w:lang w:eastAsia="sr-Latn-RS"/>
              </w:rPr>
              <w:br/>
              <w:t xml:space="preserve">WP2uvrA (pKM101)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3688-53-7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Furilfuramid (AF2)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sojevi koji sadrže plazmid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koristiti i druge referentne supstance kao pozitivne kontrole. Uzima se u obzir upotreba hemikalije srodne klase kao pozitivna kontrola, kada je dostupna.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uključiti negativne kontrole koje se sastoje samo od vehikuluma, bez ispitivane supstance i sa kojima se postupa na isti način kao i sa tretiranim grupama. Potrebno je koristiti netretirane kontrole, osim ukoliko postoje kontrolni podaci iz ranijih studija koji pokazuju da izabrani vehikulum ne dovodi do štetnih ili mutagenih efekata.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metode inkorporacije u podlogu</w:t>
      </w:r>
      <w:r w:rsidRPr="00984859">
        <w:rPr>
          <w:rFonts w:ascii="Arial" w:eastAsia="Times New Roman" w:hAnsi="Arial" w:cs="Arial"/>
          <w:b/>
          <w:bCs/>
          <w:sz w:val="15"/>
          <w:szCs w:val="15"/>
          <w:vertAlign w:val="superscript"/>
          <w:lang w:eastAsia="sr-Latn-RS"/>
        </w:rPr>
        <w:t>1, 2, 3, 4</w:t>
      </w:r>
      <w:r w:rsidRPr="00984859">
        <w:rPr>
          <w:rFonts w:ascii="Arial" w:eastAsia="Times New Roman" w:hAnsi="Arial" w:cs="Arial"/>
          <w:lang w:eastAsia="sr-Latn-RS"/>
        </w:rPr>
        <w:t xml:space="preserve"> bez metaboličke aktivacije, obično se 0,05 mL ili 0,1 mL ispitivanih rastvora, 0,1 mL sveže bakterijske kulture (koja sadrži otprilike 10</w:t>
      </w:r>
      <w:r w:rsidRPr="00984859">
        <w:rPr>
          <w:rFonts w:ascii="Arial" w:eastAsia="Times New Roman" w:hAnsi="Arial" w:cs="Arial"/>
          <w:sz w:val="15"/>
          <w:szCs w:val="15"/>
          <w:vertAlign w:val="superscript"/>
          <w:lang w:eastAsia="sr-Latn-RS"/>
        </w:rPr>
        <w:t>8</w:t>
      </w:r>
      <w:r w:rsidRPr="00984859">
        <w:rPr>
          <w:rFonts w:ascii="Arial" w:eastAsia="Times New Roman" w:hAnsi="Arial" w:cs="Arial"/>
          <w:lang w:eastAsia="sr-Latn-RS"/>
        </w:rPr>
        <w:t xml:space="preserve"> vijabilnih ćelija) i 0,5 mL sterilnog pufera pomeša sa 2,0 mL nadsloja agara. Za esej sa metaboličkom aktivacijom, obično se 0,5 mL smeše za metaboličku aktivaciju, koja sadrži odgovarajuću količinu postmitohondrijalne frakcije (u rasponu od 5% v/v do 30% v/v u smeši za metaboličku aktivaciju) meša s nadslojem agara (2,0 mL) zajedno s bakterijama i ispitivanom supstancom/ispitivanim rastvorom. Sadržaj svake epruvete izmeša se i prelije preko površine minimalne agar hranjive podloge. Nadsloj agara ostavlja se kako bi se stvrdnuo pre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metode preinkubacije</w:t>
      </w:r>
      <w:r w:rsidRPr="00984859">
        <w:rPr>
          <w:rFonts w:ascii="Arial" w:eastAsia="Times New Roman" w:hAnsi="Arial" w:cs="Arial"/>
          <w:b/>
          <w:bCs/>
          <w:sz w:val="15"/>
          <w:szCs w:val="15"/>
          <w:vertAlign w:val="superscript"/>
          <w:lang w:eastAsia="sr-Latn-RS"/>
        </w:rPr>
        <w:t xml:space="preserve">2, 3, 5, 6 </w:t>
      </w:r>
      <w:r w:rsidRPr="00984859">
        <w:rPr>
          <w:rFonts w:ascii="Arial" w:eastAsia="Times New Roman" w:hAnsi="Arial" w:cs="Arial"/>
          <w:lang w:eastAsia="sr-Latn-RS"/>
        </w:rPr>
        <w:t>ispitivana supstanca/ispitivan rastvor se preinkubira zajedno s ispitivanim sojem (koji sadrži otprilike 10</w:t>
      </w:r>
      <w:r w:rsidRPr="00984859">
        <w:rPr>
          <w:rFonts w:ascii="Arial" w:eastAsia="Times New Roman" w:hAnsi="Arial" w:cs="Arial"/>
          <w:sz w:val="15"/>
          <w:szCs w:val="15"/>
          <w:vertAlign w:val="superscript"/>
          <w:lang w:eastAsia="sr-Latn-RS"/>
        </w:rPr>
        <w:t>8</w:t>
      </w:r>
      <w:r w:rsidRPr="00984859">
        <w:rPr>
          <w:rFonts w:ascii="Arial" w:eastAsia="Times New Roman" w:hAnsi="Arial" w:cs="Arial"/>
          <w:lang w:eastAsia="sr-Latn-RS"/>
        </w:rPr>
        <w:t xml:space="preserve"> vijabilnih ćelija) i sterilnim puferom ili sistemom metaboličke aktivacije (0,5 mL), obično u trajanju od 20 minuta ili duže, pri temperaturi od 30° C do 37° C, a pre mešanja s nadslojem agara i prelivanja preko površine minimalne agar podloge. Obično se 0,05 mL ili 0,1 mL ispitivane supstance/ispitivanog rastvora, 0,1 mL bakterija i 0,5 mL S9-smeše ili sterilnog pufera pomeša sa 2,0 mL nadsloja agara. Epruvete se tokom preinkubacionog perioda snabdevaju vazduhom, primenom uređaja za mućkanje.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da se primene po tri podloge za svaki dozni nivo u cilju odgovarajuće procene varijabilnosti. Prihvatljivo je da se primene po dve podloge u slučajevima kada je to naučno opravdano. Povremeni gubitak podloge ne čini nužno esej nevažećim.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Gasovite i isparljive supstance potrebno je ispitivati pomoću odgovarajućih metoda, npr. u zapečaćenim sudovima</w:t>
      </w:r>
      <w:r w:rsidRPr="00984859">
        <w:rPr>
          <w:rFonts w:ascii="Arial" w:eastAsia="Times New Roman" w:hAnsi="Arial" w:cs="Arial"/>
          <w:b/>
          <w:bCs/>
          <w:sz w:val="15"/>
          <w:szCs w:val="15"/>
          <w:vertAlign w:val="superscript"/>
          <w:lang w:eastAsia="sr-Latn-RS"/>
        </w:rPr>
        <w:t>12, 14, 15, 16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Inkubacija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podloge u određenom ispitivanju se inkubiraju na temperaturi od 37 °C tokom 48 do 72 sata. Nakon perioda inkubacije prebrojava se broj revertantnih kolonija po podlozi.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u obliku broja revertantnih kolonija po podlozi. Navodi se broj revertantnih kolonija na podlogama negativne (kontrola sa vehikulumom i netretirana kontrola, ukoliko su primenjene) i pozitivne kontrole. Potrebno je navesti broj i srednju vrednost revetrantnih kolonija po podlozi i standardnu devijaciju za ispitivanu supstancu i pozitivne i negativne (netretirane i/ili vehikulum)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postoji potreba za verifikovanjem jasno pozitivne reakcije. Ako se dobiju dvosmisleni rezultati, razjašnjavaju se u daljim ispitivanjima, najbolje modifikovanjem eksperimentalnih uslova. Negativne rezultate potrebno je potvrditi u zavisnosti od slučaja. U slučajevima u kojima se potvrda negativnih rezultata ne smatra neophodnom, daje se obrazloženje. U narednim eksperimentima potrebno je razmotriti modifikaciju parametara ispitivanja s ciljem proširenja opsega ocenjivanih uslova. Parametri ispitivanja koje je moguće modifikovati obuhvataju razmak između koncentracija, metodu tretmana (inkorporacija u podlogu ili tečna preinkubacija) i uslove metaboličke aktivacije.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Postoji nekoliko kriterijuma za utvrđivanje pozitivnog rezultata, kao što je povećanje u zavisnosti od koncentracije u okviru ispitivanog opsega i/ili reproducibilnog povećanja broja revertantnih kolonija po podlozi pri jednoj ili više koncentracija, kod najmanje jednog soja, sa ili bez sistema metaboličke aktivacije</w:t>
      </w:r>
      <w:r w:rsidRPr="00984859">
        <w:rPr>
          <w:rFonts w:ascii="Arial" w:eastAsia="Times New Roman" w:hAnsi="Arial" w:cs="Arial"/>
          <w:b/>
          <w:bCs/>
          <w:sz w:val="15"/>
          <w:szCs w:val="15"/>
          <w:vertAlign w:val="superscript"/>
          <w:lang w:eastAsia="sr-Latn-RS"/>
        </w:rPr>
        <w:t>23</w:t>
      </w:r>
      <w:r w:rsidRPr="00984859">
        <w:rPr>
          <w:rFonts w:ascii="Arial" w:eastAsia="Times New Roman" w:hAnsi="Arial" w:cs="Arial"/>
          <w:lang w:eastAsia="sr-Latn-RS"/>
        </w:rPr>
        <w:t>. Prvenstveno se uzima u obzir biološki značaj rezultata. Mogu da se primene statističke metode kao pomoć prilikom ocenjivanja rezultata ispitivanja</w:t>
      </w:r>
      <w:r w:rsidRPr="00984859">
        <w:rPr>
          <w:rFonts w:ascii="Arial" w:eastAsia="Times New Roman" w:hAnsi="Arial" w:cs="Arial"/>
          <w:b/>
          <w:bCs/>
          <w:sz w:val="15"/>
          <w:szCs w:val="15"/>
          <w:vertAlign w:val="superscript"/>
          <w:lang w:eastAsia="sr-Latn-RS"/>
        </w:rPr>
        <w:t>24</w:t>
      </w:r>
      <w:r w:rsidRPr="00984859">
        <w:rPr>
          <w:rFonts w:ascii="Arial" w:eastAsia="Times New Roman" w:hAnsi="Arial" w:cs="Arial"/>
          <w:lang w:eastAsia="sr-Latn-RS"/>
        </w:rPr>
        <w:t xml:space="preserve">. Statistički značaj ne treba da bude jedini činilac pomoću koga se utvrđuje pozitivni odgovor.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za koju rezultati ne zadovoljavaju gore navedene kriterijume smatra se nemutagenom u ovom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većina eksperimenata daje jasne pozitivne ili negativne rezultate, u retkim slučajevima utvrđeni podaci ne omogućavaju donošenje konačnog suda o delovanju ispitivane supstance. Rezultati mogu da ostanu dvosmisleni ili pod znakom pitanja, bez obzira koliko se puta eksperiment ponovi.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Pozitivni rezultati ispitivanja bakterijskih reverznih mutacija ukazuju na to da supstanca uzrokuje tačkaste mutacije supstitucijom baze ili pomeranjem okvira čitanja u genomu kod Salmonella typhimurium odnosno Escherichia coli. Negativni rezultati ukazuju na to da, pod eksperimentalnim uslovima, ispitivana supstanca ne izaziva mutagene promene kod eksperimentne vrste.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izbora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i stabilnost ispitivane supstanca u vehikulumu, ukoliko su poznati.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Sojevima: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upotrebljeni sojevi;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ćelija po kulturi;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karakteristike soja.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količina ispitivane supstance po podlozi (mg/podloga ili µL/podloga) s obrazloženjem za izbor doze i broj podloga po koncentraciji;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upotrebljena podloga;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tip i sastav sistema metaboličke aktivacije, uključujući kriterijume prihvatljivosti;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postupci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znakovi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znakovi precipitacije;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za pojedinačne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prosečan broj revertantnih kolonija po podlozi i standardna devijacija;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doza - odgovor, ako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statističke analize, ukoliko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negativne (vehikulum) i pozitivne kontrole iz konkurentne studije, sa opsezima, srednjim vrednostima i standardnim devijacijama;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negativne (vehikulum) i pozitivne kontrole iz ranije studije, sa opsezima srednjim vrednostima i standardnim devijacijama;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Ames, B.N., McCann, J. and Yamasaki E., (1975) Methods for Detecting Carcinogens and Mutagens with the Salmonella/Mammalian-Microsome Mutagenicity Test. Mutation Res., 31, p. 347-364.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Maron, D.M. and Ames, B.N., (1983) Revised Methods for the Salmonella Mutagenicity Test. Mutation Res., 113, p. 173-215.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Gatehouse, D., Haworth, S., Cebula, T., Gocke, E., Kier, L., Matsushima, T., Melcion, C., Nohmi, T., Venitt, S. and Zeiger, E., (1994) Recommendations for the Performance of Bacterial Mutation Assays. Mutation Res., 312, p. 217-233.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4. Kier, L.D., Brusick D.J., Auletta, A.E., Von Halle, E.S., Brown, M.M., Simmon, V.F., Dunkel, V., McCann, J., Mortelmans, K., Prival, M., Rao, T.K. and Ray V., (1986) The Salmonella typhimurium/Mammalian Microsomal Assay: A Report of the U.S. Environmental Protection Agency Gene-Tox Program. Mutation Res., 168, p. 69-240.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Yahagi, T., Degawa, M., Seino, Y.Y., Matsushima, T., Nagao, M., Sugimura, T. and Hashimoto, Y., (1975) Mutagenicity of Carcinogen Azo Dyes and their Derivatives, Cancer Letters, 1, p. 91-96.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Matsushima, M., Sugimura, T., Nagao, M., Yahagi, T., Shirai, A. and Sawamura, M., (1980) Factors Modulating Mutagenicity Microbial Tests. In: Short-term Test Systems for Detecting Carcinogens. Ed. Norpoth K.H. and Garner, R.C., Springer, Berlin-Heidelberg-New York. p. 273-285.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Gatehouse, D.G., Rowland, I.R., Wilcox, P., Callender, R.D. and Foster, R., (1980) Bacterial Mutation Assays. In: Basic Mutagenicity Tests: UKEMS Part 1 Revised. Ed. D.J. Kirkland, Cambridge University Press,p. 13-61.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Aeschacher, H.U., Wolleb, U. and Porchet, L., (1987) Liquid Preincubation Mutagenicity Test for Foods. J. Food Safety, 8, p. 167-177.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Green, M.H.L., Muriel, W.J. and Bridges, B.A., (1976) Use of a simplified fluctuation test to detect low levels of mutagens. Mutation Res., 38, p. 33-42.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Hubbard, S.A., Green, M.H.L., Gatehouse, D. and J.W. Bridges (1984) The Fluctuation Test in Bacteria. In: Handbook of Mutagenicity Test Procedures. 2nd Edition. Ed. Kilbey, B.J., Legator, M., Nichols, W. And Ramel, C., Elsevier, Amsterdam-New York-Oxford, p. 141-161.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Thompson, E.D. and Melampy, P.J., (1981) An Examination of the Quantitative Suspension Assay for Mutagenesis with Strains of Salmonella typhimurium. Environmental Mutagenesis, 3, p. 453-465.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Araki, A., Noguchi, T., Kato, F. and T. Matsushima (1994) Improved Method for Mutagenicity Testing of Gaseous Compounds by Using a Gas Sampling Bag. Mutation Res., 307, p. 335-344.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Prival, M.J., Bell, S.J., Mitchell, V.D., Reipert, M.D. and Vaughn, V.L., (1984) Mutagenicity of Benzidine and Benzidine-Congener Dyes and Selected Monoazo Dyes in a Modified Salmonella Assay. Mutation Res., 136, p. 33-47.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Zeiger, E., Anderson, B.E., Haworth, S., Lawlor, T. and Mortelmans, K., (1992) Salmonella Mutagenicity Tests. V. Results from the Testing of 311 Chemicals. Environ. Mol. Mutagen., 19, p. 2-141.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Simmon, V., Kauhanen, K. and Tardiff, R.G., (1977) Mutagenic Activity of Chemicals Identified in Drinking Water. In Progress in Genetic Toxicology, D. Scott, B. Bridges and F. Sobels (Eds.) Elsevier, Amsterdam, p. 249-258.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Hughes, T.J., Simmons, D.M., Monteith, I.G. and Claxton, L.D., (1987) Vaporisation Technique to Measure Mutagenic Activity of Volatile Organic Chemicals in the Ames/Salmonella Assay. Environmental Mutagenesis, 9, p. 421-441.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17. Matsushima, T., Matsumoto, A., Shirai, M., Sawamura, M., and Sugimura, T., (1979) Mutagenicity of the Naturally Occurring Carcinogen Cycasin and Synthetic Methylazoxy Methane Conjugates in Salmonella typhimurium. Cancer Res., 39, p. 3780-3782.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Tamura, G., Gold, C., Ferro-Luzzi, A. and Ames, B.N., (1980) Fecalase: A Model for Activation of Dietary Glycosides to Mutagens by Intestinal Flora. Proc. Natl. Acad. Sci. USA, 77, p. 4961-4965.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Wilcox, P., Naidoo, A., Wedd, D.J. and Gatehouse, D.G., (1990) Comparison of Salmonella typhimurium TA 102 with Escherichia coli WP2 Tester strains. Mutagenesis, 5, p. 285-291.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20. Matsushima, T., Sawamura, M., Hara, K. and Sugimura, T., (1976) A Safe Substitute for Polychlorinated Biphenyls as an Inducer or Metabolic Activation Systems. In: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metabolic Activation in Mutagenesis Testing" Eds. F.J. de Serres et al. Elsevier, North Holland, p. 85-88.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Elliot, B.M., Combes, R.D., Elcombe, C.R., Gatehouse, D.G., Gibson, G.G., Mackay, J.M. and Wolf, R.C., (1992) Alternatives to Aroclor 1254-induced S9 in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Genotoxicity Assays. Mutagenesis, 7, p. 175-177.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Maron, D., Katzenellenbogen, J. and Ames, B.N., (1981) Compatibility of Organic Solvents with the Salmonella/Microsome Test. Mutation Res., p. 88343-350.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Claxton, L.D., Allen, J., Auletta, A., Mortelmans, K., Nestmann, E. and Zeiger, E., (1987) Guide for the Salmonella typhimurium/Mammalian Microsome Tests for Bacterial Mutagenicity. Mutation Res. 189, p. 83-91.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Mahon, G.A.T., Green, M.H.L., Middleton, B., Mitchell, I., Robinson, W.D. and Tweats, D.J., (1989) Analysis of Data from Microbial Colony Assays. In: UKEMS Sub-Committee on Guidelines for Mutagenicity Testing. Part II. Statistical Evaluation of Mutagenicity Test Data. Ed. Kirkland, D.J., Cambridge University Press, p. 28-65.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B.15. ISPITIVANJE MUTAGENOSTI I SKRINING ZA GENSKE MUTACIJE KARCINOGENOSTI-SACCAHAROMYCES CEREVISIAE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Merenje produkcije genskih mutacija izazvanih hemijskim agensima sa i bez metaboličke aktivacije može da se izvodi na više haploidnih i diploidnih sojeva kvasca Saccharomyces cerevisiae.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Koriste se rani sistemi mutacije kod haploidnih sojeva, poput merenja mutacije od crvenih mutanata zavisnih od adenina (</w:t>
      </w:r>
      <w:r w:rsidRPr="00984859">
        <w:rPr>
          <w:rFonts w:ascii="Arial" w:eastAsia="Times New Roman" w:hAnsi="Arial" w:cs="Arial"/>
          <w:i/>
          <w:iCs/>
          <w:lang w:eastAsia="sr-Latn-RS"/>
        </w:rPr>
        <w:t>ade</w:t>
      </w:r>
      <w:r w:rsidRPr="00984859">
        <w:rPr>
          <w:rFonts w:ascii="Arial" w:eastAsia="Times New Roman" w:hAnsi="Arial" w:cs="Arial"/>
          <w:lang w:eastAsia="sr-Latn-RS"/>
        </w:rPr>
        <w:t xml:space="preserve">-1, </w:t>
      </w:r>
      <w:r w:rsidRPr="00984859">
        <w:rPr>
          <w:rFonts w:ascii="Arial" w:eastAsia="Times New Roman" w:hAnsi="Arial" w:cs="Arial"/>
          <w:i/>
          <w:iCs/>
          <w:lang w:eastAsia="sr-Latn-RS"/>
        </w:rPr>
        <w:t>ade</w:t>
      </w:r>
      <w:r w:rsidRPr="00984859">
        <w:rPr>
          <w:rFonts w:ascii="Arial" w:eastAsia="Times New Roman" w:hAnsi="Arial" w:cs="Arial"/>
          <w:lang w:eastAsia="sr-Latn-RS"/>
        </w:rPr>
        <w:t xml:space="preserve">-2) do belih mutanata dvostruko zavisnih od adenina i selektivni sistemi poput indukcije rezistencije na kanavnain i cikloheksimid.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Najobimnije validiran sistem reverznih mutacija uključuje primenu haploidnog soja HV 185-14C koji nosi oker nonsense mutacije </w:t>
      </w:r>
      <w:r w:rsidRPr="00984859">
        <w:rPr>
          <w:rFonts w:ascii="Arial" w:eastAsia="Times New Roman" w:hAnsi="Arial" w:cs="Arial"/>
          <w:i/>
          <w:iCs/>
          <w:lang w:eastAsia="sr-Latn-RS"/>
        </w:rPr>
        <w:t>ade</w:t>
      </w:r>
      <w:r w:rsidRPr="00984859">
        <w:rPr>
          <w:rFonts w:ascii="Arial" w:eastAsia="Times New Roman" w:hAnsi="Arial" w:cs="Arial"/>
          <w:lang w:eastAsia="sr-Latn-RS"/>
        </w:rPr>
        <w:t xml:space="preserve"> 2-1, </w:t>
      </w:r>
      <w:r w:rsidRPr="00984859">
        <w:rPr>
          <w:rFonts w:ascii="Arial" w:eastAsia="Times New Roman" w:hAnsi="Arial" w:cs="Arial"/>
          <w:i/>
          <w:iCs/>
          <w:lang w:eastAsia="sr-Latn-RS"/>
        </w:rPr>
        <w:t>arg</w:t>
      </w:r>
      <w:r w:rsidRPr="00984859">
        <w:rPr>
          <w:rFonts w:ascii="Arial" w:eastAsia="Times New Roman" w:hAnsi="Arial" w:cs="Arial"/>
          <w:lang w:eastAsia="sr-Latn-RS"/>
        </w:rPr>
        <w:t xml:space="preserve"> 4-17, </w:t>
      </w:r>
      <w:r w:rsidRPr="00984859">
        <w:rPr>
          <w:rFonts w:ascii="Arial" w:eastAsia="Times New Roman" w:hAnsi="Arial" w:cs="Arial"/>
          <w:i/>
          <w:iCs/>
          <w:lang w:eastAsia="sr-Latn-RS"/>
        </w:rPr>
        <w:t>lys</w:t>
      </w:r>
      <w:r w:rsidRPr="00984859">
        <w:rPr>
          <w:rFonts w:ascii="Arial" w:eastAsia="Times New Roman" w:hAnsi="Arial" w:cs="Arial"/>
          <w:lang w:eastAsia="sr-Latn-RS"/>
        </w:rPr>
        <w:t xml:space="preserve"> 1-1 i </w:t>
      </w:r>
      <w:r w:rsidRPr="00984859">
        <w:rPr>
          <w:rFonts w:ascii="Arial" w:eastAsia="Times New Roman" w:hAnsi="Arial" w:cs="Arial"/>
          <w:i/>
          <w:iCs/>
          <w:lang w:eastAsia="sr-Latn-RS"/>
        </w:rPr>
        <w:t>trp</w:t>
      </w:r>
      <w:r w:rsidRPr="00984859">
        <w:rPr>
          <w:rFonts w:ascii="Arial" w:eastAsia="Times New Roman" w:hAnsi="Arial" w:cs="Arial"/>
          <w:lang w:eastAsia="sr-Latn-RS"/>
        </w:rPr>
        <w:t xml:space="preserve"> 5-48, koje su reverzibilne mutageninima supstitucije baza koji izazivaju mutacije specifičnih lokacija ili mutacije oker supresora. HV 185-14C takođe nosi marker </w:t>
      </w:r>
      <w:r w:rsidRPr="00984859">
        <w:rPr>
          <w:rFonts w:ascii="Arial" w:eastAsia="Times New Roman" w:hAnsi="Arial" w:cs="Arial"/>
          <w:i/>
          <w:iCs/>
          <w:lang w:eastAsia="sr-Latn-RS"/>
        </w:rPr>
        <w:t>his</w:t>
      </w:r>
      <w:r w:rsidRPr="00984859">
        <w:rPr>
          <w:rFonts w:ascii="Arial" w:eastAsia="Times New Roman" w:hAnsi="Arial" w:cs="Arial"/>
          <w:lang w:eastAsia="sr-Latn-RS"/>
        </w:rPr>
        <w:t xml:space="preserve"> 1-7, missense mutaciju koja se reverzno mutira uglavnom kroz mutacije na drugoj lokaciji, kao i marker </w:t>
      </w:r>
      <w:r w:rsidRPr="00984859">
        <w:rPr>
          <w:rFonts w:ascii="Arial" w:eastAsia="Times New Roman" w:hAnsi="Arial" w:cs="Arial"/>
          <w:i/>
          <w:iCs/>
          <w:lang w:eastAsia="sr-Latn-RS"/>
        </w:rPr>
        <w:t>hom</w:t>
      </w:r>
      <w:r w:rsidRPr="00984859">
        <w:rPr>
          <w:rFonts w:ascii="Arial" w:eastAsia="Times New Roman" w:hAnsi="Arial" w:cs="Arial"/>
          <w:lang w:eastAsia="sr-Latn-RS"/>
        </w:rPr>
        <w:t xml:space="preserve"> 3-10 koga reverzno mutiraju mutageni pomaka okvira čitanja.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diploidnim sojevima S. cerevisiae jedini soj koji ima široku primenu je D7 koji je homozigotan za ilv 1-92.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KAVALITETA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Rastvori ispitivanih hemikalija i kontrola pripremaju se neposredno pre ispitivanja, uz primenu odgovarajućeg vehikuluma. Kada su u pitanju organska jedinjenja koja nisu rastvorna u vodi, ne upotrebljava se rastvor jači od 2% v/v za organske rastvarače kao što su etanol, aceton ili dimetilsulfoksid (DMSO). Konačna koncentracija vehikuluma ne treba u značajnoj meri da utiče na ćelijsku vijabilnost i svojstva rasta.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Metabolička aktivacija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se izlažu ispitivanim hemikalijama i u prisustvu i u odsustvu odgovarajućeg egzogenog sistema metaboličke aktivacije.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Najčešće korišćen sistem jeste postmitohondrijalna frakcija sa kofaktorom pripremljena od jetre glodara prethodno tretiranih agensima enzimske indukcije. Za metaboličku aktivaciju može biti prihvatljiva primena i drugih vrsta, tkiva, postmitohondrijalnih frakcija ili postupaka.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Eksperimentalni sojevi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Haploidni soj HV 185-14C i diploidni soj D7 su sojevi koji se najčešće primenjuju u ispitivanjima genskih mutacija. Mogu da odgovaraju i drugi sojevi.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Radi utvrđivanja preživljavanja i broja mutanata koriste se odgovarajuće podloge za kultivisanje.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1.6.2.3. Primena pozitivnih i negativnih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istovremeno izvesti pozitivne, netretirane i kontrole vehikuluma. Za svaki posmatrani specifični efekat mutacije primenjuju se odgovarajuće hemikalije pozitivne kontrole.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Koncentracija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upotrebiti najmanje pet odgovarajuće raspoređenih koncentracija ispitivane supstance. Najviša ispitivana koncentracija toksičnih supstanci ne sme da smanji preživljenje ispod 5% do 10%. Supstance koje su relativno nerastvorne u vodi ispituju se do granice rastvorljivosti, uz primenu odgovarajućih postupaka. Za netoksične supstance koje se lako rastvaraju u vodi gornja granica koncentracije se određuje u zavisnosti od slučaja.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Uslovi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Podloge se inkubiraju od četiri do sedam dana na temperaturi od 28° C do 30° C na tamnom mestu.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1.6.2.6. Frekvencija spontanih mutacija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da se koriste subkulture kod kojih je frekvenca spontanih mutacija u okviru prihvaćenog normalnog opsega.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1.6.2.7. Broj replikata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da se primene najmanje tri podloge po koncentraciji za esej prototrofa nastalih usled genske mutacije i za vijabilnost ćelija. U slučaju eksperimenta koji koriste markere kao što je hom 3-10 sa niskim stopom mutacija, broj hranljivih podloga se povećava kako bi se dobili statistički relevantni podaci.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Tretiranje sojeva S. cerevisiae obično se obavlja u postupku ispitivanja u tečnoj podlozi koji obuhvata ćelije u fazi mirovanja ili ćelije u rastu. Inicijalni eksperimenti se izvode na ćelijama u rastu: 1-5 x 10</w:t>
      </w:r>
      <w:r w:rsidRPr="00984859">
        <w:rPr>
          <w:rFonts w:ascii="Arial" w:eastAsia="Times New Roman" w:hAnsi="Arial" w:cs="Arial"/>
          <w:sz w:val="15"/>
          <w:szCs w:val="15"/>
          <w:vertAlign w:val="superscript"/>
          <w:lang w:eastAsia="sr-Latn-RS"/>
        </w:rPr>
        <w:t>7</w:t>
      </w:r>
      <w:r w:rsidRPr="00984859">
        <w:rPr>
          <w:rFonts w:ascii="Arial" w:eastAsia="Times New Roman" w:hAnsi="Arial" w:cs="Arial"/>
          <w:lang w:eastAsia="sr-Latn-RS"/>
        </w:rPr>
        <w:t xml:space="preserve"> ćelija/mL izlaže se ispitivanoj hemikaliji do 18 sati na temperaturi od 28° C do 37° C uz mešanje. Tokom tretmana dodaje se odgovarajuća količina sistema metaboličke aktivacije kada je prikladno. Na kraju tretmana ćelije se centrifugiraju, ispiraju i zasejavaju na odgovarajuću podlogu. Nakon inkubacije, podloge se ocenjuju na preživljavanje i indukciju genskih mutacija.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je prvi eksperiment negativan, drugi eksperiment se izvodi uz primenu ćelija u fazi mirovanja. Ukoliko je prvi eksperiment pozitivan, potvrđuje se obavljanjem odgovarajućeg nezavisnog eksperimenta.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Navodi se: broj izbrojanih kolonija, broj mutanata, preživljavanje i učestalost mutacija. Sve rezultate potrebno je potvrditi u nezavisnom eksperimentu. Podaci se procenjuju primenom odgovarajućih statističkih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upotrebljenom soju;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uslovima ispitivanja: faza mirovanja ili ćelije u rastu, sastav podloge, temperatura inkubacije i trajanje, sistem metaboličke aktivacije;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uslovima tretiranja: nivoi izlaganja, postupak i trajanje tretmana, temperatura na kojoj se izvodi, pozitivne i negativne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broju izbrojanih kolonija, broj mutanata, preživljavanje i učestalost mutanata, odnos doza - odgovor, ukoliko je moguće, statističku procenu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B.16. MITOTSKA REKOMBINACIJA - SACCAROMYCES CEREVISIAE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Mitotska rekombinacija kod Saccaromyces cerevisiae može se otkriti između gena (ili obično između gena i njegove centromere), kao i unutar gena. Prvi navedeni događaj naziva se mitotskim krosingoverom (crossing-over) i stvara recipročne proizvode, dok drugi događaj najčešće nije recipročan i naziva se konverzijom gena. Krosingover se obično ispituje na osnovu stvaranja recesivnih homozigotnih kolonija ili sektora stvorenih u heterozigotnom soju, dok se konverzija gena ispituje na osnovu stvaranja prototrofnih revertanata koji nastaju u auksotrofnom heteroalelnom soju koji nosi dva različita defektna alela istog gena. Najčešće korišćeni sojevi namenjeni otkrivanju mitotske konverzije gena su: D</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(heteroalel na </w:t>
      </w:r>
      <w:r w:rsidRPr="00984859">
        <w:rPr>
          <w:rFonts w:ascii="Arial" w:eastAsia="Times New Roman" w:hAnsi="Arial" w:cs="Arial"/>
          <w:i/>
          <w:iCs/>
          <w:lang w:eastAsia="sr-Latn-RS"/>
        </w:rPr>
        <w:t>ade</w:t>
      </w:r>
      <w:r w:rsidRPr="00984859">
        <w:rPr>
          <w:rFonts w:ascii="Arial" w:eastAsia="Times New Roman" w:hAnsi="Arial" w:cs="Arial"/>
          <w:lang w:eastAsia="sr-Latn-RS"/>
        </w:rPr>
        <w:t xml:space="preserve"> 2 i </w:t>
      </w:r>
      <w:r w:rsidRPr="00984859">
        <w:rPr>
          <w:rFonts w:ascii="Arial" w:eastAsia="Times New Roman" w:hAnsi="Arial" w:cs="Arial"/>
          <w:lang w:eastAsia="sr-Latn-RS"/>
        </w:rPr>
        <w:lastRenderedPageBreak/>
        <w:t xml:space="preserve">trp 5), D7 (heteroalel na </w:t>
      </w:r>
      <w:r w:rsidRPr="00984859">
        <w:rPr>
          <w:rFonts w:ascii="Arial" w:eastAsia="Times New Roman" w:hAnsi="Arial" w:cs="Arial"/>
          <w:i/>
          <w:iCs/>
          <w:lang w:eastAsia="sr-Latn-RS"/>
        </w:rPr>
        <w:t>trp</w:t>
      </w:r>
      <w:r w:rsidRPr="00984859">
        <w:rPr>
          <w:rFonts w:ascii="Arial" w:eastAsia="Times New Roman" w:hAnsi="Arial" w:cs="Arial"/>
          <w:lang w:eastAsia="sr-Latn-RS"/>
        </w:rPr>
        <w:t xml:space="preserve"> 5), BZ</w:t>
      </w:r>
      <w:r w:rsidRPr="00984859">
        <w:rPr>
          <w:rFonts w:ascii="Arial" w:eastAsia="Times New Roman" w:hAnsi="Arial" w:cs="Arial"/>
          <w:sz w:val="15"/>
          <w:szCs w:val="15"/>
          <w:vertAlign w:val="subscript"/>
          <w:lang w:eastAsia="sr-Latn-RS"/>
        </w:rPr>
        <w:t>34</w:t>
      </w:r>
      <w:r w:rsidRPr="00984859">
        <w:rPr>
          <w:rFonts w:ascii="Arial" w:eastAsia="Times New Roman" w:hAnsi="Arial" w:cs="Arial"/>
          <w:lang w:eastAsia="sr-Latn-RS"/>
        </w:rPr>
        <w:t xml:space="preserve"> (heteroalel na </w:t>
      </w:r>
      <w:r w:rsidRPr="00984859">
        <w:rPr>
          <w:rFonts w:ascii="Arial" w:eastAsia="Times New Roman" w:hAnsi="Arial" w:cs="Arial"/>
          <w:i/>
          <w:iCs/>
          <w:lang w:eastAsia="sr-Latn-RS"/>
        </w:rPr>
        <w:t>arg</w:t>
      </w:r>
      <w:r w:rsidRPr="00984859">
        <w:rPr>
          <w:rFonts w:ascii="Arial" w:eastAsia="Times New Roman" w:hAnsi="Arial" w:cs="Arial"/>
          <w:lang w:eastAsia="sr-Latn-RS"/>
        </w:rPr>
        <w:t xml:space="preserve"> 4) i JDl (heteroalel na </w:t>
      </w:r>
      <w:r w:rsidRPr="00984859">
        <w:rPr>
          <w:rFonts w:ascii="Arial" w:eastAsia="Times New Roman" w:hAnsi="Arial" w:cs="Arial"/>
          <w:i/>
          <w:iCs/>
          <w:lang w:eastAsia="sr-Latn-RS"/>
        </w:rPr>
        <w:t>his</w:t>
      </w:r>
      <w:r w:rsidRPr="00984859">
        <w:rPr>
          <w:rFonts w:ascii="Arial" w:eastAsia="Times New Roman" w:hAnsi="Arial" w:cs="Arial"/>
          <w:lang w:eastAsia="sr-Latn-RS"/>
        </w:rPr>
        <w:t xml:space="preserve"> 4 i </w:t>
      </w:r>
      <w:r w:rsidRPr="00984859">
        <w:rPr>
          <w:rFonts w:ascii="Arial" w:eastAsia="Times New Roman" w:hAnsi="Arial" w:cs="Arial"/>
          <w:i/>
          <w:iCs/>
          <w:lang w:eastAsia="sr-Latn-RS"/>
        </w:rPr>
        <w:t>trp</w:t>
      </w:r>
      <w:r w:rsidRPr="00984859">
        <w:rPr>
          <w:rFonts w:ascii="Arial" w:eastAsia="Times New Roman" w:hAnsi="Arial" w:cs="Arial"/>
          <w:lang w:eastAsia="sr-Latn-RS"/>
        </w:rPr>
        <w:t xml:space="preserve"> 5). Mitotski krosingover koji stvara crvene i ružičaste homozigotne sektore može da se analizira kod D</w:t>
      </w:r>
      <w:r w:rsidRPr="00984859">
        <w:rPr>
          <w:rFonts w:ascii="Arial" w:eastAsia="Times New Roman" w:hAnsi="Arial" w:cs="Arial"/>
          <w:sz w:val="15"/>
          <w:szCs w:val="15"/>
          <w:vertAlign w:val="subscript"/>
          <w:lang w:eastAsia="sr-Latn-RS"/>
        </w:rPr>
        <w:t>5</w:t>
      </w:r>
      <w:r w:rsidRPr="00984859">
        <w:rPr>
          <w:rFonts w:ascii="Arial" w:eastAsia="Times New Roman" w:hAnsi="Arial" w:cs="Arial"/>
          <w:lang w:eastAsia="sr-Latn-RS"/>
        </w:rPr>
        <w:t xml:space="preserve"> ili D</w:t>
      </w:r>
      <w:r w:rsidRPr="00984859">
        <w:rPr>
          <w:rFonts w:ascii="Arial" w:eastAsia="Times New Roman" w:hAnsi="Arial" w:cs="Arial"/>
          <w:sz w:val="15"/>
          <w:szCs w:val="15"/>
          <w:vertAlign w:val="subscript"/>
          <w:lang w:eastAsia="sr-Latn-RS"/>
        </w:rPr>
        <w:t>7</w:t>
      </w:r>
      <w:r w:rsidRPr="00984859">
        <w:rPr>
          <w:rFonts w:ascii="Arial" w:eastAsia="Times New Roman" w:hAnsi="Arial" w:cs="Arial"/>
          <w:lang w:eastAsia="sr-Latn-RS"/>
        </w:rPr>
        <w:t xml:space="preserve"> (čime se ujedno meri mitotska konverzija gena i reverzna mutacija na </w:t>
      </w:r>
      <w:r w:rsidRPr="00984859">
        <w:rPr>
          <w:rFonts w:ascii="Arial" w:eastAsia="Times New Roman" w:hAnsi="Arial" w:cs="Arial"/>
          <w:i/>
          <w:iCs/>
          <w:lang w:eastAsia="sr-Latn-RS"/>
        </w:rPr>
        <w:t>ilv</w:t>
      </w:r>
      <w:r w:rsidRPr="00984859">
        <w:rPr>
          <w:rFonts w:ascii="Arial" w:eastAsia="Times New Roman" w:hAnsi="Arial" w:cs="Arial"/>
          <w:lang w:eastAsia="sr-Latn-RS"/>
        </w:rPr>
        <w:t xml:space="preserve"> 1-92), pri čemu su oba soja heteroalelna za komplementarne alele </w:t>
      </w:r>
      <w:r w:rsidRPr="00984859">
        <w:rPr>
          <w:rFonts w:ascii="Arial" w:eastAsia="Times New Roman" w:hAnsi="Arial" w:cs="Arial"/>
          <w:i/>
          <w:iCs/>
          <w:lang w:eastAsia="sr-Latn-RS"/>
        </w:rPr>
        <w:t>ade</w:t>
      </w:r>
      <w:r w:rsidRPr="00984859">
        <w:rPr>
          <w:rFonts w:ascii="Arial" w:eastAsia="Times New Roman" w:hAnsi="Arial" w:cs="Arial"/>
          <w:lang w:eastAsia="sr-Latn-RS"/>
        </w:rPr>
        <w:t xml:space="preserve"> 2.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Rastvori ispitivanih hemikalija i kontrolnih ili referentnih jedinjenja pripremaju se neposredno pre ispitivanja, uz primenu odgovarajućeg vehikuluma. Kada su u pitanju organska jedinjenja koji nisu rastvorljiva u vodi, ne upotrebljava se rastvor jači od 2% v/v organskih rastvarača kao što su etanol, aceton ili dimetilsulfoksid (DMSO). Konačna koncentracija vehikuluma ne sme u značajnoj meri da utiče na ćelijsku vijabilnost i svojstva rasta ćelija.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Metabolička aktivacija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se izlažu ispitivanim hemikalijama i u prisustvu i u odsustvu odgovarajućeg egzogenog sistema metaboličke aktivacije. Najčešće korišćen sistem je postmitohondrijalna frakcija sa kofaktorom, pripremljena od jetre glodara prethodno tretiranih agensima koji indukuju enzime. Za metaboličku aktivaciju mogu da se primene i druge vrste, tkiva, postmitohondrijalne frakcije ili postupci.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Eksperimentalni sojevi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Najčešće se primenjuju sojevi diploidi D</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D</w:t>
      </w:r>
      <w:r w:rsidRPr="00984859">
        <w:rPr>
          <w:rFonts w:ascii="Arial" w:eastAsia="Times New Roman" w:hAnsi="Arial" w:cs="Arial"/>
          <w:sz w:val="15"/>
          <w:szCs w:val="15"/>
          <w:vertAlign w:val="subscript"/>
          <w:lang w:eastAsia="sr-Latn-RS"/>
        </w:rPr>
        <w:t>5</w:t>
      </w:r>
      <w:r w:rsidRPr="00984859">
        <w:rPr>
          <w:rFonts w:ascii="Arial" w:eastAsia="Times New Roman" w:hAnsi="Arial" w:cs="Arial"/>
          <w:lang w:eastAsia="sr-Latn-RS"/>
        </w:rPr>
        <w:t>, D</w:t>
      </w:r>
      <w:r w:rsidRPr="00984859">
        <w:rPr>
          <w:rFonts w:ascii="Arial" w:eastAsia="Times New Roman" w:hAnsi="Arial" w:cs="Arial"/>
          <w:sz w:val="15"/>
          <w:szCs w:val="15"/>
          <w:vertAlign w:val="subscript"/>
          <w:lang w:eastAsia="sr-Latn-RS"/>
        </w:rPr>
        <w:t>7</w:t>
      </w:r>
      <w:r w:rsidRPr="00984859">
        <w:rPr>
          <w:rFonts w:ascii="Arial" w:eastAsia="Times New Roman" w:hAnsi="Arial" w:cs="Arial"/>
          <w:lang w:eastAsia="sr-Latn-RS"/>
        </w:rPr>
        <w:t xml:space="preserve"> i JD</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Mogu da se koriste i drugi sojevi.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Podloga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određivanje preživljavanja i učestalosti mitotske rekombinacije koriste se odgovarajuće podloge.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Upotreba pozitivnih i negativnih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Istovremeno je potrebno izvoditi pozitivne, netretirane i kontrole vehikuluma. Primenjuju se odgovarajuće hemikalije pozitivne kontrole za svaki specifični pokazatelj ispitivanja rekombinacije.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Koncentracije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upotrebiti najmanje pet odgovarajuće raspoređenih koncentracija ispitivane supstance. Među faktorima koji se uzimaju u obzir nalaze se citotoksičnost i rastvorljivost. Najniža koncentracija ne sme da ima efekat na vijabilnost ćelija. Najviša ispitivana koncentracija toksičnih hemikalija ne sme da smanji preživljenje ispod 5% do 10%. Hemikalije koje su relativno nerastvorne u vodi ispituju se do njihove granice rastvorljivosti uz primenu odgovarajućih postupaka. Za netoksične supstance koje se lako rastvaraju u vodi gornja granica koncentracije određuje se u zavisnosti od slučaja.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Ćelije mogu da se izlože ispitivanim hemikalijama u fazi mirovanja ili tokom rasta u trajanju do 18 sati. Za dugotrajne tretmane kulture se mikroskopski pregledaju na formiranje spora, čije postojanje čini ispitivanje nevažećim.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Uslovi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Podloge se inkubiraju na tamnom mestu, od četiri do sedam dana, na temperaturi od 28° C do 30° C. Podloge koje se koriste za ispitivanje crvenih i ružičastih homozigotnih sektora koji su nastali mitotskim krosingoverom drže se u frižideru (na temperaturi oko 4° C) tokom jednog do dva dana pre ocenjivanja, a kako bi se omogućio razvoj odgovarajućih pigmentovanih kolonija.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1.6.2.6. Učestalosti spontane mitotske rekombinacije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subkulture sa učestalošću spontanih mutacija mitotske rekombinacije u okviru prihvaćenog normalnog opsega.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1.6.2.7. Broj replikata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prototrofa nastalih usled mitotske konverzije gena i za vijabilnost ćelija neophodno je primeniti najmanje tri podloge po koncentraciji. U slučaju ispitivanja recesivnih homozigota koje nastaju mitotskim krosingoverom, potrebno je povećati broj podloga kako bi se obezbedio odgovarajući broj kolonija.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Tretiranje sojeva S. Cerevisiae obično se obavlja postupkom u tečnoj podlozi koji uključuje ćelije u fazi mirovanja ili ćelije u rastu. Prethodni eksperimenti se obavljaju na ćelijama u rastu: 1-5 x 10</w:t>
      </w:r>
      <w:r w:rsidRPr="00984859">
        <w:rPr>
          <w:rFonts w:ascii="Arial" w:eastAsia="Times New Roman" w:hAnsi="Arial" w:cs="Arial"/>
          <w:sz w:val="15"/>
          <w:szCs w:val="15"/>
          <w:vertAlign w:val="superscript"/>
          <w:lang w:eastAsia="sr-Latn-RS"/>
        </w:rPr>
        <w:t>7</w:t>
      </w:r>
      <w:r w:rsidRPr="00984859">
        <w:rPr>
          <w:rFonts w:ascii="Arial" w:eastAsia="Times New Roman" w:hAnsi="Arial" w:cs="Arial"/>
          <w:lang w:eastAsia="sr-Latn-RS"/>
        </w:rPr>
        <w:t xml:space="preserve"> ćelija/mL izlaže se ispitivanoj hemikaliji do 18 sati na temperaturi od 28° C do 37° C uz mešanje. Tokom tretmana dodaje se odgovarajuća količina sistema za metaboličku aktivaciju, kada je prikladno.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tretmana ćelije se centrifugiraju, ispiraju i zasejavaju na odgovarajuće podloge za kultivisanje. Nakon inkubacije, hranljive podloge se ocenjuju na preživljenje i indukciju mitotske rekombinacije.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je prvi eksperiment negativan, obavlja se drugi eksperiment uz primenu ćelija u fazi mirovanja. Ukoliko je prvi eksperiment pozitivan, ovaj rezultat se potvrđuje u nezavisnom eksperimentu.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Navodi se: broj izbrojanih kolonija, broj rekombinanata, preživljenje i frekvenca rekombinanata.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potvrditi rezultate u nezavisnom eksperimentu.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procenjuju primenom odgovarajućih statističkih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upotrebljenom soju;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uslovima ispitivanja: stacionarna faza ili ćelije u rastu, sastav podloge, temperatura inkubacije i trajanje, sistem metaboličke aktivacije;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uslovima tretiranja: koncentracija kojoj su ćelije izložene, postupak i trajanje tretmana, temperatura, pozitivne i negativne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broju izbrojanih kolonija, broj rekombinanata, preživljenje i učestalost rekombinacije, odnos doza-odgovor, ukoliko je moguće, statistička procena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B.17. MUTAGENOST - </w:t>
      </w:r>
      <w:r w:rsidRPr="00984859">
        <w:rPr>
          <w:rFonts w:ascii="Arial" w:eastAsia="Times New Roman" w:hAnsi="Arial" w:cs="Arial"/>
          <w:b/>
          <w:bCs/>
          <w:i/>
          <w:iCs/>
          <w:lang w:eastAsia="sr-Latn-RS"/>
        </w:rPr>
        <w:t xml:space="preserve">IN VITRO </w:t>
      </w:r>
      <w:r w:rsidRPr="00984859">
        <w:rPr>
          <w:rFonts w:ascii="Arial" w:eastAsia="Times New Roman" w:hAnsi="Arial" w:cs="Arial"/>
          <w:b/>
          <w:bCs/>
          <w:lang w:eastAsia="sr-Latn-RS"/>
        </w:rPr>
        <w:t xml:space="preserve">ISPITIVANJE GENSKE MUTACIJE NA ĆELIJAMA SISARA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476,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ispitivanje genskih mutacija na ćelijama sisara (Mammalian Cell Gene Mutation Test) (1997).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otkrivanje genskih mutacija izazvanih hemijskim supstancama može se koristiti ispitivanje genskih mutacija na ćelijama sisara </w:t>
      </w:r>
      <w:r w:rsidRPr="00984859">
        <w:rPr>
          <w:rFonts w:ascii="Arial" w:eastAsia="Times New Roman" w:hAnsi="Arial" w:cs="Arial"/>
          <w:i/>
          <w:iCs/>
          <w:lang w:eastAsia="sr-Latn-RS"/>
        </w:rPr>
        <w:t>in vitro</w:t>
      </w:r>
      <w:r w:rsidRPr="00984859">
        <w:rPr>
          <w:rFonts w:ascii="Arial" w:eastAsia="Times New Roman" w:hAnsi="Arial" w:cs="Arial"/>
          <w:lang w:eastAsia="sr-Latn-RS"/>
        </w:rPr>
        <w:t>. Odgovarajuće ćelijske linije obuhvataju L5178Y ćelije mišjeg limfoma, CHO, CHO-AS52 i V79 linije ćelija kineskog hrčka i TK6 ćelije humanog limfoblasta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U ovim ćelijskim linijama najčešće posmatrani genski pokazatelji mere mutaciju na timidin kinazi (u daljem tekstu: TK) i hipoksantin-gvanin fosforibozil transferazi (u daljem tekstu: HPRT) i transgenu za ksantin-gvanin fosforibozil transferazu (u daljem tekstu: XPRT). Ispitivanja mutacija na TK, HPRT i XPRT otkrivaju različite spektre genetskih pojava. Autozomalna lokacija TK i XPRT može da omogući otkrivanje genetskih pojava (npr. velikih delecija), a koje nisu otkrivene na HPRT lokusu na X-hromozomima</w:t>
      </w:r>
      <w:r w:rsidRPr="00984859">
        <w:rPr>
          <w:rFonts w:ascii="Arial" w:eastAsia="Times New Roman" w:hAnsi="Arial" w:cs="Arial"/>
          <w:b/>
          <w:bCs/>
          <w:sz w:val="15"/>
          <w:szCs w:val="15"/>
          <w:vertAlign w:val="superscript"/>
          <w:lang w:eastAsia="sr-Latn-RS"/>
        </w:rPr>
        <w:t>2, 3, 4, 5, 6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ispitivanje genske mutacije na ćelijama sisara mogu da se izvode na kulturama definisanih ćelijskih linija ili ćelijskih sojeva. Ćelije koje se upotrebljavaju biraju se na osnovu sposobnosti rasta u kulturi i stabilnosti učestalosti spontanih mutacija.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Ispitivanja koja se obavljaju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generalno zahtevaju primenu egzogenog izvora metaboličke aktivacije. Ovaj sistem metaboličke aktivacije ne može u potpunosti da oponaša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uslove kod sisara. Potrebno je da se izbegavaju uslovi koji dovode do rezultata koji ne </w:t>
      </w:r>
      <w:r w:rsidRPr="00984859">
        <w:rPr>
          <w:rFonts w:ascii="Arial" w:eastAsia="Times New Roman" w:hAnsi="Arial" w:cs="Arial"/>
          <w:lang w:eastAsia="sr-Latn-RS"/>
        </w:rPr>
        <w:lastRenderedPageBreak/>
        <w:t>oslikavaju intrinzičnu mutagenost. Usled promena pH, osmolalnosti ili visokih nivoa citotoksičnosti mogu da nastanu pozitivni rezultati koji ne oslikavaju intrinzičnu mutagenost</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Navedeno ispitivanje koristi se za otkrivanje mogućih mutagena i karcinogena za sisare. Mnoga jedinjenja koja daju pozitivan rezultat u ovom ispitivanju karcinogeni su za sisare; međutim, međusobna zavisnost između ovog ispitivanja i karcinogenosti nije besprekorna. Korelacija zavisi od klase hemikalije i ima sve više dokaza da postoje karcinogeni koji se ne mogu otkriti ovim ispitivanjem zbog toga što deluju putem drugih, negenotoksičnih mehanizama ili mehanizama koji ne postoje u bakterijskim ćelijama</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Napredna direktna mutacija jeste genska mutacija iz roditeljskog tipa u mutirani oblik koja dovodi do izmene ili gubitka enzimske aktivnosti ili funkcije kodiranog proteina.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Mutageni supstitucije baznog para jesu supstance koje dovode do supstitucije jednog ili nekoliko parova baza u DNK.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Mutageni pomaka okvira jesu supstance koje dovode do adicije ili delecije jednog ili više parova baza u molekulu DNK.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ekspresije fenotipa jeste vremenski period tokom koga nepromenjeni genski proizvodi bivaju odstranjeni iz novomutiranih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Frekvenca mutanata jeste broj primećenih mutiranih ćelija podeljen brojem vijabilnih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Relativni ukupni rast jeste povećanje broja ćelija tokom vremena u poređenju s kontrolnom populacijom ćelija. Izračunava se kao proizvod rasta u suspenziji u odnosu na vreme efikasnosti kloniranja negativne kontrole i u odnosu na negativnu kontrolu.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Relativni rast u suspenziji jeste povećanje broja ćelija tokom perioda ekspresije u odnosu na negativnu kontrolu.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Vijabilnost jeste efikasnost kloniranja tretiranih ćelija u vreme zasejavanja u selektivnim uslovima nakon perioda ekspresije.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Preživljavanje jeste efikasnost kloniranja tretiranih ćelija nakon što se iste zaseju na podlogu na kraju perioda tretmana. Preživljavanje se obično izražava u odnosu na preživljenje kontrolne populacije ćelija.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Ćelije bez timidin kinaze (u daljem tekstu: TK) su zbog mutacije TK</w:t>
      </w:r>
      <w:r w:rsidRPr="00984859">
        <w:rPr>
          <w:rFonts w:ascii="Arial" w:eastAsia="Times New Roman" w:hAnsi="Arial" w:cs="Arial"/>
          <w:sz w:val="15"/>
          <w:szCs w:val="15"/>
          <w:vertAlign w:val="superscript"/>
          <w:lang w:eastAsia="sr-Latn-RS"/>
        </w:rPr>
        <w:t>+/-</w:t>
      </w:r>
      <w:r w:rsidRPr="00984859">
        <w:rPr>
          <w:rFonts w:ascii="Arial" w:eastAsia="Times New Roman" w:hAnsi="Arial" w:cs="Arial"/>
          <w:lang w:eastAsia="sr-Latn-RS"/>
        </w:rPr>
        <w:t xml:space="preserve"> &gt; TK</w:t>
      </w:r>
      <w:r w:rsidRPr="00984859">
        <w:rPr>
          <w:rFonts w:ascii="Arial" w:eastAsia="Times New Roman" w:hAnsi="Arial" w:cs="Arial"/>
          <w:sz w:val="15"/>
          <w:szCs w:val="15"/>
          <w:vertAlign w:val="superscript"/>
          <w:lang w:eastAsia="sr-Latn-RS"/>
        </w:rPr>
        <w:t>-/-</w:t>
      </w:r>
      <w:r w:rsidRPr="00984859">
        <w:rPr>
          <w:rFonts w:ascii="Arial" w:eastAsia="Times New Roman" w:hAnsi="Arial" w:cs="Arial"/>
          <w:lang w:eastAsia="sr-Latn-RS"/>
        </w:rPr>
        <w:t xml:space="preserve"> otporne na citotoksične efekte analoga pirimidina trifluorotimidina (u daljem tekstu: TFT). Ćelije s timidin kinazom osetljive su na TFT koji inhibira ćelijski metabolizam i zaustavlja dalju deobu ćelija. Zbog toga mutirane ćelije mogu da se razmnožavaju u prisustvu TFT-a, dok normalne ćelije, koje sadrže timidin kinazu, ne mogu. Slično se ćelije bez HPRT-a ili XPRT-a selektuju po otpornosti na 6-tiogvanin (u daljem tekstu: TG) ili 8-azagvanin (u daljem tekstu: AG). Svojstva ispitivane supstance pažljivo se razmatraju ukoliko se u bilo kojem ispitivanju genske mutacije u ćelijama sisara ispituje analog baze ili jedinjenje srodno selektivnom agensu. Na primer, potrebno je istražiti svaku selektivnu toksičnost na koju se sumnja da </w:t>
      </w:r>
      <w:r w:rsidRPr="00984859">
        <w:rPr>
          <w:rFonts w:ascii="Arial" w:eastAsia="Times New Roman" w:hAnsi="Arial" w:cs="Arial"/>
          <w:lang w:eastAsia="sr-Latn-RS"/>
        </w:rPr>
        <w:lastRenderedPageBreak/>
        <w:t>postoji kod ispitivane supstance, a u odnosu na mutirane i nemutirane ćelije. Potrebno je potvrditi efikasnost selekcijskog sistema/agensa, a kada se ispituju hemikalije koje su strukturno srodne selektivnom agensu</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Ćelije u suspenziji ili jednoslojnoj kulturi izlažu se ispitivanoj supstanci sa i bez metaboličke aktivacije, tokom odgovarajućeg vremenskog perioda i subkultivišu se kako bi se utvrdila citotoksičnost i kako bi se omogućila fenotipska ekspresija pre selekcije mutanata</w:t>
      </w:r>
      <w:r w:rsidRPr="00984859">
        <w:rPr>
          <w:rFonts w:ascii="Arial" w:eastAsia="Times New Roman" w:hAnsi="Arial" w:cs="Arial"/>
          <w:b/>
          <w:bCs/>
          <w:sz w:val="15"/>
          <w:szCs w:val="15"/>
          <w:vertAlign w:val="superscript"/>
          <w:lang w:eastAsia="sr-Latn-RS"/>
        </w:rPr>
        <w:t>9, 10, 11, 12, 13</w:t>
      </w:r>
      <w:r w:rsidRPr="00984859">
        <w:rPr>
          <w:rFonts w:ascii="Arial" w:eastAsia="Times New Roman" w:hAnsi="Arial" w:cs="Arial"/>
          <w:lang w:eastAsia="sr-Latn-RS"/>
        </w:rPr>
        <w:t xml:space="preserve">. Citotoksičnost se obično utvrđuje merenjem relativne efikasnosti kloniranja (preživljenje) ili relativnog ukupnog rasta kultura nakon perioda tretiranja. Tretirane kulture održavaju se u podlozi za rast tokom dovoljnog vremenskog perioda, koje je karakteristično za svaki izabrani lokus i vrstu ćelija, a kako bi se omogućila skoro optimalna fenotipska ekspresija indukovanih mutacija. Frekvenca mutanata utvrđuje se zasejavanjem poznatog broja ćelija u podlozi koja sadrži selektivni agens, kako bi se detektovale mutirane ćelije, kao i u podlozi bez selektivnog agensa kako bi se utvrdila efikasnost kloniranja (vijabilnost). Nakon odgovarajućeg vremena inkubacije kolonije se prebroje. Frekvenca mutacija izračunava se iz broja mutiranih kolonija u selektivnoj podlozi i broja kolonija u neselektivnoj podlozi.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Ćelije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primenu u ovom ispitivanju na raspolaganju je više vrsta ćelija, uključujući i suklonove ćelija L5178Y, CHO, CHO-AS52, V79 ili TK6. Za vrstu ćelija koje se koriste u ovom ispitivanju treba da je dokazana osetljivost na hemijske mutagene, visoka efikasnost kloniranja i stabilna učestalost pojave spontanih mutanata. Potrebno je proveriti da ćelije nisu kontaminirane mikoplazmom i ukoliko su kontaminirane ne smeju se upotrebiti.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je dizajnirano tako da ima unapred određenu osetljivost i potencijal. Broj upotrebljenih ćelija, kultura i koncentracija ispitivane supstance oslikava navedene definisane parametre</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Najmanji broj vijabilnih ćelija koje prežive tretman i broj onih koje se upotrebljavaju u svakoj fazi eksperimenta zasniva se na učestalosti spontanih mutacija. Preporuka je da se upotrebi onoliki broj ćelija koji je najmanje jednak deseterostrukoj recipročnoj vrednosti učestalosti spontanih mutacija. Preporučuje se primena najmanje 10</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ćelija. Treba da su dostupni odgovarajući podaci o ćelijskom sistemu iz ranije studije kako bi ukazali na konzistentnost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Podloge i uslovi kultivisanja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Upotrebljavaju se odgovarajuće podloge i uslovi inkubacije (posude za kulture, temperatura, koncentracija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vlažnost). Podloge se biraju u zavisnosti od selektivnog sistema i vrste ćelija koje se upotrebljavaju u ispitivanju. Posebno je važno izabrati uslove kultivisanja koji obezbeđuju optimalan rast ćelija tokom razdoblja ekspresije i sposobnost formiranja kolonija mutiranih i nemutiranih ćelija.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Pripremanje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se razmnože iz početnih kultura, zaseju na podlogu i inkubiraju na temperaturi od 37 °C. Pre upotrebe u ovom ispitivanju možda će iz kultura biti potrebno odstraniti već postojeće mutirane ćelije.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1.4.1.4. Metabolička aktivacija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Ćelije je potrebno izložiti ispitivanoj supstanci i u prisustvu i u odsustvu odgovarajućeg sistema metaboličke aktivacije. Najčešće korišćen sistem je postmitohondrijalna frakcija sa kofaktorom (S9), pripremljena od jetre glodara tretiranih agensima koji indukuju enzime poput Aroclora 1254</w:t>
      </w:r>
      <w:r w:rsidRPr="00984859">
        <w:rPr>
          <w:rFonts w:ascii="Arial" w:eastAsia="Times New Roman" w:hAnsi="Arial" w:cs="Arial"/>
          <w:b/>
          <w:bCs/>
          <w:sz w:val="15"/>
          <w:szCs w:val="15"/>
          <w:vertAlign w:val="superscript"/>
          <w:lang w:eastAsia="sr-Latn-RS"/>
        </w:rPr>
        <w:t xml:space="preserve">15, 16, 17, 18 </w:t>
      </w:r>
      <w:r w:rsidRPr="00984859">
        <w:rPr>
          <w:rFonts w:ascii="Arial" w:eastAsia="Times New Roman" w:hAnsi="Arial" w:cs="Arial"/>
          <w:lang w:eastAsia="sr-Latn-RS"/>
        </w:rPr>
        <w:t>ili kombinacije fenobarbitona i ß-naftoflavona</w:t>
      </w:r>
      <w:r w:rsidRPr="00984859">
        <w:rPr>
          <w:rFonts w:ascii="Arial" w:eastAsia="Times New Roman" w:hAnsi="Arial" w:cs="Arial"/>
          <w:b/>
          <w:bCs/>
          <w:sz w:val="15"/>
          <w:szCs w:val="15"/>
          <w:vertAlign w:val="superscript"/>
          <w:lang w:eastAsia="sr-Latn-RS"/>
        </w:rPr>
        <w:t>19, 20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Postmitohondrijalna frakcija obično se koristi u koncentracijama u rasponu od 1% v/v do 10% v/v u konačnoj podlozi za ispitivanje. Izbor i stanje sistema metaboličke aktivacije mogu da zavisi od klase hemikalije koja se ispituje. U nekim slučajevima može biti prikladno da se koristi više od jedne koncentracije postmitohondrijalne frakcije.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Niz razvojnih promena, uključujući konstruisanje genetskim inžinjeringom ćelijskih linija sa ekspresijom specifičnih aktivišućih enzima, mogu da obezbede mogućnost za endogenu aktivaciju. Izbor upotrebljenih ćelijskih linija treba da bude naučno utemeljen (npr. na osnovu značaja izoenzima citohroma P450 za metabolizam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1.4.1.5. Ispitivana supstanca/Preparat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Čvrste ispitivane supstance se rastvaraju ili suspenduju u odgovarajućim rastvaračima ili vehikulumima i, ukoliko je potrebno, razblažuju pre tretiranja ćelija. Tečne ispitivane supstance mogu direktno da se dodaju eksperimentnim sistemima odnosno da se razblaže pre tretiranja. Sveži preparati ispitivane supstance odmah se upotrebljavaju, osim ukoliko podaci o stabilnosti pokazuju da je čuvanje prihvatljivo.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Behikulum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sme da postoji sumnja da će rastvarač/vehikulum hemijski da reaguje sa ispitivanom supstancom. Rastvarač/vehikulum je kompatibilan sa preživljenjem ćelija i aktivnošću S9. Ukoliko se primenjuju rastvarači/vehikulumi koja nisu poznati, njihovo uključivanje u ispitivanje se potkrepljuje podacima koji ukazuju na njihovu kompatibilnost. Kad god je moguće, preporučuje se da se prvo uzme u obzir primena vodenog rastvarača/vehikuluma. Prilikom ispitivanja supstance koje su nestabilne u vodi, organski rastvarači koji se koriste ne smeju da sadrže vodu. Voda se može odstraniti dodavanjem molekularnog sita.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Koncentracije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Među kriterijumima koje je potrebno uzeti u obzir prilikom utvrđivanja najviše koncentracije su: citotoksičnost, rastvorljivost u ispitivanome sistemu i promene u pH i osmolalnosti.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Citotoksičnost je potrebno utvrditi sa i bez metaboličke aktivacije u glavnom eksperimentu uz primenu odgovarajućeg pokazatelja ćelijskog integriteta i rasta, kao što je relativna efikasnosti kloniranja (preživljavanje) ili relativni ukupni rast. Može da bude korisno da se odredi citotoksičnost i rastvorljivost u preliminarnom eksperimentu.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Upotrebljava se najmanje četiri koncentracije koje se mogu analizirati. Kada postoji citotoksičnost, navedene koncentracije obuhvataju raspon od maksimalne do niske ili bez toksičnosti. Ovo najčešće znači da razlika među nivoima koncentracija ne treba da bude veća od faktora između √2 i √10. Ukoliko se najviša koncentracija temelji na citotoksičnosti, tada za posledicu ima relativno preživljenje (relativnu efikasnost kloniranja) ili relativni ukupni rast od oko 10% do 20% (ali ne manje od 10%). Za relativno necitotoksične supstance najviša ispitivana koncentracija je 5 mg/mL 5 µL/mL, ili 0,01 M, u zavisnosti od toga koja koncentracija je niža.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Relativno nerastvorne supstance se ispituju do ili iznad njihove granice rastvorljivosti u uslovima kultivisanja. Dokaze nerastvorljivosti potrebno je utvrditi u konačnoj podlozi za tretiranje kome su izložene ćelije. Može da bude korisno da se rastvorljivost proceni na početku i na kraju tretmana, s obzirom da rastvorljivost može da se promeni tokom izlaganja u ispitivanom sistemu, usled prisutnosti ćelija, S9, seruma, itd. Nerastvorljivost se može otkriti golim okom. Precipitat ne sme da utiče na prebrojavanje.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1.4.2.3.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svaki eksperiment se uključuju istovremene pozitivne i negativne (rastvarač ili vehikulum) kontrole, sa i bez metaboličke aktivacije. Kada se koristi metabolička aktivacija, hemikalija pozitivne kontrole je ona kojoj je za mutageni odgovor potrebna aktivacija.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Primeri supstanci pozitivne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04"/>
        <w:gridCol w:w="1607"/>
        <w:gridCol w:w="3291"/>
        <w:gridCol w:w="813"/>
        <w:gridCol w:w="1017"/>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Stanje </w:t>
            </w:r>
            <w:r w:rsidRPr="00984859">
              <w:rPr>
                <w:rFonts w:ascii="Arial" w:eastAsia="Times New Roman" w:hAnsi="Arial" w:cs="Arial"/>
                <w:lang w:eastAsia="sr-Latn-RS"/>
              </w:rPr>
              <w:br/>
              <w:t xml:space="preserve">metaboličke </w:t>
            </w:r>
            <w:r w:rsidRPr="00984859">
              <w:rPr>
                <w:rFonts w:ascii="Arial" w:eastAsia="Times New Roman" w:hAnsi="Arial" w:cs="Arial"/>
                <w:lang w:eastAsia="sr-Latn-RS"/>
              </w:rPr>
              <w:br/>
              <w:t xml:space="preserve">aktivacije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Lokus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 </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Nema egzogene metaboličke aktivacije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HPRT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 metansulfonat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62-50-0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200-536-7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 nitrozourja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759-73-9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212-072-2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TK (male i velike kolonije)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metil </w:t>
            </w:r>
            <w:r w:rsidRPr="00984859">
              <w:rPr>
                <w:rFonts w:ascii="Arial" w:eastAsia="Times New Roman" w:hAnsi="Arial" w:cs="Arial"/>
                <w:lang w:eastAsia="sr-Latn-RS"/>
              </w:rPr>
              <w:br/>
              <w:t xml:space="preserve">metansulfonat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66-27-3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200-625-0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XPRT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 metansulfonat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62-50-0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200-536-7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 nitrozourea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759-73-9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212-072-2 </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Postoji egzogena metabolička aktivacija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HPRT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3-metilholantren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56-49-5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200-276-4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N-nitrozo-dimetilamin</w:t>
            </w:r>
            <w:r w:rsidRPr="00984859">
              <w:rPr>
                <w:rFonts w:ascii="Arial" w:eastAsia="Times New Roman" w:hAnsi="Arial" w:cs="Arial"/>
                <w:lang w:eastAsia="sr-Latn-RS"/>
              </w:rPr>
              <w:br/>
              <w:t xml:space="preserve">(dimetil-nitrozamin)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62-75-9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200-549-8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7,12- dimetil </w:t>
            </w:r>
            <w:r w:rsidRPr="00984859">
              <w:rPr>
                <w:rFonts w:ascii="Arial" w:eastAsia="Times New Roman" w:hAnsi="Arial" w:cs="Arial"/>
                <w:lang w:eastAsia="sr-Latn-RS"/>
              </w:rPr>
              <w:br/>
              <w:t xml:space="preserve">benzantracen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57-97-6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200-359-5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TK (male i velike</w:t>
            </w:r>
            <w:r w:rsidRPr="00984859">
              <w:rPr>
                <w:rFonts w:ascii="Arial" w:eastAsia="Times New Roman" w:hAnsi="Arial" w:cs="Arial"/>
                <w:lang w:eastAsia="sr-Latn-RS"/>
              </w:rPr>
              <w:br/>
              <w:t xml:space="preserve">kolonije)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ciklofosfamid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50-18-0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200-015-4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ciklofosfamid monohidrat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6055-19-2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benzo[a]piren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50-32-8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200-028-5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3-metilholantren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56-49-5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200-276-5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XPRT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N-nitrozodimetil amin (pri visokim koncentracijama S-9)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62-75-9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200-549-8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benzo[a]piren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50-32-8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200-028-5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da se primene i druge odgovarajuće referentne supstance kao pozitivne kontrole, npr. ukoliko laboratorija raspolaže bazom podataka iz ranijih studija o 5-brom 2'-dezoksiuridinu </w:t>
      </w:r>
      <w:r w:rsidRPr="00984859">
        <w:rPr>
          <w:rFonts w:ascii="Arial" w:eastAsia="Times New Roman" w:hAnsi="Arial" w:cs="Arial"/>
          <w:lang w:eastAsia="sr-Latn-RS"/>
        </w:rPr>
        <w:lastRenderedPageBreak/>
        <w:t xml:space="preserve">(CAS br. 59-14-3, EINECS br. 200-415-9) tada mogu da se primene ove referentne supstance. Kada su dostupne klase hemikalija koje su vezi sa pozitivnom kontrolom, razmatra se njihovo korišćenje.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uključiti negativne kontrole koje se sastoje samo od rastvarača ili vehikuluma u podlozi za tretiranje i sa kojima je postupano na isti način kao i sa grupama obuhvaćenim tretmanom. Koriste se i netretirane kontrole, osim ukoliko postoje kontrolni podaci iz prethodnih ispitivanja koji dokazuju da odabran rastvarač ne izaziva štetne ili mutagene efekte.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1.4.3.1. Tretiranje ispitivanom supstancom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u proliferaciji izlažu se ispitivanoj supstanci sa i bez metaboličke aktivacije. Trajanje izloženosti je odgovarajuće (obično se postiže efekat sa tri do šest sati). Vreme izlaganja može da se produži na jedan ili više ćelijskih ciklusa.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ispitivanju svake koncentracije mogu da se tretiraju jedna ili dve kulture. Kada se upotrebljava jedna kultura, potrebno je povećati broj koncentracija kako bi se obezbedio odgovarajući broj kultura za analizu (npr. najmanje osam koncentracija koje se mogu analizirati). Potrebno je upotrebiti duplikat kulture negativne kontrole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Gasovite ili isparljive supstance ispituju se primenom odgovarajućih metoda, npr. u zatvorenim posudama za kulture</w:t>
      </w:r>
      <w:r w:rsidRPr="00984859">
        <w:rPr>
          <w:rFonts w:ascii="Arial" w:eastAsia="Times New Roman" w:hAnsi="Arial" w:cs="Arial"/>
          <w:b/>
          <w:bCs/>
          <w:sz w:val="15"/>
          <w:szCs w:val="15"/>
          <w:vertAlign w:val="superscript"/>
          <w:lang w:eastAsia="sr-Latn-RS"/>
        </w:rPr>
        <w:t>21, 22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1.4.3.2. Merenje preživljavanja, vijabilnosti i učestalosti mutacija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ekspozicije ćelije se ispiraju i kultivišu kako bi se odredio nivo preživljenja i kako bi se omogućila ekspresija mutiranog fenotipa. Merenje citotoksičnosti, na osnovu utvrđivanja relativne efikasnosti kloniranja (preživljenje) ili relativnog ukupnog rasta kultura, obično se počinje nakon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Svakom lokusu je potrebno određeno minimalno vreme za skoro optimalnu ekspresiju fenotipa novoindukovanih mutacija (HPRT i XPRT zahtevaju najmanje 6-8 dana, dok su TK-u potrebna najmanje dva dana). Ćelije se uzgajaju u podlozi sa i bez selektivnih agenasa radi utvrđivanja broja mutanata i efikasnosti kloniranja, redom. Merenje vijabilnosti (koja se koristi za izračunavanje učestalosti mutacija) započinje na kraju vremena ekspresije zasejavanjem u neselektivnu podlogu.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Ukoliko ispitivana supstanca prilikom ispitivanja L5178Y TK</w:t>
      </w:r>
      <w:r w:rsidRPr="00984859">
        <w:rPr>
          <w:rFonts w:ascii="Arial" w:eastAsia="Times New Roman" w:hAnsi="Arial" w:cs="Arial"/>
          <w:sz w:val="15"/>
          <w:szCs w:val="15"/>
          <w:vertAlign w:val="superscript"/>
          <w:lang w:eastAsia="sr-Latn-RS"/>
        </w:rPr>
        <w:t xml:space="preserve">+/- </w:t>
      </w:r>
      <w:r w:rsidRPr="00984859">
        <w:rPr>
          <w:rFonts w:ascii="Arial" w:eastAsia="Times New Roman" w:hAnsi="Arial" w:cs="Arial"/>
          <w:lang w:eastAsia="sr-Latn-RS"/>
        </w:rPr>
        <w:t>da pozitivan rezultat, kolonije se razvrstavaju po veličini (izmeriti veličinu) kod najmanje jedne od ispitivanih kultura (najviša pozitivna koncentracija) i kod negativnih i pozitivnih kontrola. Ukoliko ispitivana supstanca prilikom ispitivanja L5178Y TK</w:t>
      </w:r>
      <w:r w:rsidRPr="00984859">
        <w:rPr>
          <w:rFonts w:ascii="Arial" w:eastAsia="Times New Roman" w:hAnsi="Arial" w:cs="Arial"/>
          <w:sz w:val="15"/>
          <w:szCs w:val="15"/>
          <w:vertAlign w:val="superscript"/>
          <w:lang w:eastAsia="sr-Latn-RS"/>
        </w:rPr>
        <w:t xml:space="preserve">+/- </w:t>
      </w:r>
      <w:r w:rsidRPr="00984859">
        <w:rPr>
          <w:rFonts w:ascii="Arial" w:eastAsia="Times New Roman" w:hAnsi="Arial" w:cs="Arial"/>
          <w:lang w:eastAsia="sr-Latn-RS"/>
        </w:rPr>
        <w:t>da negativan rezultat, kolonije je potrebno razvrstati po veličini kod negativnih i pozitivnih kontrola. Razvrstavanje kolonija po veličini može da se obavi i kod ispitivanja u kojima se primenjuje TK6TK</w:t>
      </w:r>
      <w:r w:rsidRPr="00984859">
        <w:rPr>
          <w:rFonts w:ascii="Arial" w:eastAsia="Times New Roman" w:hAnsi="Arial" w:cs="Arial"/>
          <w:sz w:val="15"/>
          <w:szCs w:val="15"/>
          <w:vertAlign w:val="superscript"/>
          <w:lang w:eastAsia="sr-Latn-RS"/>
        </w:rPr>
        <w:t>+/-</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Podaci obuhvataju citotoksičnost i vijabilnost, broj kolonija i učestalost mutacija za tretirane i kontrolne kulture. U slučaju pozitivne reakcije u eksperimentu L5178Y TK</w:t>
      </w:r>
      <w:r w:rsidRPr="00984859">
        <w:rPr>
          <w:rFonts w:ascii="Arial" w:eastAsia="Times New Roman" w:hAnsi="Arial" w:cs="Arial"/>
          <w:sz w:val="15"/>
          <w:szCs w:val="15"/>
          <w:vertAlign w:val="superscript"/>
          <w:lang w:eastAsia="sr-Latn-RS"/>
        </w:rPr>
        <w:t>+/-</w:t>
      </w:r>
      <w:r w:rsidRPr="00984859">
        <w:rPr>
          <w:rFonts w:ascii="Arial" w:eastAsia="Times New Roman" w:hAnsi="Arial" w:cs="Arial"/>
          <w:lang w:eastAsia="sr-Latn-RS"/>
        </w:rPr>
        <w:t xml:space="preserve">, kolonije se </w:t>
      </w:r>
      <w:r w:rsidRPr="00984859">
        <w:rPr>
          <w:rFonts w:ascii="Arial" w:eastAsia="Times New Roman" w:hAnsi="Arial" w:cs="Arial"/>
          <w:lang w:eastAsia="sr-Latn-RS"/>
        </w:rPr>
        <w:lastRenderedPageBreak/>
        <w:t>prebrojavaju prema kriterijumu velikih i malih kolonija kod najmanje jedne koncentracije ispitivane supstance (najviše pozitivne koncentracije) i kod negativne i pozitivne kontrole. Molekularna i citogenetska priroda velikih i malih kolonija mutanata detaljno je istražena</w:t>
      </w:r>
      <w:r w:rsidRPr="00984859">
        <w:rPr>
          <w:rFonts w:ascii="Arial" w:eastAsia="Times New Roman" w:hAnsi="Arial" w:cs="Arial"/>
          <w:b/>
          <w:bCs/>
          <w:sz w:val="15"/>
          <w:szCs w:val="15"/>
          <w:vertAlign w:val="superscript"/>
          <w:lang w:eastAsia="sr-Latn-RS"/>
        </w:rPr>
        <w:t>23, 24</w:t>
      </w:r>
      <w:r w:rsidRPr="00984859">
        <w:rPr>
          <w:rFonts w:ascii="Arial" w:eastAsia="Times New Roman" w:hAnsi="Arial" w:cs="Arial"/>
          <w:lang w:eastAsia="sr-Latn-RS"/>
        </w:rPr>
        <w:t>. U eksperimentu TK</w:t>
      </w:r>
      <w:r w:rsidRPr="00984859">
        <w:rPr>
          <w:rFonts w:ascii="Arial" w:eastAsia="Times New Roman" w:hAnsi="Arial" w:cs="Arial"/>
          <w:sz w:val="15"/>
          <w:szCs w:val="15"/>
          <w:vertAlign w:val="superscript"/>
          <w:lang w:eastAsia="sr-Latn-RS"/>
        </w:rPr>
        <w:t>+/-</w:t>
      </w:r>
      <w:r w:rsidRPr="00984859">
        <w:rPr>
          <w:rFonts w:ascii="Arial" w:eastAsia="Times New Roman" w:hAnsi="Arial" w:cs="Arial"/>
          <w:lang w:eastAsia="sr-Latn-RS"/>
        </w:rPr>
        <w:t>, kolonije se prebrojavaju prema kriterijumu kolonija normalnog rasta (velike) i kolonija usporenog rasta (male)</w:t>
      </w:r>
      <w:r w:rsidRPr="00984859">
        <w:rPr>
          <w:rFonts w:ascii="Arial" w:eastAsia="Times New Roman" w:hAnsi="Arial" w:cs="Arial"/>
          <w:b/>
          <w:bCs/>
          <w:sz w:val="15"/>
          <w:szCs w:val="15"/>
          <w:vertAlign w:val="superscript"/>
          <w:lang w:eastAsia="sr-Latn-RS"/>
        </w:rPr>
        <w:t>25</w:t>
      </w:r>
      <w:r w:rsidRPr="00984859">
        <w:rPr>
          <w:rFonts w:ascii="Arial" w:eastAsia="Times New Roman" w:hAnsi="Arial" w:cs="Arial"/>
          <w:lang w:eastAsia="sr-Latn-RS"/>
        </w:rPr>
        <w:t>. Mutirane ćelije koje su pretrpele najopsežnija genetska oštećenja imaju produženo vreme udvostručavanja i zbog toga formiraju male kolonije. Opseg navedenih oštećenja obično se kreće od gubitka čitavog gena do hromozomskih aberacija koje su vidljive u kariotipu. Indukcija mutanata s malim kolonijama dovodi se u vezu sa hemikalijama koje uzrokuju velike hromozomske aberacije</w:t>
      </w:r>
      <w:r w:rsidRPr="00984859">
        <w:rPr>
          <w:rFonts w:ascii="Arial" w:eastAsia="Times New Roman" w:hAnsi="Arial" w:cs="Arial"/>
          <w:b/>
          <w:bCs/>
          <w:sz w:val="15"/>
          <w:szCs w:val="15"/>
          <w:vertAlign w:val="superscript"/>
          <w:lang w:eastAsia="sr-Latn-RS"/>
        </w:rPr>
        <w:t>26</w:t>
      </w:r>
      <w:r w:rsidRPr="00984859">
        <w:rPr>
          <w:rFonts w:ascii="Arial" w:eastAsia="Times New Roman" w:hAnsi="Arial" w:cs="Arial"/>
          <w:lang w:eastAsia="sr-Latn-RS"/>
        </w:rPr>
        <w:t xml:space="preserve">. Mutirane ćelije koje su manje pogođene rastu brzinom koja je slična roditeljskim ćelijama i formiraju velike kolonije.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Navodi se i preživljavanje (relativne efikasnosti kloniranja) ili relativni ukupni rast. Učestalost mutacija se izražava u obliku broja mutiranih ćelija u odnosu na broj preživelih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Tabelarno se navode podaci o pojedinačnim kulturama.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postoji potreba za verifikovanjem jasno pozitivne reakcije. Dvosmisleni rezultati se pojašnjavaju daljim ispitivanjem, tj. najbolje modifikovanjem eksperimentalnih uslova. Negativne rezultate potrebno je potvrditi u zavisnosti od slučaja. U slučajevima u kojima se potvrda negativnih rezultata ne smatra neophodnom, potrebno je navesti obrazloženje. Za dvosmislene ili negativne rezultate kod daljih eksperimenata koji se nadovezuju na prethodne potrebno je razmotriti modifikaciju parametara ispitivanja s ciljem proširenja opsega vrednovanih uslova. Parametri ispitivanja koje je moguće modifikovati obuhvataju razmak izeđu koncentracija i uslove metaboličke aktivacije.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Postoji nekoliko kriterijuma za utvrđivanje pozitivnog rezultata, kao što je povećanje učestalosti mutacija u zavisnosti od koncentracije ili reproducibilno. Prvenstveno je potrebno uzeti u obzir biološki značaj rezultata. Mogu da se primene statističke metode kao pomoć prilikom vrednovanja rezultata ispitivanja. Statistički značaj ne treba da bude jedini kriterijum za pozitivnu reakciju.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za koju rezultati ne zadovoljavaju gore navedene kriterijume smatra se nemutagenom u ovom ispitivanju. Iako većina eksperimenta daje jasno pozitivne ili negativne rezultate, u retkim slučajevima utvrđeni podaci onemogućavaju donošenje konačne odluke o delovanju ispitivane supstance. Rezultati mogu da ostanu dvosmisleni ili pod znakom pitanja, bez obzira koliko se puta eksperiment ponovi.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Pozitivni rezultati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ispitivanja genskih mutacija u ćelijama sisara ukazuju na to da ispitivana supstanca uzrokuje genske mutacije u upotrebljenim kultivisanim ćelijama sisara. Od najvećeg značaja je postojanje reproducibilnog pozitivnog odgovora zavisnog od koncentracije. Negativni rezultati pokazuju da, pod eksperimentalnim uslovima, ispitivana supstanca ne uzrokuje genske mutacije u upotrebljenim kultivisanim ćelijama sisara.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Rastvaraču/vehikulumu: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izbora rastvarača/vehikuluma;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rastvorljivost i stabilnost ispitivane supstance u rastvaraču/vehikulumu, ukoliko su poznati.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Ćelijama: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i poreklo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ćelijskih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prolaza ćelija, ukoliko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za održavanje ćelijske kulture, ukoliko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odsustvo mikoplazme.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logička osnova za izbor koncentracija i broj kultura, uključujući, podatke o citotoksičnosti i ograničenja zbog rastvorljivosti, ukoliko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sastav podloge, koncentracija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zapremina vehikuluma i dodate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trajanje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gustina ćelija tokom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tip i sastav sistema metaboličke aktivacije, uključujući kriterijume prihvatljivosti;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pozitivne i negativne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dužina perioda ekspresije (uključujući broj zasejanih ćelija i supkultura i raspored prehranjivanja, ukoliko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selektivni agensi;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 za smatranje ispitivanja pozitivnim, negativnim ili dvosmislenim;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primenjene za prebrojavanje vijabilnih ćelija i mutiranih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definicija kolonija čija se veličina i vrsta uzimaju u obzir (uključujući kriterijume za "male" i "velike" kolonije, ako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znakovi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znakovi precipitacije;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pH i osmolalnosti tokom izlaganja ispitivanoj supstanci, ukoliko su utvrđeni;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veličina kolonija ukoliko je ista utvrđena barem za negativne i pozitivne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adekvatnost laboratorije da otkrije mutante malih kolonija primenom sistema L5178Y TK</w:t>
      </w:r>
      <w:r w:rsidRPr="00984859">
        <w:rPr>
          <w:rFonts w:ascii="Arial" w:eastAsia="Times New Roman" w:hAnsi="Arial" w:cs="Arial"/>
          <w:sz w:val="15"/>
          <w:szCs w:val="15"/>
          <w:vertAlign w:val="superscript"/>
          <w:lang w:eastAsia="sr-Latn-RS"/>
        </w:rPr>
        <w:t>+/-</w:t>
      </w:r>
      <w:r w:rsidRPr="00984859">
        <w:rPr>
          <w:rFonts w:ascii="Arial" w:eastAsia="Times New Roman" w:hAnsi="Arial" w:cs="Arial"/>
          <w:lang w:eastAsia="sr-Latn-RS"/>
        </w:rPr>
        <w:t xml:space="preserve">, kada je potrebno;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doza - odgovor, gde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statističke analize, ukoliko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negativne (rastvarač/vehikulum) i pozitivne kontrole iz konkurentne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negativne (rastvarač/vehikulum) i pozitivne kontrole iz ranije studije, sa opsezima, srednjom vrednosti i standardnom devijacijom;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učestalost mutanata.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Moore, M.M., DeMarini, D.M., DeSerres, F.J. and Tindall, K.R. (Eds.) (1987). Banbury Report 28: Mammalian Cell Mutagenesis, CoLD Spring Harbor Laboratory,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Chu, E.H.Y. and Malling, H.V. (1968). Mammalian Cell Genetics. II. Chemical Induction of Specific Locus Mutations in Chinese Hamster Cells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Proc. Natl. Acad. Sci., USA, 61, 1306-1312.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Liber, H.L. and Thilly, W.G. (1982). Mutation Assay at the Thymidine Kinase Locus in Diploid Human Lymphoblasts. Mutation Res., 94, 467-485.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Moore, M.M., Harington-Brock, K., Doerr, C.L. and DearfieLD, K.L. (1989). Differential Mutant Quantitation at the Mouse Lymphoma TK and CHO HGPRT Loci. Mutagenesis, 4, 394-403.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Aaron, C.S. and Stankowski, Jr.L.F. (1989). Comparison of the AS52/XPRT and the CHO/HPRT Assays: Evaluation of Six Drug Candidates. Mutation Res., 223, 121-128.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Aaron, C.S., BolcsfoLDi, G.,Glatt, H.R., Moore, M., Nishi, Y., Stankowski, Jr.L.F., Theiss, J. And Thompson, E. (1994). Mammalian Cell Gene Mutation Assays Working Group Report. Report of the International Workshop on Standardisation of Genotoxicity Test Procedures. Mutation Res., 312, 235-239.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Scott, D., Galloway, S.M., Marshall, R.R., Ishidate, M., Brusick, D., Ashby, J. and Myhr, B.C. (1991). Genotoxicfity Under Extreme Culture Conditions. A report from ICPEMC Task Group 9. Mutation Res., 257, 147-204.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8. Clive, D., McCuen, R., Spestor, J.F.S., Piper, C. and Mavournin, K.H. (1983). Specific Gene Mutations in L5178Y Cells in Culture. A Report of the U.S. Environmental Protection Agency Gene-Tox Program. Mutation Res., 115, 225-251.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Li, A.P., Gupta, R.S., Heflich, R.H. and Wasson, J.S. (1988). A Review and Analysis of the Chinese Hamster Ovary/Hypoxanthine Guanine Phosphoribosyl Transferase System to Determine the Mutagenicity of Chemical Agents: A Report of Phase III of the U.S. Environmental Protection Agency Gene-Tox Program. Mutation Res., 196, 17-36.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Li, A.P., Carver, J.H., Choy, W.N., Hsie, A.W., Gupta, R.S., Loveday, K.S., O’Neill, J.P., Riddle, J.C., Stankowski, L.F. Jr. and Yang, L.L. (1987). A Guide for the Performance of the Chinese Hamster Ovary Cell/Hypoxanthine-Guanine Phosphoribosyl Transferase Gene Mutation Assay. Mutation Res., 189, 135-141.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Liber, H.L., Yandell, D.W and Little, J.B. (1989). A Comparison of Mutation Induction at the TK and HPRT Loci in Human Lymphoblastoid Cells: Quantitative Differences are Due to an Additional Class of Mutations at the Autosomal TK Locus. Mutation Res., 216, 9-17.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Stankowski, L.F. Jr., Tindall, K.R. and Hsie, A.W. (1986). Quantitative and Molecular Analyses of Ethyl Methanosulphonate -and ICR 191- Induced Molecular Analyses of Ethyl Methanosulphonate -and ICR 191- Induced Mutation in AS52 Cells. Mutation Res., 160, 133-147.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Turner, N.T., Batson, A.G. and Clive, D. (1984). Procedures for the L5178Y/TK+/- -TK+/- Mouse Lymphoma Cell Mutagenicity Assay. In: Kilbey, B.J. et al (eds.) Handbook of Mutagenisity Test Procedures, Elsevier Science Publishers, New York, pp. 239-268.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Arlett, C.F., Smith, D.M., Clarke, G.M., Green, M.H.L., Cole, J., McGregor, D.B. and Asquith, J.C. (1989). Mammalian Cell Gene Mutation Assays Based upon Colony Formation. In: Statistical Evaluation of Mutagenicity Test Data, Kirkland, D.J., Ed., Cambridge University Press, pp. 66-101.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Abbondandolo, A., Bonatti, S., Corti, G., Fiorio, R., Loprieno, N. and Mazzaccaro, A. (1977). Induction of 6-Thioguanine-Resistant Mutants in V79 Chinese Hamster Cells by Mouse-Liver Microsome-Activated Dimethylnitrosamine. Mutation Res., 46, 365-373.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Ames, B.N., McCann, J. and Yamasaki, E. (1975). Methods for Detecting Carcinogens and Mutagens with the Salmonella/Mammalian-Microsome Mutagenicity Test. Mutation Res., 31, 347-364.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Clive, D., Johnson, K.O., Spector, J.F.S., Batson, A.G. and Brown M.M.M. (1979). Validation and Characterization of the L5178Y/TK+/- Mouse Lymphoma Mutagen Assay System. Mutat. Res., 59, 61-108.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Maron, D.M. and Ames, B.N. (1983). Revised Methods for the Salmonella Mutagenicity Test. Mutation Res., 113, 173-215.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Elliott, B.M., Combes, R.D., Elcombe, C.R., Gatehouse, D.G., Gibson, G.G., Mackay, J.M. and Wolf, R.C. (1992). Alternatives to Aroclor 1254-Induced S9 in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Genotoxicity Assays. Mutagenesis, 7, 175-177.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Matsushima, T., Sawamura, M., Hara, K. and Sugimura, T. (1976). A Safe Substitute for Polychlorinated Biphenyls as an Inducer of Metabolic Activation Systems. In: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lastRenderedPageBreak/>
        <w:t xml:space="preserve">Metabolic Activation in Mutagenesis Testing, de Serres, F.J., Fouts, J.R., Bend, J.R. and Philpot, R.M. (eds), Elsevier, North-Holland, pp. 85-88.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Krahn, D.F., Barsky, F.C. and McCooey, K.T. (1982). CHO/HGPRT Mutation Assay: Evaluation of Gases and Volatile Liquids. In: Tice, R.R., Costa, D.L., Schaich, K.M. (eds). Genotoxic Effects of Airborne Agents. New York, Plenum, pp. 91-103.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Zamora, P.O., Benson, J.M., Li, A.P. and Brooks, A.L. (1983). Evaluation of an Exposure System Using Cells Grown on Collagen Gels for Detecting Highly Volatile Mutagens in the CHO/HGPRT Mutation Assay. Environmental Mutagenesis, 5, 795-801.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Applegate, M.L., Moore, M.M., Broder, C.B., Burrell, A. and Hozier, J.C. (1990). Molecular Dissection of Mutations at the Heterozygous Thymidine Kinase Locus in Mouse Lymphoma Cells. Proc. Natl. Acad. Sci. USA, 87, 51-55.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Moore, M.M., Clive, D., Hozier, J.C., Howard, B.E., Batson, A.G., Turner, N.T. and Sawyer, J. (1985). Analysis of Trifluorothymidine-Resistant (TFTr) Mutants of L5178Y/TK+/- Mouse Lymphoma Cells. Mutation Res., 151, 161-174.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 Yandell, D.W., Dryja, T.P. and Little, J.B. (1990). Molecular Genetic Analysis of Recessive Mutations at a Heterozygous Autosomal Locus in Human Cells. Mutation Res., 229, 89-102.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 Moore, M.M. and Doerr, C.L. (1990). Comparison of Chromosome Aberration Frequency and Small- Colony TK-Deficient Mutant Frequency in L5178Y/TK+/- -3.7.2C Mouse Lymphoma Cells. Mutagenesis, 5, 609-614.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B.18. OŠTEĆENJE I REPARACIJA DNK - VANREDNA SINTEZA DNK - ĆELIJE SISARA IN VITRO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vanredne sinteze DNK (u daljem tekstu: UDS) meri sintezu DNK za reparaciju nakon isecanja i otklanjanja odsečka DNK koji sadrži region oštećenja koji je izazvan hemijskim i fizičkim agensima. Ispitivanje se zasniva na ugrađivanju timidina obeleženog tricijumom (u daljem tekstu: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u DNK ćelije sisara koje se ne nalaze u S fazi ćelijskog ciklusa. Aktivno preuzimanje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može da se odredi autoradiografijom ili tečnim scintilacionim brojanjem (u daljem tekstu: LSC) DNK iz tretiranih ćelija. Ćelije sisara u kulturi, </w:t>
      </w:r>
      <w:r w:rsidRPr="00984859">
        <w:rPr>
          <w:rFonts w:ascii="Arial" w:eastAsia="Times New Roman" w:hAnsi="Arial" w:cs="Arial"/>
          <w:lang w:eastAsia="sr-Latn-RS"/>
        </w:rPr>
        <w:lastRenderedPageBreak/>
        <w:t xml:space="preserve">osim ukoliko se ne koriste primarni hepatociti pacova, tretiraju se ispitivanim agensom sa i bez egzogenog sistema metaboličke aktivacije. UDS može da se meri i u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sistemima.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Preparati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hemikalije i kontrolne ili referentne supstance pripremaju se u podlozi za rast ili se rastvaraju ili suspenduju u odgovarajućim vehikulumima i zatim se dodatno razblažuju u podlozi za rast za upotrebu u eksperimentu. Konačna koncentracija vehikuluma ne sme da utiče na vijabilitet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eseju mogu da se koriste primarne kulture hepatocita pacova, ljudskih limfocita ili utvrđenih ćelijskih linija (npr. ljudski diploidni fibroblasti).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se izlažu ispitivanoj hemikaliji i u prisustvu i u odsustvu odgovarajućeg sistema metaboličke aktivacije.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Broj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najmanje dve kulture ćelija za autoradiografiju i šest kultura (ili manje ukoliko je to naučno opravdano) za određivanje LSC UDS za svaku eksperimentalnu tačku.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Upotreba negativnih i pozitivnih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svako ispitivanje se uključuju istovremene pozitivne i negativne (netretirane i/ili vehikulum) kontrole, sa i bez metaboličke aktivacije.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Primeri pozitivnih kontrola za eksperiment sa hepatocitima pacova obuhvataju 7,12-dimetil benzantracen (7,12-DMBA) ili 2-acetil aminofluoren (2-AAF). U slučaju utvrđenih ćelijskih linija, 4-nitrokvinolin-N-oksid (4-NQO) predstavlja primer pozitivne kontrole i za autoradiografske i za LSC eseje koji se izvode bez metaboličke aktivacije. N-dimetil nitrozamin je primer jedinjenja pozitivne kontrole kada se koriste sistemi metaboličke aktivacije.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Koncentracije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Primenjuju se višestruke koncentracije ispitivane supstance u rasponu koji odgovara za definisanje odgovora. Najviša koncentracija izaziva određene citotoksične efekte. Jedinjenja koji su relativno nerastvorna u vodi ispituju se do granice rastvorljivosti. U slučaju hemikalija koje su netoksične i dobro rastvorne u vodi, gornja ispitivana koncentracija hemikalije utvrđuje se u zavisnosti od slučaja.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Ćelije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Prilikom održavanja kultura potrebno je primeniti odgovarajući podlogu za rast, koncentraciju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temperaturu i vlažnost. Utvrđene ćelijske linije periodično se proveravaju na kontaminaciju mikoplazmom.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Metabolička aktivacija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Sistem metaboličke aktivacije ne koristi se sa primarnim kulturama hepatocita. Određene ćelijske linije i limfociti izlažu se ispitivanoj supstanci i u prisustvu i u odsustvu odgovarajućeg sistema metaboličke aktivacije.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Priprema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Utvrđene ćelijske linije dobijaju se iz "stock", kultura (npr. tripsinizacijom ili otresanjem), zasađuju se u posude za kultivisanje pri odgovarajućoj gustini i inkubiraju na temperaturi od 37°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Kratkotrajne kulture hepatocita pacova utvrđuju se omogućavanjem sveže izdvojenim hepatocitima da se u odgovarajućoj podlozi pričvrste za površinu za rast.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Kulture ljudskih limfocita uspostavljaju se korišćenjem odgovarajućih metoda.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Tretiranje kultura ispitivanom supstancom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1.6.3.2.1. Primarni hepatociti pacova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Sveže izolovani hepatociti pacova tretiraju se ispitivanom supstancom u podlozi koja sadrži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tokom odgovarajućeg vremenskog perioda. Na kraju perioda tretiranja, podloga se odstranjuje sa ćelija, koje se nakon toga ispiraju, fiksiraju i suše. Slajdovi se zatim umoče u autoradiografsku emulziju (može se koristiti alternativni tanki film), izlože, razviju, oboje i prebroje.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1.6.3.2.2. Utvrđene ćelijske linije i limfociti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Autoradiografske tehnike: ćelijske kulture se izlažu ispitivanoj supstanci tokom odgovarajućih vremenskih perioda, nakon čega se tretiraju sa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Vremenski periodi se određuju u skladu sa prirodom supstance, aktivnosti metaboličkih sistema i vrstom ćelija. Kako bi se otkrio maksimum UDS-a, potrebno je dodati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istovremeno s ispitivanom supstancom ili tokom nekoliko minuta nakon izlaganja ispitivanoj supstanci. Na izbor jednog od ova dva postupka utiču moguće interakcije ispitivane supstance i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Kako bi se napravila razlika između UDS i semi-konzervativne replikacije DNK, ova druga se može sprečiti, npr. primenom podloge bez arginina, niskog sadržaja seruma ili hidroksiureom u podlozi za kultivisanje.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LSC merenja UDS-a: pre tretiranja ispitivanom supstancom potrebno je blokirati ulazak ćelija u S-fazu na način kako je gore opisano. Ćelije se zatim izlažu ispitivanoj hemikaliji na način kako je opisano za autoradiografiju. Na kraju perioda inkubacije, DNK se ekstrahuje iz ćelija i određuje se ukupni sadržaj DNK i stepen inkorporacije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slučajevima kada se koriste ljudski limfociti u gore navedenim tehnikama, kod nestimulisanih kultura nije potrebna supresija semi-konzervativne replikacije DNK.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1.6.3.3. Analize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1.6.3.3.1. Autoradiografska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određivanja UDS-a u ćelijama u kulturi ne prebrojavaju se jedra u S-fazi. Potrebno je prebrojati najmanje 50 ćelija po koncentraciji. Slajdovi se pre prebrojavanja šifruju. Na svakom slajdu se prebroji nekoliko široko razdvojenih nasumičnih polja. Količina inkorporacije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u citoplazmi određuje se prebrojavanjem tri područja veličine nukleusa u citoplazmi svake prebrojane ćelije.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1.6.3.3.2. LSC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LSC UDS određivanja, za svaku koncentraciju, primenjuje se odgovarajući broj kultura, kao i za kontrolu.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 rezultati se potvrđuju u nezavisnom eksperimentu.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AUTORADIOGRAFSKA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Stepen inkorporacije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u citoplazmi i broj zrna pronađenih u jedru ćelije odvojeno se navode.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opisivanje raspodele stepena inkorporacije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u citoplazmi i broja zrna po nukleusu mogu da se koriste srednje vrednosti, medijana i modus.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LSC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određivanja koja se odnose na LSC, inkorporaciju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potrebno je izraziti kao dpm/μg DNK. Može se primeniti srednja vrednost dpm/μg DNK sa standardnom devijacijom, a kako bi se opisala raspodela inkorporacije. Podaci se procenjuju odgovarajućim statističkim metodama.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upotrebljenim ćelijama, gustini i broju prolaza u vreme tretiranja, broju kultura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metodi primenjenoj u održavanju ćelijskih kultura, uključujući podlogu, temperaturu i koncentraciju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ispitivanoj supstanci, vehikulumu, koncentraciji i logičkoj osnovi za izbor koncentracija primenjenih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detaljima o sistemima metaboličke aktivacije;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rasporedu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pozitivnim i negativnim kontrolama;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primenjenoj autoradiografskoj tehnici;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postupcima korišćenim za blokiranje ulaska ćelija u S-fazu;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postupcima korišćenim za ekstrakciju DNK i utvrđivanje ukupnog sadržaja DNK u LSC određivanju;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odnosu doza/odgovor, kada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proceni;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B.19. </w:t>
      </w:r>
      <w:r w:rsidRPr="00984859">
        <w:rPr>
          <w:rFonts w:ascii="Arial" w:eastAsia="Times New Roman" w:hAnsi="Arial" w:cs="Arial"/>
          <w:b/>
          <w:bCs/>
          <w:i/>
          <w:iCs/>
          <w:lang w:eastAsia="sr-Latn-RS"/>
        </w:rPr>
        <w:t xml:space="preserve">IN VITRO </w:t>
      </w:r>
      <w:r w:rsidRPr="00984859">
        <w:rPr>
          <w:rFonts w:ascii="Arial" w:eastAsia="Times New Roman" w:hAnsi="Arial" w:cs="Arial"/>
          <w:b/>
          <w:bCs/>
          <w:lang w:eastAsia="sr-Latn-RS"/>
        </w:rPr>
        <w:t xml:space="preserve">ISPITIVANJE IZMENE SESTRINSKIH HROMATIDA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izmene sestrinskih hromatida (u daljem tekstu: SCE) jeste kratkotrajno ispitivanje namenjeno otkrivanju međusobnih izmena DNK dve sestrinske hromatide hromozoma koji se udvostručava. SCE predstavlja izmenu proizvoda replikacije DNK na naizgled homologim mestima. Postupak razmene verovatno obuhvata prekidanje i ponovno sjedinjavanje DNK, iako se malo zna o njegovoj molekulskoj osnovi. Detekcija SCE-a zahteva ulaganje određenog napora u diferencijalno obeležavanje sestrinskih hromatida, što se može postići inkorporacijom bromdeoksiuridina (u daljem tekstu: BrdU) u hromozomsku DNK kroz dva ćelijska ciklusa.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Ćelije sisara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izlažu se ispitivanoj hemikaliji sa i bez sisarskog egzogenog sistema metaboličke aktivacije, ukoliko je svrsishodno i kultivišu se tokom dva kruga replikacije u medijumu koji sadrži BrdU. Posle obrade inhibitorom deobnog vretena (npr. kolhicinom) da bi se akumulirale ćelije u stadijumu mitoze koji je sličan metafazi (c-metafaza) ćelije se skupljaju i pripremaju se hromozomski preparati.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Preparati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ispitivanju mogu da se koriste primarne kulture (ljudski limfociti) ili određene ćelijske linije (npr. ćelije ovarijuma kineskog hrčka). Ćelijske linije se proveravaju na kontaminaciju mikoplazmom,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Neophodno je da se primeni odgovarajući medijum za kulture i uslovi inkubacije (npr. temperatura, posude za kulture, koncentracija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vlažnost).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mogu da se pripreme u medijumu kulture ili da se rastvore ili suspenduju u odgovarajućim vehikulumima pre tretiranja ćelija. Konačna koncentracija vehikuluma u sistemu kulture ne sme u znatnoj meri da utiče na vijabilitet ćelija ili stepen rasta. Uticaj na učestalost SCE-a se prati putem kontrole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se izlažu ispitivanoj supstanci u prisustvu i u odsustvu sisarskog egzogenog sistema metaboličke aktivacije. Alternativno, u slučajevima kada se koriste tipovi ćelija s intrinzičnom metaboličkom aktivnošću, obim i priroda aktivnosti odgovaraju klasi hemikalije koja se ispituje.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Broj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svaku tačku ispitivanja primenjuje se najmanje dve kulture.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Primena pozitivnih i negativnih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svaki eksperiment se uključuju pozitivne kontrole i to primenom jedinjenja direktnog dejstva, kao i jedinjenja koje zahteva metaboličku aktivaciju. Potrebna je i primena kontrole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koje se mogu primeniti kao pozitivne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jedinjenje direktnog delovanja;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etil-metansulfonat;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jedinjenje indirektnog delovanja;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ciklofosfamid.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Kada je primereno, u ispitivanje može da se uključi dodatna pozitivna kontrola iste hemijske klase kojoj pripada i hemikalija koja se ispituje.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Koncentracije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da se primeni najmanje tri odgovarajuće raspoređene koncentracije ispitivane supstance. Najviša koncentracija izaziva značajan toksični efekt, ali pri tome omogućava odgovarajuću replikaciju ćelija. Supstance koje su relativno nerastvorljive u vodi ispituju se do granice rastvorljivosti uz primenu odgovarajućih postupaka. U slučaju supstanci koje su slobodno rastvorljive u vodi i nisu toksične, gornja koncentracija ispitivane supstance utvrđuje se od slučaja do slučaja.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Priprema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Utvrđene ćelijske linije dobijaju se iz postojećih ("stock") kultura (npr. tripsinizacijom ili otresanjem), zasejavaju se u posude za kulture na odgovarajućoj gustini i inkubiraju na temperaturi od 37° C. Za jednoslojne kulture potrebno je prilagoditi broj ćelija po posudi, tako da kulture u vreme skupljanja ne budu konfluentne mnogo više od 50%. Alternativno, mogu da se primene ćelije u kulturi u obliku suspenzije. Kulture ljudskih limfocita dobijaju se iz heparinizirane krvi odgovarajućim tehnikama i inkubiraju se na temperaturi od 37° 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Tretiranje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koje se nalaze u eksponencijalnom stadijumu rasta izlažu se ispitivanoj supstanci u odgovarajućem vremenskom periodu. U većini slučajeva jedan do dva sata može da bude delotvorno, ali je u određenim situacijama moguće produžiti vreme tretiranja do dva cela ćelijska ciklusa. Ćelije bez dovoljne intrinzične (sopstvene) metaboličke aktivnosti izlažu se ispitivanoj hemikaliji u prisustvu i odsustvu odgovarajućeg sistema metaboličke aktivacije. Po završetku perioda izlaganja sa ćelija se ispiraju ostaci ispitivane supstance pa se iste kultivišu tokom dva kruga replikacije u prisustvu BrdU. Kao alternativa može se primeniti postupak tokom kog se ćelije istovremeno izlažu ispitivanoj hemikaliji i BrdU tokom čitavog vremena kultivisanja od dva ćelijska ciklusa.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Kulture ljudskih limfocita tretiraju se dok se nalaze u polusinhronom stanju.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 ćelija obavlja se tokom njihove druge deobe posle tretmana, kako bi se obezbedilo da najosetljiviji stadijumi ćelijskog ciklusa budu izloženi hemikaliji. Sa svim kulturama kojima se dodaje BrdU rukuje se u mraku ili uz prigušenu svetlost inkandescentnih lampi, sve do skupljanja ćelija, kako bi se fotoliza DNK koji sadrži BrdU svela na najmanju meru.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1.6.3.3. Skupljanje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Ćelijske kulture tretiraju se inhibitorom deobnog vretena (npr. kolhicinom) jedan do četiri sata pre skupljanja. Ćelije svake kulture ubiraju se i obrađuju odvojeno za preparate hromozoma.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1.6.3.4. Preparati i bojenje hromozoma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Hromozomski preparati pripremaju se primenom standardnih citogenetskih tehnika. Bojenje slajdova, kako bi se prikazali SCE, može da se izvede pomoću nekoliko tehnika (npr. fluorescencija plus Giemsa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1.6.4.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Broj analiziranih ćelija zasniva se na spontanoj kontrolnoj učestalosti SCE. Obično se za SCE analizira najmanje 25 dobro rasprostranjenih metafaza po kulturi. Slajdovi se pre analize šifriraju. Kod ljudskih limfocita analiziraju se samo metafaze koje sadrže 46 centromera. Kod utvrđenih ćelijskih linija analiziraju se samo metafaze koje sadrže ± 2 centromere modalnog broja. Navodi se da li se centromerna zamena oznake vrednuje kao SCE. Rezultati se potvrđuju u nezavisnom ispitivanju.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Broj SCE za svaku metafazu i broj SCE po hromozomu za svaku metafazu navode se odvojeno za sve tretirane i kontrolne kulture.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procenjuju korišćenjem odgovarajućih statističkih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upotrebljenim ćelijama, metodama održavanja ćelijske kulture;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uslovima ispitivanja: sastav medijuma, koncentracija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koncentracija ispitivane supstance, korišćeni vehikulum, temperatura inkubacije, vreme tretiranja, korišćeni inhibitor deobnog vretena, njegova koncentracija i trajanje tretmana istim, vrsta korišćenog sisarskog sistema aktivacije, pozitivne i negativne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broju ćelijskih kultura po tački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detaljima tehnike korišćene za pripremu slajdova;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broju analiziranih metafaza (podaci se navode odvojeno za svaku kulturu);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prosečnom broju SCE po ćeliji i po hromozomu (podaci se navode odvojeno za svaku kulturu);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kriterijumima za vrednovanje SCE;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logičkoj osnovi za izbor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odnosu doza/odgovor,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proceni;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B.20. ISPITIVANJE RECESIVNE LETALNOSTI VEZANE ZA POL NA DROSOPHILA-e MELANOGASTER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Ispitivanjem recesivne letalnosti vezane za pol (u daljem tekstu: SLRL) kod Drosophila-e melanogaster otkriva se pojava mutacija, uključujući i tačkaste mutacije i male delecije, u zametnoj lozi insekta. Navedeno ispitivanje je analiza napredne mutacije, koja je sposobna za skrining mutacija na oko 800 lokusa (genskih mesta) na hromozomu X; što čini oko 80% svih lokusa hromozoma X. Hromozom X predstavlja približno jednu petinu čitavog haploidnog genoma.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Mutacije u hromozomu X Drosophila-e melanogaster fenotipski su izražene kod mužjaka koji nose mutirani gen. Kad je mutacija letalna u hemizigotnim uslovima, o njenom postojanju se zaključuje na osnovu izostanka jedne kategorije muških potomaka od dve kategorije koje normalno iznese heterozigotna ženka. SLRL ispitivanje koristi navedene činjenice pomoću posebno označenih i raspoređenih hromozoma.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Kulture soja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primeniti mužjaci kvalitetno definisane kulture soja divljeg tipa i ženki kulture soja Myller-5. Mogu se upotrebiti i ostale, dobro označene, ženske kulture soja s višestrukim invertiranim hromozomima X.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Ispitivane supstance se rastvaraju u vodi. Supstance koje su nerastvorljive u vodi mogu da se rastvore ili suspenduju u odgovarajućem vehikulumu (npr. smeši etanola i Tween-a 60 ili 80), a zatim pre primene da se razblaže u vodi ili rastvoru soli. Dimetilsulfoksid (u daljem tekstu: DMSO) se izbegava kao medijum.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Broj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je osmišljeno tako da ima unapred određenu osetljivost i snagu. Učestalost spontanih mutacija, koja bude primećena u odgovarajućem kontrolnom uzorku, u značajnoj meri utiče na broj tretiranih hromozoma koji se analiziraju.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Put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Izlaganje može biti: oralnim putem, putem injekcije ili izlaganje gasovima ili parama. Ispitivana supstanca može se dati i u rastvoru šećera. Kada je neophodno, materija može da se rastvori u 0,7% rastvoru NaCl i da se ubrizga u grudni koš ili abdomen.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1.6.1.5. Primena pozitivnih i negativnih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uključiti negativne (vehikulum) i pozitivne kontrole. Ukoliko postoje odgovarajući laboratorijski podaci iz prethodnih ispitivanja, nisu potrebne istovremene kontrole.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1.6.1.6. Nivoi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Primenjuju se tri nivoa izlaganja. Za preliminarnu procenu može da se primeni jedan nivo izlaganja ispitivanoj supstanci, s tim da navedeni nivo izlaganja treba da bude ili maksimalna tolerisana koncentracija ili ona koncentracija pri kojoj nastaju neki znaci toksičnosti. Za netoksične materije potrebno je izlaganje maksimalno mogućoj koncentraciji.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Mužjaci divljeg tipa (stari tri do pet dana) tretiraju se ispitivanom supstancom i pojedinačno pare s velikim brojem nevinih ženki kulture soja Myller-5 ili druge kulture soja, označenim (višestrukim invertiranim hromozomima X) na odgovarajući način. Ženke se zamenjuju novim nevinim ženkama svaka dva do tri dana kako bi se obuhvatio čitav ciklus polne ćelije. Potomci navedenih ženki proveravaju se na postojanje letalnih efekta koji odgovaraju efektima na zrelom spermatozoidu, spermatidima u srednjoj ili kasnoj fazi, spermatidima u ranoj fazi, spermatocitima i spermatogonijima u vreme tretiranja ispitivanom supstancom.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Heterozigotnim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ženkama, dobijenima navedenim ukrštanjem, dopušteno je da se pojedinačno pare (tj. jedna ženka po bočici) sa svojom braćom. U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generaciji svaka se kultura proverava na odsustvo mužjaka divljeg tipa. Ukoliko se dogodi da kultura potiče od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ženke koja je nosilac smrtnosti u roditeljskom hromozomu X (tj. nije primećen nijedan mužjak s tretiranim hromozomom), kćeri ženke s istim genotipom obavezno se ispituju kako bi se utvrdilo da li se smrtnost ponavlja u narednoj generaciji.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u tabelarnom obliku kako bi se prikazao broj ispitanih hromozoma X, broj neplodnih mužjaka i broj letalnih hromozoma pri svakoj koncentraciji izlaganja i za svaki period parenja za svakog tretiranog mužjaka. Neophodno je navesti i brojeve grupa </w:t>
      </w:r>
      <w:r w:rsidRPr="00984859">
        <w:rPr>
          <w:rFonts w:ascii="Arial" w:eastAsia="Times New Roman" w:hAnsi="Arial" w:cs="Arial"/>
          <w:lang w:eastAsia="sr-Latn-RS"/>
        </w:rPr>
        <w:lastRenderedPageBreak/>
        <w:t xml:space="preserve">(klastera) različitih veličina po svakom mužjaku. Potrebno je da se dobijeni rezultati potvrde u posebnom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procene ispitivanja recesivne letalnosti vezane za pol primenjuju se odgovarajuće statističke metode. Grupisanje recesivnih smrtnih ishoda koji potiču od jednoga mužjaka razmatra se i procenjuje odgovarajućom statističkom metodom.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kulturi soja: korišćene kulture soja ili sojevi Drosophila-e, starost insekata, broj tretiranih mužjaka, broj sterilnih mužjaka, broj utvrđenih F2 kultura, broj F2 kultura bez potomstva, broj hromozoma nosilaca letala koji su primećeni pri svakome stadijumu polne ćelije;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kriterijumima za utvrđivanje veličine tretiranih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uslovima ispitivanja, detaljan opis plana tretiranja i uzorkovanja, nivoe izlaganja, podatke o toksičnosti, negativne (rastvarač) i pozitivne kontrole, zavisno od konkretnog slučaja;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kriterijumima za beleženje letalnih mutacija;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odnosu izloženost/efekat, gde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proceni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B.21. </w:t>
      </w:r>
      <w:r w:rsidRPr="00984859">
        <w:rPr>
          <w:rFonts w:ascii="Arial" w:eastAsia="Times New Roman" w:hAnsi="Arial" w:cs="Arial"/>
          <w:b/>
          <w:bCs/>
          <w:i/>
          <w:iCs/>
          <w:lang w:eastAsia="sr-Latn-RS"/>
        </w:rPr>
        <w:t xml:space="preserve">IN VITRO </w:t>
      </w:r>
      <w:r w:rsidRPr="00984859">
        <w:rPr>
          <w:rFonts w:ascii="Arial" w:eastAsia="Times New Roman" w:hAnsi="Arial" w:cs="Arial"/>
          <w:b/>
          <w:bCs/>
          <w:lang w:eastAsia="sr-Latn-RS"/>
        </w:rPr>
        <w:t xml:space="preserve">ISPITIVANJA TRANSFORMACIJE ĆELIJA SISARA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Kulture ćelija sisara mogu da se koriste za otkrivanje fenotipskih promena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izazvanih hemijskim supstancama koje su povezane s malignom transformacijom </w:t>
      </w:r>
      <w:r w:rsidRPr="00984859">
        <w:rPr>
          <w:rFonts w:ascii="Arial" w:eastAsia="Times New Roman" w:hAnsi="Arial" w:cs="Arial"/>
          <w:i/>
          <w:iCs/>
          <w:lang w:eastAsia="sr-Latn-RS"/>
        </w:rPr>
        <w:t>in vivo</w:t>
      </w:r>
      <w:r w:rsidRPr="00984859">
        <w:rPr>
          <w:rFonts w:ascii="Arial" w:eastAsia="Times New Roman" w:hAnsi="Arial" w:cs="Arial"/>
          <w:lang w:eastAsia="sr-Latn-RS"/>
        </w:rPr>
        <w:t>. Među ćelije koje se najviše primenjuju spadaju: C3H10T</w:t>
      </w:r>
      <w:r w:rsidRPr="00984859">
        <w:rPr>
          <w:rFonts w:ascii="Arial" w:eastAsia="Times New Roman" w:hAnsi="Arial" w:cs="Arial"/>
          <w:sz w:val="15"/>
          <w:szCs w:val="15"/>
          <w:vertAlign w:val="subscript"/>
          <w:lang w:eastAsia="sr-Latn-RS"/>
        </w:rPr>
        <w:t>1/2</w:t>
      </w:r>
      <w:r w:rsidRPr="00984859">
        <w:rPr>
          <w:rFonts w:ascii="Arial" w:eastAsia="Times New Roman" w:hAnsi="Arial" w:cs="Arial"/>
          <w:lang w:eastAsia="sr-Latn-RS"/>
        </w:rPr>
        <w:t xml:space="preserve">, 3T3, SHE i ćelije pacova Fischer soja, dok se ispitivanja oslanjaju na promene u morfologiji ćelije, formiranju fokusa ili promene u zavisnosti od pričvršćivanja u polučvrstom agaru. Postoje i kulture ćelija koje se ređe koriste, a koje otkrivaju druge fiziološke ili morfološke promene u ćelijama posle izlaganja karcinogenim hemikalijama. Nijedna od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krajnjih tačaka ispitivanja nema utvrđenu mehanističku vezu s rakom. Neke od kultura ćelija mogu da detektuju promotore tumora. Citotoksičnost može da se utvrdi merenjem efekta ispitivanog materijala na sposobnosti formiranja kolonija (efikasnost kloniranja) ili stepene rasta kultura. Merenje citotoksičnosti služi da se utvrdi da je izlaganje ispitivanoj hemikaliji bilo toksikološki relevantno, ali ne može da se upotrebi za izračunavanje transformacije: učestalosti kod svih analiza s obzirom da neke od njih mogu da uključuju produženu inkubaciju i/ili subkultivisanje.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Ćelije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zavisnosti od vrste ispitivanja transformacije koja se koristi, dostupne su različite ćelijske linije ili primarne ćelije. Ispitivač se stara da se kod ćelija koje se koriste u ispitivanju posle izlaganja poznatim karcinogenima pokaže odgovarajuća promena u fenotipu, kao i da se pobrine za to da je ispitivanje, u laboratoriji ispitivača, dokazanog i dokumentovanog kvaliteta i pouzdanosti.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Medijum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da se koristi medijum i eksperimentalni uslovi koji odgovaraju obliku ispitivanja transformacije koji se koristi.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mogu da se pripreme u medijumu kulture ili da se rastvore ili suspenduju u odgovarajućim vehikulumima pre tretiranja ćelija. Konačna koncentracija vehikuluma u sistemu kulture ne sme da utiče na vijabilitet ćelija, stepen rasta ili učestalost transformacija.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Metabolička aktivacija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se izlažu ispitivanoj supstanci u prisustvu i u odsustvu odgovarajućeg sistema metaboličke aktivacije. Alternativno, kada se koriste tipovi ćelija sa intrinzičnom </w:t>
      </w:r>
      <w:r w:rsidRPr="00984859">
        <w:rPr>
          <w:rFonts w:ascii="Arial" w:eastAsia="Times New Roman" w:hAnsi="Arial" w:cs="Arial"/>
          <w:lang w:eastAsia="sr-Latn-RS"/>
        </w:rPr>
        <w:lastRenderedPageBreak/>
        <w:t xml:space="preserve">(sopstvenom) metaboličkom aktivnošću, priroda aktivnosti odgovara kategoriji (klasi) hemikalije koja se ispituje.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Primena pozitivnih i negativnih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svako ispitivanje se uključuju pozitivne kontrole i to primenom jedinjenja direktnog delovanja, kao i jedinjenja koje zahteva metaboličku aktivaciju. Neophodno je primeniti i negativne kontrole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koje se mogu primeniti kao pozitivne kontrole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Hemikalije direktnog delovanja: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etil metansulfonat;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 propiolakton.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Jedinjenja koji zahtevaju metaboličku aktivaciju: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- 2- acetil aminofluoren;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- 4-dimetilaminoazobenze;,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- 7,12-dimetilbenz[a]antracen.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je primereno, u ispitivanje se uključuje dodatna pozitivna kontrola iste hemijske kategorije kojoj pripada i jedinjenje koji se ispituje.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Koncentracije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da se primeni nekoliko koncentracija ispitivane supstance. Navedene koncentracije treba da izazovu toksične efekte zavisne od koncentracije, pri čemu najviša koncentracija uzrokuje nizak stepen preživljenja, dok je preživljenje kod najniže koncentracije slično onome kod negativne kontrole. Supstance koje su relativno nerastvorljive u vodi ispituju se do granice rastvorljivosti, uz primenu odgovarajućih postupaka. U slučaju supstanci koje su netoksične i dobro rastvorljive u vodi, gornja koncentracija ispitivane supstance utvrđuje se posebno za svaki pojedinačni slučaj.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se izlažu ispitivanoj supstanci tokom odgovarajućeg vremenskog perioda, u zavisnosti od sistema koji se koristi u ispitivanju. U slučaju produženog izlaganja, može se uključiti ponovljeno doziranje praćeno promenom medijuma (i ukoliko je potrebno, svežom smešom za metaboličku aktivaciju). Ćelije bez dovoljne intrinzične (sopstvene) metaboličke aktivnosti izlažu se ispitivanoj supstanci u prisustvu i odsustvu odgovarajućeg sistema metaboličke aktivacije. Po završetku perioda izlaganja sa ćelija se ispiraju ostaci ispitivane supstance i iste ćelije se kultivišu pod uslovima koji su primereni za pojavu transformisanog fenotipa koji se posmatra, a posle čega se utvrđuje incidenca transformacije. Svi rezultati potvrđuju se u okviru nezavisnog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Podaci se navode tabelarno i mogu biti različito formulisani zavisno od oblika ispitivanja koji se koristi, na primer: broj podloga, pozitivne podloge ili broj transformisanih ćelija. Kad odgovara, stepen preživljavanja se izražava u obliku procenta od kontrolnih nivoa. Učestalost transformacija izražava se kao broj transformanata prema broju preživelih. Podaci se procenjuju primenom odgovarajućih statističkih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korišćenom tipu ćelija, broju ćelijskih kultura, metodama održavanja ćelijskih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uslovima ispitivanja: koncentracija ispitivane supstance, korišćeni medijum, vreme inkubacije, trajanje i učestalost tretiranja, gustina ćelija tokom tretmana, vrsta korišćenog egzogenog sistema metaboličke aktivacije, pozitivne i negativne kontrole, detaljan opis fenotipa koji se posmatra, korišćeni selektivni sistem (zavisno od slučaja), logička osnova za izbor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metodi korišćenoj za prebrojavanje vijabilnih i transformisanih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proceni;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B.22. ISPITIVANJE DOMINANTNE LETALNOSTI NA GLODARIMA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Efekti dominantne letalnosti za posledicu imaju embrionalnu ili fetalnu smrt. Indukcija dominantnih letala izlaganjem hemijskoj supstanci ukazuje na činjenicu da je supstanca delovala na germinativno tkivo ispitivane životinjske vrste. Opšteprihvaćeno mišljenje je da su dominantni letali posledica hromozomskih oštećenja (strukturnih i numeričkih anomalija). U slučaju tretiranja ženki ispitivanom supstancom, embrionalna smrt može da bude i posledica toksičnih dejstava.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mužjaci izlažu delovanju ispitivanog jedinjenja i potom se pare s netretiranim nevinim ženkama. Primenom sekvencijalnih intervala parenja moguće je odvojeno ispitati različite stadijume polnih ćelija. Povećanje broja mrtvih implanta po svakoj ženki u tretiranoj grupi u odnosu na broj mrtvih implanta po svakoj ženki u kontrolnoj grupi odražava postimplantacioni gubitak. Predimplantacioni gubitak može da se proceni na osnovu broja žutih tela ili poređenjem ukupnoga broja implanta po svakoj ženki u kontrolnoj i tretiranoj grupi. Ukupan efekt dominantne letalnosti predstavlja zbir pred- i post-implantacionog gubitka. Procena ukupnoga efekta dominantne letalnosti zasniva se na poređenju živih implanta po svakoj ženki u ispitivanoj grupi i živih implanta po svakoj ženki u kontrolnoj grupi. Smanjenje broja implanta u određenim vremenskim razmacima može biti posledica ubijanja ćelija (tj. spermatocita i/ili spermatogonija).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moguće, ispitivane supstance se rastvaraju ili suspenduju u izotoničnom rastvoru. Hemikalije nerastvorljive u vodi mogu da se rastvore ili suspenduju u odgovarajućim medijumima. Medijum koji se koristi ne sme da interferira sa ispitivanom hemikalijom, niti za posledicu da ima toksične efekte. Neophodna je upotreba svežih rastvora/suspenzija ispitivane hemikalije.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Put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Ispitivano jedinjenje uglavnom se primenjuje samo jednom. Na osnovu toksikoloških podataka može se primeniti plan ponovljenog tretiranja. Uobičajeni putevi primene su oralna intubacija ili intraperitonealna injekcija. Mogu da odgovaraju i drugi putevi primene.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odgovarajuće vrste za ispitivanje preporučuju se pacovi i miševi. Zdrave i potpuno polno zrele životinje nasumično se biraju i dodeljuju grupama koje se tretiraju i kontrolnim grupama.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odgovarajući broj tretiranih mužjaka, uzimajući u obzir spontano variranje bioloških svojstava koja se vrednuju. Izabrani broj se zasniva na unapred određenoj osetljivosti detekcije i stepena značaja. Na primer, u tipičnom ispitivanju, broj mužjaka u svakoj grupi koja prima određenu dozu je dovoljan da se obezbedi između 30 i 50 gravidnih ženki po svakom intervalu parenja.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1.6.2.4. Primena pozitivnih i negativnih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svaki eksperiment se uključuju istovremene pozitivne i negativne (medijum) kontrole. Kad postoje prihvatljivi rezultati pozitivne kontrole iz eksperimenata koji su nedavno obavljeni u istoj laboratoriji, oni se mogu koristiti umesto istovremene pozitivne kontrole. Supstance pozitivne kontrole koriste se u prikladnoj niskoj dozi (npr. MMS, intraperitonealno pri 10 mg/kg), a kako bi se pokazala osetljivost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koriste tri nivoa doza. Visoka doza prouzrokuje znakove toksičnosti ili smanjene plodnosti tretiranih životinja. U određenim slučajevima jedna visoka doza može da bude dovoljna.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1.6.2.6.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Netoksične supstance traba ispitati pri dozi od 5 g/kg u obliku jedne doze, ili pri dozi od 1 g/kg/dnevno prilikom ponovljenog doziranja.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Postoji nekoliko planova za izvođenje postupka. Najviše se primenjuje doziranje ispitivane supstance u obliku jednokratne primene. Mogu se primeniti i drugi planovi tretiranja.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Pojedini mužjaci se sekvencijalno pare s jednom ili dve netretirane nevine ženke u odgovarajućim vremenskim intervalima posle tretiranja ispitivanom supstancom. Ženke je potrebno ostaviti zajedno s mužjacima tokom najmanje jednog estrusnog ciklusa ili dok ne dođe do parenja koje se utvrđuje prema prisutnosti sperme u vagini ili prema postojanju vaginalnog "čepa".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Broj parenja posle tretiranja rukovodi se planom tretiranja i obezbeđuje uzorkovanje svih stadijuma polnih ćelije posle tretiranja.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Ženke se lišavaju života na human način u drugoj polovini graviditeta i pregleda se sadržaj materice kako bi se utvrdio broj živih i mrtvih implanta. Mogu se pregledati i jajnici kako bi se utvrdio broj žutih tela.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kako bi se prikazao broj mužjaka, broj gravidnih ženki i broj negravidnih ženki. Rezultati svakoga parenja, uključujući identitet svakog mužjaka i ženke, navode se pojedinačno. Potrebno je zabeležiti nedelju parenja za svaku ženku, veličinu doze koju su primili mužjaci, kao i učestalosti pojave živih i mrtvih implanta.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Izračunavanje ukupnog efekta dominantne letalnosti zasniva se na poređenju živih implanta po svakoj ženki u ispitivanoj grupi sa živim implantima po svakoj ženki u kontrolnoj grupi. Odnos mrtvih i živih implanta iz tretirane grupe u poređenju sa odnosom u kontrolnoj grupi analizira se kako bi se pokazao postimplantacioni gubitak.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podaci navode u obliku ranih i kasnih smrti, u tabelama se to jasno naznačava. Navodi se i predimplantacioni gubitak, ukoliko je procenjen. Predimplantacioni gubitak može se izračunati kao razlika između broja žutih tela i broja implanta ili kao smanjenje prosečnog broja implanta po materici, a u poređenju sa kontrolnim parenjima.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Podaci se procenjuju primenom odgovarajućih statističkih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životinjskoj vrsti, soju, starosti i telesnoj masi korišćenih životinja, broju životinja svakoga pola u eksperimentalnim i kontrolnim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ispitivanoj supstanci, medijumu, ispitanim nivoima doza i logičkoj osnovi za izbor doza, negativnoj i pozitivnoj kontroli,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putu i planu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rasporedu parenja;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metodama koje su korišćene da bi se utvrdilo da je došlo do parenja;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kriterijumima beleženja dominantnih letala;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odnosu doza/efekat,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proceni;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B.23. ISPITIVANJE HROMOZOMSKIH ABERACIJA NA SPERMATOGONIJIMA SISARA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483, Mammalian Spermatogonial Chromosome Aberration Test (1997).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ispitivanja hromozomskih aberacija u spermatogonijima sisara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jeste identifikacija supstanci koje uzrokuju strukturalne hromozomske aberacije u ćelijama spermatogonija sisara</w:t>
      </w:r>
      <w:r w:rsidRPr="00984859">
        <w:rPr>
          <w:rFonts w:ascii="Arial" w:eastAsia="Times New Roman" w:hAnsi="Arial" w:cs="Arial"/>
          <w:b/>
          <w:bCs/>
          <w:sz w:val="15"/>
          <w:szCs w:val="15"/>
          <w:vertAlign w:val="superscript"/>
          <w:lang w:eastAsia="sr-Latn-RS"/>
        </w:rPr>
        <w:t>1, 2, 3, 4, 5</w:t>
      </w:r>
      <w:r w:rsidRPr="00984859">
        <w:rPr>
          <w:rFonts w:ascii="Arial" w:eastAsia="Times New Roman" w:hAnsi="Arial" w:cs="Arial"/>
          <w:lang w:eastAsia="sr-Latn-RS"/>
        </w:rPr>
        <w:t xml:space="preserve">. Strukturalne aberacije mogu biti dvojake: hromozomskog ili </w:t>
      </w:r>
      <w:r w:rsidRPr="00984859">
        <w:rPr>
          <w:rFonts w:ascii="Arial" w:eastAsia="Times New Roman" w:hAnsi="Arial" w:cs="Arial"/>
          <w:lang w:eastAsia="sr-Latn-RS"/>
        </w:rPr>
        <w:lastRenderedPageBreak/>
        <w:t xml:space="preserve">hromatidnog tipa. Većina hemijskih mutagena uzrokuje aberacije hromatidnog tipa, ali ponekad se pojavljuju i aberacije hromozomskog tipa. Ova metoda nije namenjena merenju numeričkih aberacija i obično se ne upotrebljava u tu svrhu. Hromozomske mutacije i sa njima povezane pojave uzrok su mnoštva genetskih oboljenja kod ljudi.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 ispitivanje meri hromozomske pojave u zametnim ćelijama spermatogonija i od njega se očekuje da bude uspešno u predviđanju indukovanja naslednih mutacija u polnim ćelijama.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ovom ispitivanju obično se upotrebljavaju glodari. Navedeno citogenetsko ispitivanje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otkriva hromozomske aberacije prilikom mitoze spermatogonija. Ostale ciljne ćelije nisu predmet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otkrile aberacije hromatidnog tipa u ćelijama spermatogonija potrebno je ispitati prvu mitotsku deobu ćelija posle tretmana, a pre nego što navedene lezije nestanu u narednim ćelijskim deobama. Dodatni podaci o tretiranim matičnim ćelijama spermatogonija mogu se dobiti analizom aberacija hromozomskoga tipa kod mejotskih hromozoma prilikom dijakineze-metafaze 1 kada tretirane ćelije postaju spermatociti.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ovoga ispitivanja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jeste ispitati da li su mutageni somatskih ćelija aktivni i u polnim ćelijama. Uz to, ovo ispitivanje na spermatogonijima odgovara i za ocenjivanje mutagenosti, zbog toga što omogućava uzimanje u obzir faktor metabolizma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farmakokinetike i procesa popravka DNK.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testisu se nalaze brojne generacije spermatogonija koje imaju različite nivoe osetljivosti na hemijski tretman. Otkrivene aberacije predstavljaju zbirnu reakciju tretiranih ćelijskih populacija spermatogonija, pri čemu preovlađuju diferencirane ćelije spermatogonija koje su brojnije. Zbog fizičke i fiziološke barijere Sertolijevih ćelija i barijere između krvi i testisa, različite generacije spermatogonija mogu ili ne moraju biti izložene krvotoku, zavisno od njihovog položaja u testisima.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Ovaj oblik ispitivanja ne odgovara ukoliko se pojave dokazi da ispitivana supstanca ili reaktivni metabolit neće dospeti do ciljnog tkiva.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Aberacija hromatidnog tipa jeste strukturalno oštećenje hromozoma koje se izražava kao cepanje pojedinih hromatida ili cepanje i ponovno sjedinjavanje između hromatida.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Aberacija hromozomskog tipa jeste strukturno oštećenje hromozoma koje se izražava kao cepanje ili cepanje i ponovno sjedinjavanje obe hromatide na identičnom mestu.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Hromozomski prekid jeste ahromatska lezija manja od širine jedne hromatide s minimumom neporavnatošću hromatida.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Numerička aberacija jeste promena u broju hromozoma koja odstupa od redovnog broja karakterističnog za životinje koje se koriste.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Poliploidnost jeste umnožak haploidnog broja hromozoma (n) različit od diploidnog broja (tj. 3n, 4n,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Strukturna aberacija jeste promena u strukturi hromozoma koja se može otkriti mikroskopskim pregledom metafaznog stadijuma deobe ćelija, a koja se zapaža u obliku delecija, transpozicija ili recipročnih translokacija.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odgovarajućim putem ekspozicije izlažu ispitivanoj supstanci i lišavaju života u odgovarajuće vreme posle tretiranja. Pre lišavanja života na human način, životinje se tretiraju supstancom za zaustavljanje metafaze (npr. kolhicinom ili Colcemid-om®). Posle toga, pripreme se i oboje hromozomski preparati od polnih ćelija i analiziraju ćelije u metafazi s ciljem utvrđivanja hromozomskih aberacija.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koriste kineski hrčci i miševi muškoga pola. Mogu se primeniti i mužjaci druge odgovarajuće vrste sisara. Koriste se laboratorijski sojevi mladih zdravih odraslih životinja koji se obično koriste. Na početku istraživanja odstupanje u telesnoj masi životinja treba da bude minimalno i da ne premašuje ± 20% prosečne telesne mase.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Uslovi smeštaja i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Primenjuju se opšti uslovi koji su navedeni u Opštem uvodu, iako se vlažnost održava na nivou od 50% do 60%.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Zdravi odrasli mužjaci se, po metodi slučajnog izbora, svrstavaju u kontrolne i eksperimentalne grupe. Kavezi su raspoređeni na način kojim će efekti koji su posledica položaja kaveza biti svedeni na najmanju moguću meru. Životinje se označavaju na jedinstven način. Životinje se aklimatizuju na laboratorijske uslove najmanje pet dana pre početka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1.4.1.4.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Čvrste ispitivane supstance rastvaraju se ili suspenduju u odgovarajućim rastvaračima ili vehikulumima i, ukoliko je potrebno, razređuju pre doziranja životinja. Tečne ispitivane supstance mogu direktno da se doziraju ili razrede pre doziranja. Koriste se sveže pripremljeni preparati ispitivane supstance, osim ako podaci o stabilnosti ukazuju da je čuvanje prihvatljivo.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Rastvarač/vehikulum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Rastvarač/vehikulum ne sme da ima toksične efekte pri nivou doza koje se primenjuju i ne sme da postoji sumnja da će hemijski da reaguje sa ispitivanom supstancom. Ukoliko se primenjuju manje poznati rastvarači/vehikulumi, njihovo uključivanje u ispitivanje se opravdava podacima o njihovoj kompatibilnosti. Kad god je moguće, preporučuje se da se prvo razmotri primena vodenog rastvarača/vehikuluma.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1.4.2.2.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Istovremene pozitivne i negativne (rastvarač/vehikulum) kontrole uključuju se u svako ispitivanje. Osim tretiranja ispitivanom supstancom, sa životinjama u kontrolnim grupama se postupa na isti način kao sa životinjama u tretiranim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Pozitivne kontrole izazivaju strukturne hromozomske aberacije u ćelijama spermatogonija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pri istim nivoima izloženosti za koje se očekuje da će izazvati primetno povećanje u odnosu na podlogu.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Pozitivne kontrolne doze se biraju tako da efekti budu jasni, ali da licu koje čita eksperiment odmah ne otkriju identitet šifriranih mikroskopskih preparata (slajdova). Prihvatljivo je da se pozitivne kontrole primene putem koji je različit od onoga kod ispitivane supstance i da se uzorak uzme samo jednom. Kada je moguće uzima se u obzir primena hemikalija pozitivne kontrole koje pripadaju istoj hemijskoj kategoriji kao i ispitivana hemikalija. Primeri supstanci pozitivne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791"/>
        <w:gridCol w:w="2042"/>
        <w:gridCol w:w="229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ciklofosfamid</w:t>
            </w:r>
            <w:r w:rsidRPr="00984859">
              <w:rPr>
                <w:rFonts w:ascii="Arial" w:eastAsia="Times New Roman" w:hAnsi="Arial" w:cs="Arial"/>
                <w:lang w:eastAsia="sr-Latn-RS"/>
              </w:rPr>
              <w:br/>
              <w:t xml:space="preserve">ciklofosfamid monohidrat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50-18-0</w:t>
            </w:r>
            <w:r w:rsidRPr="00984859">
              <w:rPr>
                <w:rFonts w:ascii="Arial" w:eastAsia="Times New Roman" w:hAnsi="Arial" w:cs="Arial"/>
                <w:lang w:eastAsia="sr-Latn-RS"/>
              </w:rPr>
              <w:br/>
              <w:t xml:space="preserve">6055-19-2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200-015-4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cikloheksilamin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108-91-8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203-629-0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mitomicin 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50-07-7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200-008-6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monomerni akrilamid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79-06-1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201-173-7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trietilenmelamin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51-18-3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200-083-5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Negativne kontrole, tretirane samo rastvaračem ili vehikulumom, inače tretirane na isti način kao grupe obuhvaćene tretmanom, uključuju se u svako vreme uzorkovanja, osim ukoliko se, iz prošlih kontrolnih podataka, mogu ekstrapolirati prihvatljive među-životinjske varijabilnosti i frekventnost ćelija s hromozomskim aberacijama. Istovremeno se koriste i netretirane kontrole, osim ukoliko postoje kontrolni podaci iz prošlih ispitivanja ili objavljeni kontrolni podaci koji dokazuju da odabran rastvarač/vehikulum ne izaziva štetne ili mutagene efekte.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Broj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Svaka tretirana i kontrolna grupa obuhvata najmanje pet mužjaka na kojima se može obaviti analiza.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Plan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je najbolje davati jednom ili dvaput (tj. u okviru jednog ili dva tretmana). Ispitivane supstance mogu da se daju u obliku podeljene doze, tj. u obliku dva tretmana tokom istoga dana u razmaku od najviše nekoliko sati, a kako bi se olakšalo davanje velike količine materijala. Ostali režimi doziranja naučno se opravdavaju.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najvišoj doznoj grupi uzorkovanje se vrši dva puta posle tretiranja. S obzirom da ispitivana supstance može da utiče na dinamiku ćelijskoga ciklusa, jedno uzorkovanje se obavlja ranije, oko 24 sata posle tretmana, a drugo kasnije, oko 48 sati posle tretmana. Kod ostalih doza, različitih od najviše doze, uzorke je potrebno uzeti 24 sata ili 1,5 dužinu ćelijskog ciklusa </w:t>
      </w:r>
      <w:r w:rsidRPr="00984859">
        <w:rPr>
          <w:rFonts w:ascii="Arial" w:eastAsia="Times New Roman" w:hAnsi="Arial" w:cs="Arial"/>
          <w:lang w:eastAsia="sr-Latn-RS"/>
        </w:rPr>
        <w:lastRenderedPageBreak/>
        <w:t>posle tretmana, osim ukoliko je poznato da bi drugo vreme uzorkovanja bilo prikladnije za otkrivanje efekata</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Dodatni uzorci mogu da se uzimaju i u drugo vreme, npr. u slučaju hemikalija koje mogu da dovedu do zaostajanje hromozoma ili efekte nezavisne od S-faze, primerenije je da se uzorkovanje obavi ranije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Primerenost plana ponovljenog tretiranja utvrđuje se od slučaja do slučaja. Posle programa ponovljenog tretiranja, životinje se lišavaju života na human način 24 sata (1,5 dužina ćelijskog ciklusa) posle poslednjeg unosa ispitivane supstance. Kad je potrebno, mogu se uzeti i dodatni uzorci u drugo vreme.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lišavanja života na human način životinjama se intraperitonealno injektuje odgovarajuća doza supstance za zaustavljanje metafaze (npr. Colcemid-a® ili kolhicina). Zatim se uzimaju životinjski uzorci u odgovarajućim intervalima. Za miševe ovaj interval iznosi oko 3 do 5 sati; za kineske hrčke interval iznosi oko 4 do 5 sati.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Ukoliko se istraživanje obavlja sa ciljem utvrđivanja raspona zbog toga što ne postoje odgovarajući podaci, navedeno istraživanje se obavlja u istoj laboratoriji, uz korišćenje iste vrste, soja, pola i režima tretiranja koji će biti primenjeni u glavnom istraživanju</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Ukoliko postoji toksičnost, prilikom prvog intervala uzorkovanja koriste se tri nivoa doziranja. Ovi nivoi doziranja obuhvataju raspon od maksimalne do minimalne toksičnosti ili bez toksičnosti. Prilikom kasnijeg intervala uzorkovanja potrebno je upotrebiti samo najvišu dozu. Najviša doza se definiše kao doza usled koje nastaju simptomi toksičnosti takve prirode da se očekuje da bi veći nivoi doziranja, zasnovani na istom režimu doziranja, izazvali smrt.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specifičnog biološkog delovanja u malim netoksičnim dozama (kao što su hormoni i mitogena) izuzetak su od kriterijuma za postavljanje doza, pa se vrednuju od slučaju do slučaja. Najviša doza se može definisati i kao doza koja dovodi do nekih indikacija toksičnosti u ćelijama spermatogonija (npr. smanjenje odnosa između mitoza spermatogonija u prvoj i drugoj mejotskoj metafazi; navedeno smanjenje ne sme da bude veće od 50%).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prilikom ispitivanja jednom dozom, na nivou od najmanje 2.000 mg/kg TM/dnevno u okviru jednog tretmana ili dva tretmana tokom istoga dana, ne nastanu nikakvi primetni toksični efekti i ukoliko se genotoksičnost ne očekuje na osnovu podataka o strukturno sličnim supstancama, nije neophodno celokupno ispitivanje koje primenjuje tri nivoa doziranja. Očekivana izloženost ljudi može ukazati na potrebu za primenom veće doze tokom ispitivanja granične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1.5.5.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obično se primenjuje intubacijom (prisilno hranjenje), i to korišćenjem želudačne cevi ili odgovarajuće intubacijske kanile ili intraperitonealnom injekcijom. Ostali putevi izlaganja mogu da budu prihvatljivi u slučajevima u kojima se mogu opravdati. Maksimalna zapremina tečnosti koja može da se da odjednom putem cevi ili injekcijom zavisi od veličine eksperimentalne životinje. Zapremina ne sme da pređe 2 ml/100 g TM. Upotrebu većih zapremina potrebno je opravdati. Izuzev u slučaju iritabilnih i korozivnih supstanci koje normalno pokazuju pogoršane efekte pri višim koncentracijama, varijabilnost ekperimentalne zapremine svodi se na najmanju moguću meru prilagođavanjem koncentracije, a kako bi se osigurala konstantna zapremina pri svim nivoima doza.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1.5.6. Hromozomski preparat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posle lišavanja života na human način iz jednog ili oba testisa uzimaju se ćelijske suspenzije koje se izlažu hipotoničnom rastvoru i fiksiraju. Ćelije se zatim nanesu na mikroskopska stakla i oboje.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1.5.7.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svaku životinju se analizira najmanje 100 dobro vidljivih metafaza (tj. najmanje 500 metafaza po grupi). Navedeni broj se može smanjiti kada se uočava veliki broj aberacija. Sve preparate (slajdove), uključujući one pozitivne i negativne kontrole, potrebno je nezavisno šifrirati pre mikroskopske analize. S obzirom da postupci fiksiranja često za posledicu imaju oštećenje proporcija metafaza uz gubitak hromozoma, vrednovane ćelije zbog toga sadrže broj centromera jednak broju 2n ± 2.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koji se odnose na pojedine životinje prikazuju se tabelarno. Životinja predstavlja eksperimentalnu jedinicu. Za svaku pojedinu životinju potrebno je utvrditi broj ćelija sa strukturnim hromozomskim aberacijama i broj hromozomskih aberacija po ćeliji. Navode se različite vrste strukturnih hromozomskih aberacija zajedno sa njihovim brojevima i frekvencama, a u odnosu na tretirane i kontrolne grupe. Hromozomski prekidi navode se odvojeno i o njima se izveštava, ali se uglavnom ne uključuju u ukupnu frekvencu aberacija.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posmatraju i mitoza i mejoza, potrebno je utvrditi odnos između mitoza spermatogonija u prvoj i drugoj mejotskoj metafazi kao merilo citotoksičnosti za sve tretirane životinje i životinje negativne kontrole na čitavom uzorku od 100 ćelija u deobi po životinji, da bi se utvrdili mogući citotoksični efekti. Ukoliko se posmatra samo mitoza, potrebno je utvrditi mitotski indeks u najmanje 1.000 ćelija za svaku životinju.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Postoji nekoliko kriterijuma za utvrđivanje pozitivnog rezultata, kao što je dozno zavisno povećanje relativnog broja ćelija s hromozomskim aberacijama ili jasno povećanje broja ćelija sa aberacijama u grupi koja je primala po jednu dozu prilikom pojedinog intervala uzorkovanja. Prvenstveno se uzima u obzir biološka relevantnost rezultata. Prilikom procene rezultata ispitivanja mogu da se primene statističke metode kao pomoćno sredstvo</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Statistički značaj ne treba da bude jedini faktor pomoću kojeg se utvrđuje pozitivan odgovor. Dvosmisleni rezultati se pojašnjavaju ispitivanjem, najbolje kroz modifikaciju eksperimentalnih uslova.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za koju rezultati ne zadovoljavaju navedene kriterijume, smatra se nemutagenom u ovom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većina eksperimenata daje jasno pozitivne ili negativne rezultate, u retkim slučajevima utvrđeni podaci onemogućavaju donošenje konačne odluke o delovanju ispitivane supstance. Rezultati mogu ostati dvosmisleni ili nejasni, bez obzira koliko je puta eksperiment ponovljen.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Pozitivni rezultati ispitivanja hromozomskih aberacija u spermatogonijima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ukazuju na to da ispitivana supstanca uzrokuje strukturne hromozomske aberacije u polnim ćelijama </w:t>
      </w:r>
      <w:r w:rsidRPr="00984859">
        <w:rPr>
          <w:rFonts w:ascii="Arial" w:eastAsia="Times New Roman" w:hAnsi="Arial" w:cs="Arial"/>
          <w:lang w:eastAsia="sr-Latn-RS"/>
        </w:rPr>
        <w:lastRenderedPageBreak/>
        <w:t xml:space="preserve">ispitane vrste. Negativni rezultati ukazuju na to da, pod eksperimentalnim uslovima, ispitivana supstanca ne izaziva hromozomske aberacije u polnim ćelijama ispitane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razmotriti verovatnoću da će ispitivana supstanca ili njeni metaboliti dopreti do ciljnog tkiva.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Rastvaraču/vehikulumu: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opravdanost izbora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i stabilnost ispitivane supstance u rastvaraču/vehikulumu, ukoliko je poznato.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upotrebljena vrsta/soj;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i starost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poreklo, smeštajni uslovi,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pojedinačna težina životinja na početku ispitivanja, uključujući raspon telesne mase i srednju vrednost i standardnu devijaciju za svaku grupu.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istraživanja za utvrđivanje raspona, ukoliko je obavljeno;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logička osnova za izbor nivoa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logička osnova za izbor načina primene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pripreme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primene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logička osnova vremena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 preračunavanja koncentracije ispitivane supstance u hrani/vodi za piće (ppm) u stvarnu dozu (mg/kg TM/dan), ukoliko je primenljivo na konkretan slučaj;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rasporeda tretmana i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merenja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identitet supstance koja zaustavlja metafazu, njena koncentracija i trajanje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metode pripreme mikroskopskih preparata;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za prebrojavanje aberacija;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analiziranih ćelija po životinji;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za proglašavanje ispitivanja pozitivnim, negativnim ili dvosmislenim.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simptomi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mitotski indeks;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između mitoza spermatogonija u prvoj i drugoj mejotskoj metafazi;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i broj aberacija, zasebno prikazanih za svaku životinju;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ukupan broj aberacija po grupi;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ćelija sa aberacijama po grupi;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doza/efekat, gde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statističke analize, ukoliko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istovremene negativne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negativni kontrolni podaci prošlih istraživanja s rasponima i srednjim vrednostima i standardnim devijacijama;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istovremene pozitivne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promene u ploidnosti (broju hromozomske strukture ćelije), ukoliko su primećene.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Adler, I.D. (1986). Clastogenic Potential in Mouse Spermatogonia of Chemical Mutagens Related to their Cell-Cycle Specifications. In: Genetic Toxicology of Environmental Chemicals, Part B: Genetic Effects and Applied Mutagenesis, Ramel, C., Lambert, B. and Magnusson, J. (Eds.) Liss, New York, pp. 477-484.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Adler, I.D., (1984). Cytogenetic tests in Mammals. In: Mutagenicity Testing: a Practical Approach. Ed. S. Venitt and J.M. Parry. IRL Press, Oxford, Washington DC, pp. 275-306.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Evans, E.P., Breckon, G. and Ford, C.E., (1964). An Air-Drying Method for Meiotic Preparations from Mammalian Testes. Cytogenetics and Cell Genetics, 3, 289-294.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4. Richold, M., Ashby, J., Chandley, A., Gatehouse, D.G. and Henderson, L. (1990).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Cytogenetic Assays, In: D.J. Kirkland (Ed.) Basic Mutagenicity Tests, UKEMS Recommended Procedures. UKEMS Subcommittee on Guidelines for Mutagenicity Testing. Report. Part I revised. Cambridge University Press, Cambridge, New York, Port Chester, Melbourne, Sydney, pp. 115-141.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Yamamoto, K. and Kikuchi, Y. (1978). A New Method for Preparation of Mammalian Spermatogonial Chromosomes. Mutation Res., 52, 207-209.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Adler, I.D., Shelby M.D., Bootman, J., Favor, J., Generoso, W., Pacchierotti, F., Shibuya, T. and Tanaka N.(1994). International Workshop on Standardisation of Genotoxicity Test Procedures. Summary Report of the Working Group on Mammalian Germ Cell Tests. Mutation Res., 312, 313-318.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Fielder, R.J., Allen, J.A., Boobis, A.R., Botham, P.A., Doe, J., Esdaile, D.J., Gatehouse, D.G., Hodson-Walker, G., Morton, D.B., Kirkland, D.J. and Richold, M. (1992). Report of British Toxicology Society/UK Environmental Mutagen Society Working group: Dose setting in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Mutagenicity Assays. Mutagenesis, 7, 313-319.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Lovell, D.P., Anderson, D., Albanese, R., Amphlett, G.E., Clare, G., Ferguson, R., Richold, M., Papworth, D.G. and Savage, J.R.K. (1989). Statistical Analysis of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Cytogenetic Assays In: D.J. Kirkland (Ed.) Statistical Evaluation of Mutagenicity Test Data. UKEMS Sub-Committee on Guidelines for Mutagenicity Testing, report, Part III. Cambridge University Press, Cambridge, New York, Port Chester, Melbourne, Sydney, pp. 184-232.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B.24. SPOT TEST NA MIŠEVIMA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 je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na miševima prilikom kog se hemikalijama izlažu embrioni u razvoju. Ciljne ćelije u embrionima u razvoju su melanoblasti, dok su ciljni geni oni koji kontrolišu pigmentaciju dlake krzna. Embrioni u razvoju su heterozigotni kod niza ovih gena koji uslovljavaju boju krzna. Mutacija ili gubitak (zbog niza genetskih pojava) dominantnih alela takvog gena u melanoblastu ima za posledicu ekspresiju recesivnog fenotipa u ćelijama koje potom nastaju, stvarajući mrlju drugačije boje na krznu dobijenog miša. Broj potomaka s mrljama, mutacijama, prebroji se i učestalost njihovog javljanja upoređuje se s onom koja se javlja među potomcima koji nastanu iz embriona tretiranih isključivo rastvaračem. Test mrlje u miša otkriva pretpostavljene somatske mutacije u fetalnim ćelijama.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može, ispitivane supstance se rastvaraju ili suspenduju u izotoničnom rastvoru. Hemikalije koje su nerastvorljive u vodi rastvaraju se ili suspenduju u odgovarajućim vehikulumima. Vehikulum koji se koristi ne sme da interferira sa ispitivanom hemikalijom, niti da uzrokuje toksične efekte. Neophodna je primena svežih preparata ispitivane hemikalije.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Miševi T soja (jednobojni bez uzorka, a/a; činčila, ružičaste oči, c</w:t>
      </w:r>
      <w:r w:rsidRPr="00984859">
        <w:rPr>
          <w:rFonts w:ascii="Arial" w:eastAsia="Times New Roman" w:hAnsi="Arial" w:cs="Arial"/>
          <w:sz w:val="15"/>
          <w:szCs w:val="15"/>
          <w:vertAlign w:val="superscript"/>
          <w:lang w:eastAsia="sr-Latn-RS"/>
        </w:rPr>
        <w:t>ch</w:t>
      </w:r>
      <w:r w:rsidRPr="00984859">
        <w:rPr>
          <w:rFonts w:ascii="Arial" w:eastAsia="Times New Roman" w:hAnsi="Arial" w:cs="Arial"/>
          <w:lang w:eastAsia="sr-Latn-RS"/>
        </w:rPr>
        <w:t xml:space="preserve"> p/c</w:t>
      </w:r>
      <w:r w:rsidRPr="00984859">
        <w:rPr>
          <w:rFonts w:ascii="Arial" w:eastAsia="Times New Roman" w:hAnsi="Arial" w:cs="Arial"/>
          <w:sz w:val="15"/>
          <w:szCs w:val="15"/>
          <w:vertAlign w:val="superscript"/>
          <w:lang w:eastAsia="sr-Latn-RS"/>
        </w:rPr>
        <w:t xml:space="preserve">ch </w:t>
      </w:r>
      <w:r w:rsidRPr="00984859">
        <w:rPr>
          <w:rFonts w:ascii="Arial" w:eastAsia="Times New Roman" w:hAnsi="Arial" w:cs="Arial"/>
          <w:lang w:eastAsia="sr-Latn-RS"/>
        </w:rPr>
        <w:t xml:space="preserve">p; smeđi, b/b; blage boje, kratke uši, d se/d se; šarene mrlje, s/s) pare se ili sa HT sojem (bleda boja, jednobojni bez uzorka, kratki udovi, pa a bp/pa a bp; nejasno olovnosivi, ln fz/ln fz; sedefasti pe/pe) ili sa C57BL (jednobojni bez uzorka, a/a). Mogu se koristiti i ostali odgovarajući oblici ukrštanja, kao što su NMRI (jednobojni bez uzroka, a/a; albino, c/c) i DBA (jednobojni bez uzorka, a/a; smeđi b/b; blage boje d/d) ako se dobiju jednobojni potomci.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Tretira se dovoljan broj gravidnih ženki kako bi se osigurao odgovarajući broj preživelih potomaka za svaki dozni nivo koja se primenjuje. Odgovarajuća veličina uzorka reguliše se zavisno od broja mrlja zapaženih kod tretiranih miševa i raspona kontrolnih podataka. Negativan rezultat prihvatljiv je samo kada je procenjivanje sprovedeno na najmanje 300 potomaka ženki tretiranih najvišom dozom.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Primena pozitivnih i negativnih kontrola (kontrolnih 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da postoje podaci o istovremenim kontrolama miševa koji su tretirani samo medijumom (negativne kontrole). Mogu se sjediniti kontrolni podaci iz prethodnih istraživanja iste laboratorije kako bi se povećala osetljivost ispitivanja, ako su navedena ispitivanja homogena. Podaci o pozitivnoj kontroli koji su nedavno dobijeni u istoj laboratoriji posle tretmana hemikalijom koja je pokazala mutagenost ovim testom, treba da budu dostupni ukoliko se ne primeti mutagenost ispitivane hemikalije.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Put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Uobičajeni putevi primene uključuju oralnu intubaciju ili intraperitonealno ubrizgavanje supstance gravidnim ženkama. Obavljanje tretmana inhalacijom ili drugim putevima primene koristi se kada to odgovara.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1.6.1.5.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Primenjuju se bar dva dozna nivoa, uključujući jednu kod koje se javljaju simptomi toksičnosti ili smanjenje veličine legla. Kod netoksičnih hemikalija potrebno je izlaganje maksimalnoj mogućoj dozi.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Obavlja se jedan tretman tokom osmog, devetog ili desetog dana trudnoće, pri čemu se kao prvi dan broji onaj dan kada je prvi put primećen vaginalni "čep". Ovi dani odgovaraju vremenu od 7,25, 8,25 i 9,25 dana posle začeća. Mogu se primeniti i sukcesivni tretmani tokom navedenih dana.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Potomci se šifriraju i posmatraju na postojanje mrlja između treće i četvrte nedelje posle rođenja. Razlikuju se tri kategorije mrlja: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bele mrlje unutar 5 mm od središnje ventralne (trbušne) linije za koje se pretpostavlja da su posledica ubijanja ćelija (u daljem tekstu:WMVS);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žute mrlje, nalik aguti boji, vezane uz područja grudi, genitalija, grla, područja pazuha i prepona i na sredini čela; za njih se pretpostavlja da su posledica pogrešne diferencijacije (u daljem tekstu: MDS);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pigmentne i bele mrlje slučajno raspoređene po krznu za koje se pretpostavlja da su posledica somatskih mutacija (u daljem tekstu: RS).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Vrednovanje se obavlja u sve tri kategorije, ali je samo poslednja, RS, od genetske važnosti. Poteškoće u razlikovanju MDS i RS mogu se rešiti fluorescentnom mikroskopijom uzoraka dlake.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zabeležiti očigledne makro morfološke abnormalnosti potomaka.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u obliku ukupnog broja vrednovanih potomaka i broja kod koga se pojavila jedna ili više mrlja za koje se pretpostavlja da su posledica somatske mutacije. Podaci o tretiranju upoređuju se sa podacima negativne kontrole primenom odgovarajućih metoda. Podaci se prikazuju na osnovi pojedinih legala.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sojevima upotrebljenim za ukrštanje;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broju gravidnih ženki u eksperimentalnim i kontrolnim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prosečnoj veličini legla u eksperimentalnim i kontrolnim grupama prilikom okota i prestanka dojenja;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nivoima doza ispitivane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upotrebljenom rastvaraču;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danu gravidnosti na koji je tretman primenjen;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načinu primene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ukupnom broju vrednovanih potomaka i broju sa WMVS, MDS i RS u eksperimentalnim i kontrolnim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uočljivim morfološke abnormalnostima;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odnosu doze/efekat kod RS-a kada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proceni;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B.25. NASLEĐENA TRANSLOKACIJA KOD MIŠA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nasleđene translokacije kod miša otkriva strukturne i numeričke hromozomske promene u polnim ćelijama sisara koje se pojavljuju kod potomstva prve generacije. Vrste otkrivenih hromozomskih promena obuhvataju recipročne translokacije i, ukoliko je uključeno potomstvo ženskog pola, gubitak hromozoma X. Kod nosilaca translokacija i XO-ženki javlja se smanjena plodnost koja se koristi za izbor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potomstva u svrhu citogenetske analize. Potpunu sterilnost izazivaju određene vrste translokacija (autozomni gen X (autozom) i c-t tip). Translokacije se citogenetski posmatraju u mejotskim ćelijama tokom dijakineze - metafaze 1 kod jedinki mužjaka, bilo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mužjaka ili potomaka muškog pola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ženki. XO-ženke citogenetski se identifikuju na osnovu postojanja samo 39 hromozoma tokom mitoza koštane srži.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Hemikalije koje se ispituju rastvaraju se u izotoničnom rastvoru. Ukoliko su hemikalije nerastvorljive, suspenduju se u odgovarajućim vehikulumima. Koriste se sveže pripremljeni rastvori ispitivane supstance. Ukoliko se zbog lakšeg doziranja koristi vehikulum, on ne sme da interferira sa ispitivanim jedinjenjem, niti da uzrokuje toksične efekte.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Put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Putevi primene obično obuhvataju oralnu intubaciju ili intraperitonealne injekcije. Mogu da odgovaraju i drugi putevi primene.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Zbog lakšeg razmnožavanja i citološke verifikacije, eksperimenti se obavljaju na miševima. Nije potreban nikakav specifični mišji soj. Prosečna veličina legla soja je veća od osam i relativno je konstantna.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zdrave i polno zrele životinje.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Broj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Potreban broj životinja zavisi od učestalosti spontanih translokacija i najnižeg stepena indukcije potrebne za pozitivan rezultat.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se obično obavlja analizom muškog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potomstva. Po svakoj doziranoj grupi potrebno je ispitati najmanje 500 muških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potomaka. Ukoliko je u ispitivanje uključeno i žensko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potomstvo, potrebno je 300 mužjaka i 300 ženki.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Primena pozitivnih i negativnih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Potrebni su odgovarajući kontrolni podaci dobijeni na osnovu istovremene kontrole i kontrole iz prošlih ispitivanja. Kad postoje prihvatljivi rezultati pozitivne kontrole iz nedavno izvedenih ispitivanja u istoj laboratoriji, mogu se upotrebiti ovi rezultati umesto istovremene pozitivne kontrole.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1.6.1.5.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Ispituje se jedna doza, obično najviša doza koja je u vezi sa izazivanjem minimalnih toksičnih efekata, ali bez uticaja na reproduktivno ponašanje ili preživljavanje. Kako bi se uspostavio odnos između doze i efekta, potrebne su i dve dodatne niže doze. Kod netoksičnih hemikalija potrebno je izlaganje maksimalnoj mogućoj dozi.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Tretiranje i parenje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Postoje dva plana tretiranja. Najviše se koristi pojedinačna primena ispitivane supstance. Ispitivana supstanca se može primenjivati sedam dana nedeljno tokom perioda od 35 dana. Broj parenja koji sledi posle tretmana određen je planom tretmana. Obezbeđuje se obavljanje uzorkovanja u svim tretiranim stadijumima polnih ćelija. Na kraju perioda parenja </w:t>
      </w:r>
      <w:r w:rsidRPr="00984859">
        <w:rPr>
          <w:rFonts w:ascii="Arial" w:eastAsia="Times New Roman" w:hAnsi="Arial" w:cs="Arial"/>
          <w:lang w:eastAsia="sr-Latn-RS"/>
        </w:rPr>
        <w:lastRenderedPageBreak/>
        <w:t xml:space="preserve">ženke se pojedinačno stavljaju u kaveze. Kada se ženke okote, beleži se datum, veličina legla i pol potomstva. Svi muški potomci se odbijaju od sise, dok se svi ženski potomci odbacuju, osim ukoliko su obuhvaćeni ispitivanjem.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Ispitivanje heterozigotnosti kod translokacije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jedna od dve moguće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 Ispitivanje plodnosti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potomstva i naknadna verifikacija mogućih nosilaca translokacije citogenetskom analizom;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 Citogenetska analiza svih muških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potomaka bez prethodne selekcije na osnovu ispitivanja plodnosti.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 Ispitivanje plodnosti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Smanjena plodnost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jedinki može se utvrditi praćenjem veličine legla i/ili analizom materičnog sadržaja ženskih ispitanika.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utvrditi kriterijume za određivanje normalne i smanjene plodnosti za soj miševa koji se koristi.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Praćenje veličine legla: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mužjaci, na kojima će biti izvedeno ispitivanje, pojedinačno se zatvaraju u kaveze zajedno sa ženkama iz istog eksperimenta ili iz kolonije. Kavezi se svakodnevno proveravaju, počevši 18 dana posle parenja. Prilikom okota beleži se veličina legla i pol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potomstva i legla se posle toga odbacuju. Ukoliko se ispituje žensko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potomstvo,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potomstvo iz malih legala zadržava se zbog daljih ispitivanja. Ženski nosioci translokacija proveravaju se citogenetskom analizom translokacije kod svakog od njihovih muških potomaka. XO-ženke prepoznaju se po promeni odnosa među polovima njihovog potomstva iz 1:1 u 1:2 u korist potomaka muškoga pola. U sekvencijalnom postupku normalne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životinje eliminišu se iz daljeg ispitivanja ukoliko prvo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leglo dostigne ili premaši unapred određenu normalnu vrednost. U suprotnom, obavlja se posmatranje drugog ili trećeg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legla.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životinje koje se ne mogu klasifikovati kao normalne posle praćenja maksimalno tri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legla, ili se dalje ispituju analizom materičnog sadržaja ženskih ispitanika ili se direktno podvrgavaju citogenetskoj analizi.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Analiza materičnog sadržaja: do smanjenja veličine legla nosilaca translokacije dolazi zbog smrti embriona tako da visok broj mrtvih implantata upućuje na postojanje translokacije kod životinje koja se ispituje. Svaki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mužjak na kojem se obavlja ispitivanje pari se sa dve do tri ženke. Začeće se utvrđuje na osnovu svakodnevnih provera na postojanje vaginalnih "čepova" u jutarnjim satima. Ženke se lišavaju života na human način 14 do 16 dana kasnije i registruju se živi i mrtvi implantati u njihovim matericama.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 Citogenetska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Preparati sadržaja testisa pripremaju se tehnikom vazdušnog sušenja. Nosioci translokacija prepoznaju se po postojanju multivalentnih struktura pri dijakinezi - metafazi 1 u primarnim spermatocitima. Opažanje najmanje dve ćelije sa multivalentnom asocijacijom dovoljan je dokaz da je ispitana životinja nosilac translokacije.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Ukoliko nije obavljena ni jedna selekcija tokom uzgoja, svi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mužjaci se proveravaju citogenetski. Neophodno je mikroskopski otkriti postojanje najmanje 25 ćelija u metafazi 1 dijakineze po mužjaku. Neophodan je pregled mitotskih metafaza u spermatogonijima ili koštanoj srži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mužjaka s malim testisima i mejotskom razgradnjom pre dijakineze ili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ženki za koje se sumnja da su XO. Postojanje neobično dugog i/ili kratkog hromozoma u svakoj od deset ćelija dokaz je posebne translokacije kod mužjaka koja izaziva sterilnost (c-t tip). Neke translokacije autozoma X koje uzrokuju sterilnost mužjaka mogu se prepoznati samo analizom koja primenjuje pruganje mitotskih hromozoma.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Postojanje 39 hromozoma u svih 10 mitoza dokaz je postojanja XO stanja kod ženke.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svaki period parenja, posle parenja roditelja, registruje se srednja veličina legla i odnos polova prilikom okota i prestanka dojenja.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procenu plodnosti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životinja navodi se srednja veličina legla svih normalnih parenja i pojedinačne veličine legla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nosilaca translokacija. Za analizu materičnog sadržaja izveštava se o prosečnom broju živih i mrtvih implantata posle normalnih parenja i o pojedinačnim brojevima živih i mrtvih implantata za svako parenje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nosilaca translokacije.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citogenetsku analizu dijakineze-metafaze 1 beleži se broj vrsta multivalentnih struktura i ukupan broj ćelija za svakog nosioca translokacije.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sterilne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jedinke beleži se ukupan broj parenja i trajanje perioda parenja. Navodi se masa testisa i detalji citogenetske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XO ženke beleži se srednja veličina legla, odnos polova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potomstva i rezultati citogenetske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 je moguće,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nosioci translokacije prethodno se biraju na osnovu ispitivanja plodnosti i tabele obuhvataju podatke o tome koliki broj njih su potvrđeni heterozigoti translokacije.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Navode se i podaci negativnih i pozitivnih kontrola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mišjem soju, starosti životinja, masi tretiranih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broju životinja roditelja svakog pola u eksperimentalnim i kontrolnim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uslovima ispitivanja, detaljan opis tretmana, nivoa doza, rastvarača, raspored parenja;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broju i polu potomaka po svakoj ženki, broju i polu potomaka uzgojenih u svrhu analize translokacije;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i kriterijumima analize translokacije;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broju i detaljnom opisu nosilaca translokacije, uključujući podatke o parenju i podatke o materičnom sadržaju, u zavisnosti od konkretnog slučaja;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citogenetskim postupcima i detaljima mikroskopske analize, po mogućstvu uz slike;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proceni;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B.26. SUBHRONIČNA ORALNA TOKSIČNOST PONOVLJENIH DOZA - STUDIJA ORALNE TOKSIČNOSTI NA GLODARIMA, 90 DANA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subhronične oralne toksičnosti zasniva se na Uputstvu za ispitivanje OECD 408 (1998).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vrednovanja i procene toksičnih svojstava hemikalije subhronična oralna toksičnost može da se odredi primenom ponovljenih doza, a nakon što su, na osnovu 28-dnevnih ispitivanja toksičnosti, primenom akutne ili ponovljenih doza, dobijeni početni podaci o toksičnosti. Devedesetodnevno ispitivanje daje podatke o mogućim opasnostima po zdravlje koje će verovatno proizaći iz ponavljane dugotrajne izloženosti tokom perioda sazrevanja posle prestanka dojenja i perioda rasta, poprilično zahvatajući odraslo doba. Ispitivanje daje podatke o značajnijim toksičnim efektima, naznačava ciljne organe i mogućnost kumulacije, i može da obezbedi procenu nivoa ekspozicije pri kojem nisu primećeni neželjeni efekti, a koji se može primeniti prilikom izbora nivoa doze za hronična ispitivanja, kao i za utvrđivanje kriterijuma sigurnosti kod izlaganja ljudi.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stavlja dodatni akcenat na neurološke krajnje tačke i ukazuje na imunološke i reproduktivne efekte. Naglašava se i potreba za pažljivim kliničkim praćenjem životinja, s ciljem prikupljanja što veće količine podataka. Ovo ispitivanje omogućava prepoznavanje hemikalija koje imaju potencijal uzrokovanja neurotoksičnih i imunoloških efekata, kao i efekata na reproduktivnim organima, što može opravdati dalja detaljna istraživanja.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Doza jeste količina ispitivane supstance koja se primenjuje. Doza se izražava kao masa (g, mg) ili kao masa ispitivane supstance po jedinici telesne mase eksperimentalne životinje (npr. mg/kg) ili u obliku konstantnih koncentracija izlaganja putem ishrane (ppm).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Doziranje jeste opšti pojam koji obuhvata dozu, njenu učestalost i vremensko trajanje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NOAEL jeste skraćenica za nivo pri kojem nisu primećeni neželjeni efekti i predstavlja najviši nivo doze pri kojoj nisu primećeni nikakvi štetni nalazi vezani za tretman.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primenjuje se svakodnevno oralnim putem u rastućim dozama kod nekoliko grupa eksperimentalnih životinja i to po jedan dozni nivo po grupi tokom 90 dana. Tokom perioda primene, životinje se pažljivo posmatraju zbog uočavanja simptoma toksičnosti. Na životinjama koje uginu ili budu lišene života na human način tokom ispitivanja obavlja se postmortalni pregled, dok se, po završetku ispitivanja, preživele životinje takođe lišavaju života na human način i postmortalno pregledaju.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ispitivanja neophodno je koristiti zdrave životinje koje su se aklimatizovale na laboratorijske uslove najmanje pet dana i nisu bile predmet prethodnih eksperimentalnih postupaka. Eksperimentalne životinje potrebno je okarakterisati kao vrstu, soj, poreklo, pol, telesnu masu i/ili starost. Životinje se slučajnim izborom dodeljuju kontrolnim grupama i grupama koje se tretiraju. Kavezi su razmešteni na način kojim će mogući efekti koji proizlaze iz položaja kaveza biti svedeni na najmanju moguću meru. Svakoj životinji dodeljuje se jedinstveni identifikacioni broj.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daje se putem intubacione cevi ili putem hrane ili vode za piće. Metoda oralne primene zavisi od svrhe ispitivanja, kao i od fizičkih i hemijskih svojstava ispitivanog materijala.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potrebno, ispitivana supstanca se rastvara ili suspenduje u odgovarajućem vehikulumu. Preporučuje se da se, kad god je moguće, uzme u obzir primena vodenog rastvora/suspenzije, posle čega se razmatra rastvor/emulzija u ulju (npr. kukuruzno ulje), a tek posle toga moguće je rastvaranje u ostalim vehikulumima. Za sve vehikulume, osim vode, moraju biti poznata toksična svojstva. Neophodno je utvrditi stabilnost ispitivane supstance u uslovima primene.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Najpogodnija životinjska vrsta je pacov, iako se mogu primeniti i ostale vrste glodara, na primer miševa. Koriste se mlade zdrave odrasle životinje laboratorijskih sojeva koji se obično upotrebljavaju. Biraju se ženke koje nisu ranije rađale i koje nisu gravidne. Sa doziranjem se započinje što je pre moguće posle prestanka dojenja, a pre nego što životinje navrše devet nedelja. Prilikom započinjanja ispitivanja, odstupanje u telesnoj masi životinja koje se koriste treba da bude minimalno i ne sme da odstupa više od ± 20% prosečne telesne mase svakog pola. Kada se istraživanje obavlja kao preliminarno, pre dugotrajnog ispitivanja hronične toksičnosti, u oba ispitivanja se upotrebljavaju životinje koje su istog soja i istog porekla.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1.4.3.2.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ispitivanja svake doze upotrebljava se najmanje 20 životinja (deset ženki i deset mužjaka). Ukoliko se planira lišavanje života na human način u međuvremenu, broj je potrebno povećati za broj životinja čije se lišavanje života planira pre završetka ispitivanja. Na osnovu prethodnog znanja o hemikaliji ili bliskom analogu, potrebno je razmotriti uključivanje dodatne prateće grupe od deset životinja (pet po polu) u kontrolnu grupu i grupu koja prima najvišu dozu, zbog praćenja reverzibilnosti ili postojanosti bilo kog od toksičnih efekata po isteku perioda tretiranja. Trajanje ovog perioda posle tretiranja utvrđuje se u skladu sa zapaženim efektima.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1.4.3.3. Nivoi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koristiti najmanje tri nivoa doze i istovremenu kontrolu, osim u slučajevima u kojima se obavlja ispitivanje granične doze (videti odeljak 1.4.3.4. ove metode). Nivoi doze mogu da se temelje na rezultatima ispitivanja s ponovljenim doziranjem ili rezultatima ispitivanja namenjenog utvrđivanju raspona. Uzimaju se u obzir svi postojeći toksikološki i toksikokinetički podaci koji postoje za ispitivanu supstancu ili materijal s njom u vezi. Najviša doza bira se sa ciljem da izazove toksičnost, ali ne i smrt ili ozbiljne tegobe, osim ukoliko nije ograničena fizičkim i hemijskim karakteristikama ili biološkim efektima ispitivane supstance. Opadajući niz doza bira se s ciljem da se dokažu bilo kakve reakcije povezane s doziranjem, kao i najviši nivo na kome nisu primećeni neželjeni efekti (u daljem tekstu: NOAEL) pri najnižem nivou doze. Za uspostavljanje silaznih nivoa doza najčešće su optimalni dvostruki intervali, pa sve do četvorostrukih, dok je dodavanje četvrte eksperimentalne grupe preporučljivije od korišćenja vrlo velikih intervala između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Kontrolna grupa je ona koja se ne tretira ili kontrolna grupa koja se tretira samo vehikulumom ukoliko se isti koristi prilikom davanja ispitivane supstance. Izuzev tretiranja ispitivanom supstancom, sa životinjama u kontrolnoj grupi postupa se na isti način kao i sa eksperimentalnim grupama. Ukoliko se koristi vehikulum, kontrolna grupa prima vehikulum u najvišoj zapremini koja se primenjuje. Ukoliko se ispitivana supstanca daje zajedno sa hranom i uzrokuje smanjen unos hrane tada se, za razlikovanje smanjenog unosa uzrokovanog ukusom i onog usled toksikoloških promena kod eksperimentalnog modela, koristi paralelno hranjena kontrolna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obzir se uzimaju sledeća svojstva vehikuluma i ostalih dodataka, u zavisnosti od slučaja: efekti na apsorpciju, raspodelu, metabolizam ili zadržavanje ispitivane supstance; efekta na hemijska svojstva ispitivane supstance koji mogu promeniti njena toksična svojstva i efekti na potrošnju hrane i vode ili stanje uhranjenosti životinja.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zbog eksperimenta s jednim nivoom doze, koja je najmanje jednaka 1.000 mg/kg TM/dnevno, a koji se koristi u postupcima opisanim za ovo ispitivanje, ne nastanu nikakvi primetni neželjeni efekti i ukoliko se toksičnost ne očekuje na osnovu podataka o strukturno sličnim supstancama, tada se ne smatra neophodnim celokupno ispitivanje koje primenjuje tri nivoa doziranja. Ispitivanje granične doze nije primenljiv u slučajevima kad izloženost ljudi ukazuje na potrebu za primenom višeg nivoa doze.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Životinjama se ispitivana supstanca daje svakodnevno, sedam dana nedeljno tokom perioda od 90 dana. Bilo koji drugi režim doziranja, na primer, pet dana nedeljno, potrebno je opravdati. Kada se ispitivana supstanca primenjuje putem intubacijske cevi (prisilno hranjenje), istu je potrebno dati u obliku jedne doze životinjama koje koriste želudačnu cev ili odgovarajuću intubacijsku kanilu. Maksimalna zapremina tečnosti koja es može dati odjednom zavisi od veličine eksperimentalne životinje. Zapremina ne sme da bude veća od 1ml/100g TM, osim u slučaju vodenih rastvora kada je moguće primeniti 2 ml/100g TM. Izuzev u slučaju iritativnih ili korozivnih supstanci kod kojih se nepovoljni efekti obično pokazuju pri višim koncentracijama, varijabilnost eksperimentalne zapremine je svedena na najmanju moguću meru prilagođavanjem koncentracije, a kako bi se osigurala konstantna zapremina pri svim nivoima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supstanci koje se primenjuju putem hrane ili vode za piće važno je osigurati da količine ispitivane supstance o kojoj je reč ne ometaju redovnu ishranu i ravnotežu vode. Kada se ispitivana supstanca daje putem hrane, može da se primeni konstantna prehrambena koncentracija (ppm) ili konstantni dozni nivo u odnosu na telesnu masu životinje. Alternativa koja se koristi se naznačava. U slučaju supstance koja se daje prisilnim hranjenjem (intubacijskom cevi), dozu je potrebno dati svaki dan u isto vreme i po potrebi prilagoditi kako bi se održala konstantna doza u odnosu na telesnu masu životinje. Kada se 90-dnevno ispitivanje koristi kao preliminarno ispitivanje dugotrajnog ispitivanja hronične toksičnosti, preporučljivo je u oba ispitivanja primeniti sličan način ishrane.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Praćenje traje najmanje 90 dana. Životinje u pratećoj grupi za koje se planiraju dodatna posmatranja potrebno je, odgovarajuće vreme, držati bez tretmana, a kako bi se otkrila postojanost ili oporavak od toksičnih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Opšta klinička posmatranja obavljaju se najmanje jednom dnevno, najbolje u isto vreme svakog dana, uzimajući u obzir najznačajniji period očekivanih efekata posle doziranja. Neophodno je zabeležiti kliničko stanje životinja. Najmanje dvaput dnevno, obično početkom i krajem svakog dana, sve životinje se proveravaju na simptome morbiditeta i mortaliteta.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Najmanje jednom pre prvog izlaganja (kako bi se omogućilo poređenje kod istih ispitanika) i jednom nedeljno posle toga, potrebno je detaljno kliničko snimanje stanja svih životinja. Navedena posmatranja potrebno je obaviti izvan kaveza u kojem životinja inače boravi, najbolje u standardnom okruženju i svaki put u slično vreme. Posmatranja se pažljivo registruju, najbolje korišćenjem sistema vrednovanja, izričito definisanih od strane laboratorije koja obavlja ispitivanje. Neophodno je uložiti određeni napor kako bi se obezbedilo da su odstupanja u uslovima posmatranja minimalna. Simptomi koji se beleže obuhvataju, ali nisu ograničeni na, promene na koži, krznu, očima, mukoznim membranama, pojavi sekreta ili ekskreta i autonomnu aktivnost (npr. suzenje, piloerekcija, veličina zenica, neobična respiratorna struktura). Registruju se i promene u hodu, držanju i reakciji na manipulisanje, kao i postojanje kloničkih ili toničkih pokreta, šablone u ponašanju (npr. preterano negovanje spoljašnosti, ponovljeno kruženje) ili neobično ponašanje (npr. samoozleđivanje, hodanje unatrag)</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Oftalmološki pregled, korišćenjem oftalmoskopa ili podjednako odgovarajuće opreme, potrebno je obaviti pre primene ispitivane supstance i po završetku ispitivanja, najbolje kod svih životinja, ali najmanje u grupama koje primaju visoku dozu i kontrolnim grupama. Ukoliko se primete promene na očima, neophodan je pregled svih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 kraju perioda izlaganja, a u svakom slučaju ne ranije od jedanaeste nedelje, obavlja se ocena senzorne reaktivnosti na podražaje različitih vrsta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(npr. zvučne, vizuelne i </w:t>
      </w:r>
      <w:r w:rsidRPr="00984859">
        <w:rPr>
          <w:rFonts w:ascii="Arial" w:eastAsia="Times New Roman" w:hAnsi="Arial" w:cs="Arial"/>
          <w:lang w:eastAsia="sr-Latn-RS"/>
        </w:rPr>
        <w:lastRenderedPageBreak/>
        <w:t>proprioceptivne podražaje)</w:t>
      </w:r>
      <w:r w:rsidRPr="00984859">
        <w:rPr>
          <w:rFonts w:ascii="Arial" w:eastAsia="Times New Roman" w:hAnsi="Arial" w:cs="Arial"/>
          <w:b/>
          <w:bCs/>
          <w:sz w:val="15"/>
          <w:szCs w:val="15"/>
          <w:vertAlign w:val="superscript"/>
          <w:lang w:eastAsia="sr-Latn-RS"/>
        </w:rPr>
        <w:t>2, 3, 4</w:t>
      </w:r>
      <w:r w:rsidRPr="00984859">
        <w:rPr>
          <w:rFonts w:ascii="Arial" w:eastAsia="Times New Roman" w:hAnsi="Arial" w:cs="Arial"/>
          <w:lang w:eastAsia="sr-Latn-RS"/>
        </w:rPr>
        <w:t>, ocenu jačine stiska</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i ocenu motorne aktivnosti</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Dalje pojedinosti o postupcima navedene su u literaturi. Mogu se primeniti i alternativni postupci različiti od onih iz literature.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izostaviti funkcionalna posmatranja koja se obavljaju pri kraju ispitivanja kad postoje podaci o funkcionalnim posmatranjima iz drugih istraživanja, a dnevna klinička posmatranja nisu otkrila nikakve funkcionalne nedostatke.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Izuzetno, funkcionalna posmatranja mogu se izostaviti i kod grupa koje na drugi način pokazuju simptome toksičnosti do mere koja bi znatno ometala obavljanje funkcionalnog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1.5.2.1. Telesna masa i potrošnja hrane/vode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životinje se mere najmanje jednom nedeljno. Merenje potrošnje hrane potrebno je obavljati najmanje jednom nedeljno. Ukoliko se ispitivana supstanca daje putem vode za piće, meri se i potrošnja vode, i to najmanje na nedeljnom nivou. Potrošnja vode može se razmatrati i u ispitivanjima koja se odnose na ishranu ili prisilno hranjenje tokom kojih može doći do promene u aktivnosti uzimanja tečnosti.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1.5.2.2. Hematologija i medicinska biohemija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Uzorke krvi potrebno je uzeti s navedenog izvora i čuvati pod odgovarajućim uslovima, u zavisnosti od konkretnog slučaja. Na kraju perioda ispitivanja uzorci se prikupljaju neposredno pre ili u okviru postupka lišavanja životinja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perioda ispitivanja, i uvek kada su u međuvremenu prikupljeni bilo kakvi uzorci krvi, neophodno je obaviti sledeća hematološka ispitivanja: hematokrit, koncentracija hemoglobina, broj eritrocita, ukupni i diferencijalni broj leukocita, broj trombocita i određivanje vremena/potencijala zgrušavanja krvi.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Medicinsko-biohemijska određivanja koja se izvode u cilju istraživanja značajnijih toksičnih efekata u tkivima, odnosno u cilju istraživanja efekata na bubrege i jetru, potrebno je obaviti na uzorcima krvi svake životinje neposredno pre lišavanja života na human način ili u okviru postupka lišavanja života životinja (osim kod životinja koje su umirale i/ili su lišene života na human način). Slično hematološkim ispitivanjima, može se obaviti uzorkovanje u međuvremenu i u svrhu medicinsko-biohemijskih ispitivanja. Preporučuje se uskraćivanje hrane životinjama tokom noći pre uzimanja uzoraka krvi.</w:t>
      </w:r>
      <w:r w:rsidRPr="00984859">
        <w:rPr>
          <w:rFonts w:ascii="Arial" w:eastAsia="Times New Roman" w:hAnsi="Arial" w:cs="Arial"/>
          <w:b/>
          <w:bCs/>
          <w:sz w:val="15"/>
          <w:szCs w:val="15"/>
          <w:vertAlign w:val="superscript"/>
          <w:lang w:eastAsia="sr-Latn-RS"/>
        </w:rPr>
        <w:t>II</w:t>
      </w:r>
      <w:r w:rsidRPr="00984859">
        <w:rPr>
          <w:rFonts w:ascii="Arial" w:eastAsia="Times New Roman" w:hAnsi="Arial" w:cs="Arial"/>
          <w:lang w:eastAsia="sr-Latn-RS"/>
        </w:rPr>
        <w:t xml:space="preserve"> Određivanja u plazmi ili serumu obuhvataju: natrijum, kalijum, glukozu, ukupni holesterol, ureu, azot iz uree u krvi (u daljem tekstu: BUN), kreatinin, ukupne proteine i albumin i više od dva enzima indikatora hepatocelularnih efekata (poput alanin aminotransferaze, aspartat aminotransferaze, alkalne fosfataze, gama glutamil transpeptidaze i sorbitol dehidrogenaze). Mogu se obaviti i merenja dodatnih enzima (jetrenog ili drugog porekla) i žučnih kiselina, a koji, pod određenim okolnostima, mogu dati korisne podatke.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Opciono, tokom poslednje nedelje ispitivanja prikupljanjem zapremine urina u ograničenom vremenskom periodu mogu se obaviti sledeća određivanja u okviru analize urina: izgled, volumen, osmolalnost ili specifična težina, pH, proteini, glukoza i krv/krvne ćelije. Potrebno je razmotriti i ispitivanja serumskih markera opštih oštećenja tkiva. Ostala određivanja koja je potrebno obaviti, ukoliko su poznata svojstva ispitivane supstance ili postoji sumnja da utiču na srodne metaboličke profile, obuhvataju kalcijum, fosfor, vrednost triglicerida na prazan želudac, specifične hormone, methemoglobin i holinesteraze. Navedeno je potrebno identifikovati kod hemikalija koje pripadaju određenim kategorijama ili u zavisnosti od slučaja.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Potreban je fleksibilan pristup u zavisnosti od životinjske vrste i primećenih odnosno očekivanih efekata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Ukoliko osnovni podaci ranijih studija ne odgovaraju, razmatra se potreba za utvrđivanjem hematoloških i kliničko biohemijskih parametara pre početka doziranja. Ne preporučuje se utvrđivanje ovih podataka pre tretmana</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II</w:t>
      </w:r>
      <w:r w:rsidRPr="00984859">
        <w:rPr>
          <w:rFonts w:ascii="Arial" w:eastAsia="Times New Roman" w:hAnsi="Arial" w:cs="Arial"/>
          <w:lang w:eastAsia="sr-Latn-RS"/>
        </w:rPr>
        <w:t xml:space="preserve"> Kod niza merenja u serumu i plazmi, posebno u slučaju glukoze, preporučuje se uskraćivanje hrane tokom noći. Glavni razlog je činjenica da povećana varijabilnost, koja neizbežno nastaje kao posledica uzimanja hrane, može prikriti nešto suptilnije efekte i otežati tumačenje. S druge strane, gladovanje tokom noći može ometati opšti metabolizam životinja i, posebno u studijama koje se bave ishranom, narušiti dnevno izlaganje ispitivanoj supstanci. Ukoliko se usvoji gladovanje tokom noći, medicinsko-biohemijska ispitivanja izvode se posle obavljanja funkcionalnih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1.5.2.3. Postmortalni pregled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životinje obuhvaćene ispitivanjem podvrgavaju se detaljnom postmortalnom pregledu koji uključuje pažljiv pregled spoljne površine tela, svih telesnih otvora i kranijalne, torakalne i abdominalne šupljine i njihovih sadržaja. Sa jetre, bubrega, nadbubrežne žlezde, testisa, epididimisa, uterusa, ovarijuma, grudne žlezde, slezine, mozga i srca svake životinje (osim životinja koje su zatečene na samrti i/ili su interkurentno lišene života na human način) potrebno je odstraniti sva pripadajuća tkiva, zavisno od slučaja, i izmeriti njihovu masu u vlažnom stanju što je pre moguće posle disekcije kako bi se izbeglo isušivanje.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medijumu za fiksaciju koji je najpogodniji s obzirom na vrstu tkiva i histopatološko ispitivanje koje sledi potrebno je sačuvati sledeća tkiva: sve makro lezije, mozak (reprezentativna područja, uključujući veliki mozak, mali mozak i medulu/most), kičmenu moždinu (na tri nivoa: cervikalnoj regiji, sredini torakalne regije i lumbalnoj regiji), hipofizu, štitnu žlezdu, paratiroidnu žlezdu, grudnu žlezdu, jednjak, pljuvačne žlezde, želudac, tanko i debelo crevo (uključujući Peyerove ploče), jetru, gušteraču, bubrege, nadbubrežne žlezde, slezinu, srce, dušnik i pluća (očuvana naduvavanjem fiksirom i zatim uranjanjem), aortu, polne žlezde, uterus, pomoćne polne organe, ženske mlečne žlezde, prostatu, mokraćnu bešiku, žučnu bešiku (miš), limfne žlezde (najbolje jedna limfna žlezda koja pokriva put kojim se supstanca primenjuje i druga koja je udaljena od puta kojim se supstanca primenjuje kako bi se obuhvatili sistemski efekti), periferne nerve (ishijatični ili tibijalni nerv) najbolje u blizini mišića, uzorak koštane srži (i/ili sveži aspirat koštane srži), kožu i oči (ukoliko su na njima primećene promene tokom oftalmoloških pregleda). Klinički i ostali nalazi mogu da ukažu na potrebu ispitivanja dodatnih tkiva. Potrebno je sačuvati i sve organe za koje postoji verovatnoća da su ciljni organi, a na osnovu poznatih svojstava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1.5.2.4. Histopatologija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obaviti celovitu histopatologiju na sačuvanim organima i tkivima svih životinja u kontrolnim grupama i grupama koje su primale visoke doze. Navedenim ispitivanjima obuhvataju se životinje svih ostalih grupa doziranja, ukoliko su kod grupe koja je primala visoku dozu primećene promene vezane za tretman.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ispitati sve veće lezije.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koristi prateća grupa, histopatologija se obavlja na tkivima i organima na kojima je primećeno ispoljavanje efekata u tretiranim grupama.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pojedinačno, tabelarno, tako što se navode: broj životinja na početku ispitivanja u svakoj ispitivanoj grupi, broj životinja koje su pronađene mrtve tokom ispitivanja ili su lišene života iz humanih razloga, kao i vreme svake smrti ili lišavanja života na human način, broj životinja kod kojih su se pojavili simptomi toksičnosti, opis primećenih simptoma toksičnosti, uključujući vreme njihovog nastupanja, trajanje i ozbiljnost svakog toksičnog efekta, broj životinja kod kojih su se javile lezije, vrsta lezija i procent životinja kod kojih se pojavila svaka vrsta lezija.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odgovara, numerički rezultati se procenjuju pomoću odgovarajuće i opšteprihvaćene statističke metode. Statističke metode i podaci koji se analiziraju biraju se tokom osmišljavanja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čistoća i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za identifikaciju;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vehikulum (ukoliko odgovara): razlozi za izbor vehikuluma, ukoliko nije reč o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Vrsti životinja koje se ispituju: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upotrebljena vrsta i 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poreklo, uslovi smeštaja,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pojedinačna telesna masa životinja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logička osnova za izbor nivoa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pripremanju ispitivane supstance/pripremanju hrane, postignuta koncentracija, stabilnost i homogenost preparata;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načinu primene ispitivane supstance na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stvarne doze (mg/kg TM/dnevno) i faktor preračunavanja koncentracije ispitivane supstance u hrani/vodi za piće (ppm) u stvarnu dozu, ukoliko je primenljivo na konkretan slučaj;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telesna masa i promene u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potrošnja hrane i vode, ako je merodavno;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toksičnoj reakciji po polu i nivou doze, uključujući simptome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priroda, ozbiljnost i trajanje kliničkih zapažanja (bilo u slučaju prolaznih, bilo neprolaznih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oftalmološkog pregleda;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ocene senzorne aktivnosti, jačine stiska i motornih aktivnosti (kad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hematološka ispitivanja sa relevantnim osnovnim vrednostima;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medicinsko biohemijska ispitivanja sa relevantnim osnovnim vrednostima;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telesna masa po lišavanju života na human način, masa organa i odnos mase organa/TM;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obdukcioni nalazi;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apsorpciji ukoliko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statistička obrada rezultata, kada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IPCS (1986). Principles and Methods for the Assessment of Neurotoxicity Associated with Exposure to Chemicals. Environmental Health Criteria Document No. 60.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Tupper, D.E., Wallace, R.B. (1980). Utility of the Neurologic Examination in Rats. Acta N eurobiol. Exp., 40, 999-1003.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Gad, S.C. (1982). A Neuromuscular Screen for Use in Industrial Toxicology. J.Toxicol. Environ. Health, 9, 691-704.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Moser, V.C., Mc Daniel, K.M., Phillips, P.M. (1991). Rat Strain and Stock Comparisons Using a Functional Observational Battery: Baseline Values and Effects of Amitraz. Toxicol. Appl. Pharmacol., 108, 267-283.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Meyer O.A., Tilson H.A., Byrd W.C., Riley M.T. (1979). A Method for the Routine Assesment of Fore- and Hind- limb grip Strength of Rats and Mice. Neurobehav. Toxivol., 1, 233-236.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Crofton K.M., Howard J.L., Moser V.C., Gill M.W., Reiter L.W., Tilson H.A., MacPhail R.C. (1991). Interlaboratory Comparison of Motor Activity Experiments: Implication for Neurotoxicological Assessments. Neurotoxicol. Teratol., 13, 59 9-609.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7. Weingand K., Brown G., Hall R. et al. (1996). "Harmonisation of Animal Clinic Pathology Testing in Toxicity and Safety Studies", Fundam. &amp; Appl. Toxicol., 29, 198-201.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B.27. SUBHRONIČNA ORALNA TOKSIČNOST PONOVLJENIH DOZA - STUDIJA ORALNE TOKSIČNOSTI NA NE-GLODARIMA, 90 DANA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subhronične oralne toksičnosti zasniva se na Uputstvu za ispitivanje OECD 409 (1998).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vrednovanja i ocene toksičnih svojstava hemikalije mogu se odrediti subhronične oralne toksičnosti primenom ponovljenih doza, a nakon što su, na osnovu 28-dnevnih ispitivanja toksičnosti, primenom akutne ili ponovljenih doza, dobijeni početni podaci o toksičnosti. Devedesetodnevno ispitivanje daje podatke o mogućim opasnostima po zdravlje koje verovatno proizilaze iz ponavljane izloženosti tokom perioda ubrzanog rasta i ulaska u mlađe odraslo doba. Ispitivanje daje podatke o značajnijim toksičnim efektima, naznačava ciljne organe i mogućnost kumulacije, i može da pruži procenu nivoa ekspozicije pri kome nisu opaženi neželjeni efekti, a koji se može primeniti prilikom izbora nivoa doze za ispitivanja u kojima se primenjuju hronične doze, kao i prilikom utvrđivanja kriterijuma bezbednosti kod izlaganja ljudi.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Eksperimentalna metoda omogućava prepoznavanje štetnih efekata koji se javljaju kod vrsta koje nisu glodari prilikom izlaganja hemikalijama. Potrebno je ovu metodu koristiti isključivo: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kad efekti primećeni u drugim ispitivanjima ukazuju na potrebu za razjašnjenjem/ karakterizacijom kod druge vrste koja ne pripada rodu glodara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kada toksikokinetička ispitivanja pokazuju da je korišćenje specifične vrste ne-glodara najrelevantniji izbor laboratorijske životinje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 slučajevima kad ostali specifični razlozi opravdavaju upotrebu određene vrste ne-glodara.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Doza jeste količina ispitivane supstance koja se primenjuje. Doza se izražava kao masa (g, mg) ili kao masa ispitivane supstance po jedinici telesne mase eksperimentalne životinje (npr. mg/kg) ili u obliku konstantnih prehrambenih koncentracija (ppm).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Doziranje jeste opšti pojam koji obuhvata dozu, njenu učestalost i vremensko trajanje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NOAEL jeste skraćenica za nivo na kojem nisu opaženi neželjeni efekti i predstavlja najviši nivo doze pri kojoj ne postoje nikakvi štetni nalazi vezani za tretman.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primenjuje se dnevno oralnim putem i u progresivnim dozama kod nekoliko grupa eksperimentalnih životinja, i to jedan dozni nivo po grupi tokom 90 dana. </w:t>
      </w:r>
      <w:r w:rsidRPr="00984859">
        <w:rPr>
          <w:rFonts w:ascii="Arial" w:eastAsia="Times New Roman" w:hAnsi="Arial" w:cs="Arial"/>
          <w:lang w:eastAsia="sr-Latn-RS"/>
        </w:rPr>
        <w:lastRenderedPageBreak/>
        <w:t xml:space="preserve">Tokom perioda primene životinje se pažljivo posmatraju zbog uočavanja simptoma toksičnosti. Na životinjama koje uginu ili budu lišene života na human način tokom ispitivanja obavlja se postmortalni pregled, dok se, po zaključenju ispitivanja, preživele životinje takođe lišavaju života na human način i postmortalno pregledaju.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Najčešće korišćena vrsta ne-glodara je pas koji treba da bude određene pasmine. Često se koristi bigl (kratkonogi pas zečar). Ostale vrste, poput svinja i patuljastih svinja takođe se mogu koristiti. Korišćenje primata se ne preporučuje i njihova primena se opravdava. Neophodno je koristiti mlade zdrave životinje. U slučaju pasa s doziranjem je najbolje započeti pri starosti od 4 do 6 meseci i ne kasnije od 9 meseci starosti. Kad se istraživanje obavlja kao preliminarno, pre dugotrajnog ispitivanja hronične toksičnosti, u oba ispitivanja se upotrebljava ista vrsta/pasmina životinja.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ispitivanja obavezno se koriste zdrave mlade životinje koje su se aklimatizovale na laboratorijske uslove i koje nisu bile predmet prethodnih eksperimentalnih postupaka. Trajanje aklimatizacije zavisi od odabrane eksperimentalne životinjske vrste i njenog porekla. Preporučuje se aklimatizacija u trajanju od najmanje pet dana za pse ili svinje uzgojene u tu svrhu, a koje pripadaju koloniji životinja trajno smeštenoj na lokaciji ispitivanja, i najmanje dve nedelje za iste životinje ukoliko potiču iz spoljašnjih izvora. Eksperimentalne životinje se označavaju s obzirom na njihovu vrstu, soj, poreklo, pol, težinu i/ili starost. Životinje se nasumično dodeljuju kontrolnim grupama i grupama koje se tretiraju. Kavezi su razmešteni na način kojim će mogući efekti koji proizlaze iz položaja kaveza biti svedeni na najmanju moguću meru. Svakoj životinji se dodeljuje jedinstveni identifikacioni broj.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daje putem hrane ili vode za piće, prisilnim hranjenjem (putem intubacijske cevi) ili u obliku kapsula. Metoda oralne primene zavisi od svrhe ispitivanja, kao i od fizičkih i hemijskih svojstava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potrebno, ispitivana supstanca se rastvara ili suspenduje u odgovarajućem medijumu. Preporučuje se da se, kad god je moguće, uzme u obzir primena vodenog rastvora/suspenzije, posle čega se razmatraju rastvori/emulzije u ulju (npr. kukuruzno ulje), a tek posle toga moguće rastvaranje u ostalim vehikulumima. Za sve vehikulume, osim vode, moraju biti poznata toksična svojstva. Neophodno je utvrditi stabilnost ispitivane supstance u uslovima primene.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Broj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ispitivanje svake doze upotrebljava se najmanje osam životinja (četiri ženke i četiri mužjaka). Ukoliko se u međuvremenu planira lišavanje života na human način, broj je potrebno povećati za broj životinja čije se lišavanje života planira pre zaključenja ispitivanja. Broj životinja na kraju ispitivanja odgovara za značajno vrednovanje toksičnih efekata. Na osnovu prethodnog znanja o supstanci ili njenom bliskom analogu, potrebno je uzeti u obzir uključivanje dodatne prateće grupe od osam životinja (četiri po polu) u kontrolnu grupu i grupu koja prima najvišu dozu, a zbog praćenja prolaznosti (reverzibilnosti) ili postojanosti </w:t>
      </w:r>
      <w:r w:rsidRPr="00984859">
        <w:rPr>
          <w:rFonts w:ascii="Arial" w:eastAsia="Times New Roman" w:hAnsi="Arial" w:cs="Arial"/>
          <w:lang w:eastAsia="sr-Latn-RS"/>
        </w:rPr>
        <w:lastRenderedPageBreak/>
        <w:t xml:space="preserve">bilo kog od toksičnih efekata po isteku perioda tretiranja. Trajanje ovoga perioda posle tretiranja utvrđuje se u skladu sa opaženim efektima.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Doziranje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Upotrebljava se najmanje tri nivoa doze i istovremena kontrola, osim u slučajevima kada se obavlja ispitivanje granične doze (videti odeljak 1.5.3. ove metode). Nivoi doze mogu se zasnivati na rezultatima ispitivanja s ponovljenom dozom ili na rezultatima ispitivanja namenjenog utvrđivanju raspona. Uzimaju se u obzir svi postojeći toksikološki i toksikokinetički podaci koji postoje za ispitivano jedinjenje ili srodne materije. Osim ukoliko nije ograničena fizičkom i hemijskom prirodom ili biološkim efektima ispitivane supstance, najviša doza se bira sa ciljem da izazove toksičnost, ali ne smrt ili ozbiljne tegobe. Opadajući niz doza bira se s namerom da se dokažu bilo kakve reakcije povezane sa doziranjem, kao i nivoa pri kome se ne opažaju neželjeni efekti (NOAEL) pri najnižoj dozi. Dvostruki intervali, pa sve do četvorostrukih, najčešće su optimalni za uspostavljanje silaznih doza, dok je dodavanje četvrte eksperimentalne grupe često preporučljivije od korišćenja vrlo velikih intervala između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Kontrolna grupa je ona koja se ne tretira ili kontrolna grupa koja se tretira samo vehikulumom ukoliko se isti koristi prilikom davanja ispitivane supstance. Izuzev načina tretiranja ispitivanom supstancom, sa životinjama u kontrolnoj grupi potrebno je postupati na način kao i sa eksperimentalnim grupama. Ukoliko se koristi vehikulum, kontrolna grupa dobija vehikulum u najvišoj količini koja se primenjuje. Ukoliko se ispitivana supstanca daje zajedno s hranom i uzrokuje smanjen unos hrane tada, u razlikovanju smanjenog unosa uzrokovanog ukusom ili toksikološkim promenama kod eksperimentalnog modela, može biti od koristi paralelno hranjena kontrolna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Uzimaju se u obzir sledeća svojstva vehikuluma i ostalih dodataka, u zavisnosti od slučaja: delovanje na apsorpciju, raspodelu, metabolizam ili zadržavanje ispitivane supstance; dejstvo na hemijska svojstva ispitivane supstance koje može promeniti njena toksična svojstva i delovanje na potrošnju hrane i vode ili stanje uhranjenosti životinja.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prilikom ispitivanja sa jednim nivoom doze, koja je najmanje jednaka nivou od 1.000 mg/kg TM/dnevno, u eksperimentu u kome se koriste postupci opisani za ovo ispitivanje, ne nastanu nikakvi štetni efekti i ukoliko se toksičnost ne očekuje na osnovu podataka o strukturno srodnim supstancama, ne smatra se neophodnim celokupno ispitivanje koje primenjuje tri nivoa doziranja. Ispitivanje granične doze se ne primenjuje samo u slučajevima kada izloženost ljudi ukazuje na potrebu za primenom veće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životinjama daje svakodnevno, sedam dana nedeljno tokom perioda od 90 dana. Bilo koji drugi režim doziranja, na primer, pet dana nedeljno, potrebno je opravdati. Kada se ispitivana supstanca primenjuje putem intubacijske cevi (prisilno hranjenje), životinjama koje koriste želudačnu cev ili odgovarajuću intubacionu kanilu, potrebno je dati u obliku jedne doze. Maksimalna zapremina tečnosti koja se može dati odjednom zavisi od veličine eksperimentalne životinje. Neophodno je držati zapreminu na najnižem mogućem nivou. Izuzev u slučaju iritabilnih ili korozivnih supstanci kod kojih se obično lošiji efekti pokazuju pri višim koncentracijama, varijabilnost eksperimentalne zapremine se svodi na najmanju moguću meru prilagođavanjem koncentracije, a kako bi se osigurala konstantna zapremina pri svim nivoima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Kod supstance koje se daju putem hrane ili vode za piće važno je obezbediti da količine ispitivane supstance o kojoj je reč ne ometaju redovnu ishranu i ravnotežu vode. Kad se ispitivana supstanca primenjuje hranom, može se primeniti konstantna prehrambena koncentracija (ppm) ili konstantna doza u odnosu na telesnu masu životinje. Alternativa koja se koristi se označava. U slučaju supstance koja se daje prisilnim hranjenjem (intubacijskom cevi) ili u obliku kapsula, dozu je potrebno dati svaki dan u isto vreme i po potrebi prilagoditi kako bi se održala konstantna doza u odnosu na telesnu masu životinje. Kad se 90-dnevno ispitivanje koristi kao preliminarno ispitivanje dugotrajnog ispitivanja hronične toksičnosti, preporučljivo je u oba ispitivanja primeniti sličan način ishrane.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1.5.5. Opažanja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Posmatranje traje najmanje 90 dana. Životinje u pratećoj grupi za koje se planiraju dodatna praćenja potrebno je, odgovarajuće vreme, držati bez tretmana, a kako bi se otkrila postojanost ili oporavak od toksičnih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Opšti klinički pregled se obavlja najmanje jednom dnevno, najbolje u isto vreme svakog dana, uzimajući u obzir najznačajniji period u kome se očekuje pojava efekata posle doziranja. Neophodno je zabeležiti kliničko stanje životinja. Najmanje dvaput dnevno, obično početkom i krajem svakog dana, sve životinje se proveravaju na simptome morbiditeta i mortaliteta.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Najmanje jednom pre prvog izlaganja (kako bi se omogućilo poređenje kod istih ispitanika) i jednom nedeljno posle toga, potrebno je detaljno kliničko praćenje stanja svih životinja. Navedena opažanja, kad je to praktično, potrebno je obaviti izvan kaveza u kojem životinja inače boravi, najbolje u standardnom okruženju i svaki put u slično vreme. Neophodno je uložiti određeni napor kako bi se garantovalo da su odstupanja u uslovima posmatranja minimalna. Simptomi toksičnosti pažljivo se registruju, uključujući vreme njihovog nastupanja, stepen i trajanje. Opažanja obuhvataju, ali nisu ograničena na: promene na koži, krznu, očima, mukoznim membranama, nastanak sekrecija i izlučevina i autonomnu aktivnost (npr. suzenje, piloerekcija - podizanje dlake, veličina zenica, neobična respiratorna struktura). Potrebno je registrovati i promene u hodu, držanju i reakciji na manipulisanje, kao i postojanje kloničkih ili toničkih pokreta i šablona u ponašanju (npr. preterano negovanje spoljašnosti, ponovljeno kruženje) ili neobično ponašanje.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Oftalmološki pregled, korišćenjem oftalmoskopa ili odgovarajuće opreme, obavlja se pre davanja ispitivane supstance i posle završetka ispitivanja, najbolje kod svih životinja ili bar u grupama koje primaju visoku dozu i u kontrolnim grupama. Ukoliko se primete promene na očima, neophodan je pregled svih životinja.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1.5.5.1. Telesna masa i potrošnja hrane/vode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životinje se mere najmanje jednom nedeljno. Merenje potrošnje hrane obavlja se najmanje jednom nedeljno. Ukoliko se ispitivana supstanca daje zajedno sa vodom za piće, meri se i potrošnja vode, i to najmanje na nedeljnom nivou. Potrošnja vode može da se uzme u obzir i u ispitivanjima koja se odnose na ishranu ili prisilno hranjenje tokom kojih može doći do promene u aktivnosti uzimanja tečnosti.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1.5.5.2. Hematologija i medicinska biohemija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Uzorke krvi potrebno je uzeti sa navedenog mesta i čuvati u odgovarajućim uslovima, u zavisnosti od konkretnog slučaja. Na kraju perioda ispitivanja uzorci se prikupljaju neposredno pre ili prilikom postupka lišavanja životinja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Na početku ispitivanja, zatim u mesečnim intervalima ili na sredini ispitivanja i na kraju ispitivanja, obavezno je hematološko ispitivanje, uključujući, hematokrit, koncentraciju hemoglobina, broj eritrocita, ukupni i diferencijalni broj leukocita, broj trombocita i merenje potencijala zgrušavanja, poput vremena zgrušavanja, protrombinskog vremena ili tromboplastinskog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Određivanja iz područja medicinske biohemije s ciljem istraživanja značajnijih toksičnih efekata u tkivima, odnosno efekta na bubrege i jetru, potrebno je obaviti na uzorcima krvi dobijenim od svake životinje na početku, zatim u mesečnim intervalima ili na sredini ispitivanja i na kraju ispitivanja. Područja ispitivanja koja je potrebno uzeti u obzir obuhvataju ravnotežu elektrolita, metabolizam ugljenih hidrata i funkciju jetre i bubrega. Na izbor specifičnih ispitivanja utiču zapažanja o načinu delovanja ispitivane supstance. Preporučuje se gladovanje kod životinja pre uzimanja uzoraka krvi tokom vremenskog perioda koje odgovara pojedinoj životinjskoj vrsti. Preporučena određivanja obuhvataju utvrđivanje: nivoa kalcijuma, fosfora, hlorida, natrijuma, kalijuma, vrednosti glukoze na prazan želudac, alanin aminotransferaze, aspartat aminotransferaze, ornitin dekarboksilaze, gama glutamil transpeptidaze, azota iz uree, albumina, kreatinina u krvi i merenje ukupnog bilirubina i ukupnih proteina u serumu.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Analize mokraće potrebno je izvesti najmanje na početku, zatim na sredini i na kraju ispitivanja, prikupljanjem zapremine mokraće u odgovarajućem vremenskom periodu. Analiza mokraće obuhvata izgled, volumen, osmolalnost i specifičnu težinu, pH, proteine, glukozu i krv/krvne ćelije. Mogu se primeniti i dodatni parametri u slučajevima kad je potrebno proširiti ispitivanje primećenih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razmotriti i ispitivanja namenjena istraživanju serumskih markera opštih tkivnih oštećenja. Ostala opažanja koja mogu biti potrebna zbog donošenja odgovarajuće toksikološke ocene obuhvataju: analizu lipida, hormona, acido-bazne ravnoteže, methemoglobina i inhibicije holinesteraze.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Dopušteno je dodatno koristiti analize medicinske biohemije kada je potrebno proširiti ispitivanje zapaženih efekata. Navedene efekte je potrebno identifikovati kod hemikalija koje pripadaju određenim kategorijama opasnosti ili u zavisnosti od konkretnog slučaja.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Potreban je fleksibilan pristup, u zavisnosti od životinjske vrste i zapaženih odnosno očekivanih efekata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1.5.5.3. Postmortalni pregled (makro-nekropsija)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životinje obuhvaćene ispitivanjem podvrgavaju se detaljnom postmortalnom pregledu koji uključuje pažljiv pregled spoljnje površine tela, svih telesnih otvora i kranijalne, torakalne i abdominalne šupljine i njihovih sadržaja. Sa jetre sa žučnom kesicom, bubrega, nadbubrežne žlezde, testisa, epididimisa, ovarijuma, uterusa, štitne žlezde (sa paratiroidnim žlezdama), grudne žlezde, slezine, mozga i srca svake životinje (osim životinja koje su zatečene na umiranju i/ili su lišene života na human način) potrebno je odstraniti sva pripadajuća tkiva, u zavisnosti od slučaja, izmeriti njihovu težinu u vlažnom stanju što je pre moguće posle disekcije kako bi se izbeglo isušivanje.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medijumu fiksacije koji je najprikladniji s obzirom na vrstu tkiva i histopatološko ispitivanje koje sledi potrebno je sačuvati sledeća tkiva: sve makro lezije, mozak (reprezentativna područja, uključujući veliki mozak, mali mozak i medulu/most), kičmenu moždinu (na tri nivoa: cervikalnoj regiji, sredini torakalne regije i lumbalnoj regiji), hipofizu, oči, štitnu žlezdu, paratiroidnu žlezdu, grudnu žlezdu, jednjak, pljuvačne žlezde, želudac, tanko i debelo crevo (uključujući Peyerove ploče), jetru, žučnu kesu, pankreas, bubrege, nadbubrežne žlezde, </w:t>
      </w:r>
      <w:r w:rsidRPr="00984859">
        <w:rPr>
          <w:rFonts w:ascii="Arial" w:eastAsia="Times New Roman" w:hAnsi="Arial" w:cs="Arial"/>
          <w:lang w:eastAsia="sr-Latn-RS"/>
        </w:rPr>
        <w:lastRenderedPageBreak/>
        <w:t xml:space="preserve">slezinu, srce, dušnik i pluća, aortu, polne žlezde, uterus, pomoćne polne organe, ženske mlečne žlezde, prostatu, mokraćnu bešiku, limfne žlezde (najbolje jedna limfna žlezda koja pokriva put primene supstance i druga koja je udaljena od puta kojim se supstanca primenjuje kako bi se njome obuhvatili sistemski efekti), periferne živce (ishijatični ili tibijalni živac) najbolje u blizini mišića, uzorak koštane srži (i/ili sveži aspirat koštane srži) i kožu. Klinički i ostali nalazi mogu da ukažu na potrebu ispitivanja dodatnih tkiva. Potrebno je sačuvati i sve organe za koje postoji verovatnoća da su ciljni organi, a na osnovu poznatih svojstava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1.5.5.4. Histopatologija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obaviti celovitu histopatologiju na sačuvanim organima i tkivima, bar svih životinja u kontrolnim grupama i grupama koje su primale visoke doze. Navedenim ispitivanjima obuhvataju se životinje svih ostalih grupa doziranja, a ukoliko kod grupe koja je primala visoku dozu budu primećene promene vezane za tretman.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Ispituju se sve makro-lezije.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koristi prateća grupa, histopatologija se obavlja na tkivima i organima za koja je zaključeno da se na njima pokazuju efekti u tretiranim grupama.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navesti podatke koji se odnose na pojedinačne životinje. Podaci se navode tabelarno i prikazuju: broj životinja na početku ispitivanja u svakoj eksperimentalnoj grupi, broj životinja koje su pronađene mrtve tokom ispitivanja ili su lišene života iz humanih razloga, kao i vreme svake smrti ili lišavanja života na human način, broj životinja kod kojih su se pojavili simptomi toksičnosti, opis zapaženih simptoma toksičnosti, uključujući vreme njihovog nastupanja, trajanje i ozbiljnost svakog toksičnog efekta, broj životinja kod kojih su se javile lezije, vrsta lezija i procenat životinja kod kojih se pojavila svaka pojedina vrsta lezija.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moguće, numerički rezultati se procenjuju pomoću odgovarajuće i opšteprihvaćene statističke metode. Statističke metode i podaci koji se analiziraju biraju se tokom osmišljavanja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čistoća i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za identifikaciju;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vehikulum (ukoliko odgovara): razlozi za izbor vehikuluma, ukoliko nije reč o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Eksperimentalnoj životinjskoj vrsti: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upotrebljena vrsta i 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poreklo, uslovi smeštaja,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pojedinačna telesna masa životinja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logička osnova za izbor nivoa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pripremanju ispitivane supstance/pripremanju hrane, postignuta koncentracija, stabilnost i homogenost preparata;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načinu primene ispitivane supstance na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stvarne doze (mg/kg TM/dnevno) i faktor preračunavanja koncentracije ispitivane supstance u hrani/vodi za piće (ppm) u stvarnu dozu, ukoliko je primenljivo na konkretan slučaj;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telesna masa i promene u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potrošnja hrane i vode, ako je bitno;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toksičnom efektu po polu i nivou doze, uključujući simptome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svojstva, tačnost i trajanje kliničkih posmatranja (bilo u slučaju reverzibilnih, bilo ireverzibilnih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oftalmološki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hematološka ispitivanja s relevantnim osnovnim vrednostima;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medicinsko-biohemijska ispitivanja sa relevantnim osnovnim vrednostima;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telesna masa po lišavanju života na human način, težine organa i odnosi težine organa/TM;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obdukcioni nalazi;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apsorpciji ukoliko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statistička obrada rezultata, kada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B.28. SUBHRONIČNA DERMALNA TOKSIČNOST - STUDIJA PONOVLJENIH DERMALNIH DOZA NA GLODARIMA, 90 DANA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svakodnevno i u progresivnim dozama nanosi na kožu nekoliko grupa eksperimentalnih životinja i to jedna doza po grupi tokom 90 dana. Tokom perioda primene životinje se svakodnevno posmatraju zbog uočavanja simptoma toksičnosti. Na životinjama koje uginu tokom ispitivanja obavlja se postmortalni pregled, dok se, po zaključenju ispitivanja, preživele životinje takođe lišavaju života na human način i postmortalno pregledaju.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drže u uslovima eksperimentalnog smeštaja i ishrane tokom najmanje pet dana pre ispitivanja. Pre ispitivanja, zdrave i mlade životinje se slučajnim izborom biraju i dodeljuju tretiranim i kontrolnim grupama. S leđnog dela trupa eksperimentalnih životinja neposredno pre ispitivanja ošiša se krzno. Moguće je brijanje, ali je potrebno obaviti ga oko 24 sata pre ispitivanja. Šišanje ili brijanje obično je potrebno ponoviti svake nedelje. Prilikom šišanja ili brijanja krzna ne treba oštetiti kožu. Za primenu supstance koja se ispituje potrebno je ukloniti krzno s najmanje 10% površine tela. Prilikom odlučivanja o veličini površine tela sa koje je potrebno ukloniti krzno i o dimenzijama prekrivanja supstancom koja se ispituje uzima se u obzir telesna masa životinje. Kad se ispituju čvrste supstance, koje se, ukoliko odgovara, mogu i pulverizovati, supstancu koja se ispituje potrebno je dovoljno navlažiti vodom ili, kada je neophodno, odgovarajućim vehikulumom, kako bi se obezbedio kvalitetan kontakt s kožom. Tečne supstance koje se ispituju obično se koriste nerazblažene. Primenjuje se režim svakodnevne primene tokom perioda od pet do sedam dana nedeljno.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Upotrebljavaju se odrasli pacovi, zečevi ili zamorci. Mogu se upotrebiti i ostale životinjske vrste, s tim da je potrebno da njihova primena bude opravdana. Prilikom započinjanja ispitivanja raspon odstupanja u telesnoj masi treba da bude ± 20% prosečne telesne mase. </w:t>
      </w:r>
      <w:r w:rsidRPr="00984859">
        <w:rPr>
          <w:rFonts w:ascii="Arial" w:eastAsia="Times New Roman" w:hAnsi="Arial" w:cs="Arial"/>
          <w:lang w:eastAsia="sr-Latn-RS"/>
        </w:rPr>
        <w:lastRenderedPageBreak/>
        <w:t xml:space="preserve">Kada se ispitivanje subhronične dermalne toksičnosti obavlja kao preliminarno, pre dugotrajnog ispitivanja, u oba ispitivanja se upotrebljavaju životinje iste vrste i istog soja.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ispitivanja svakog nivoa doze upotrebljava se najmanje 20 životinja (deset ženki i deset mužjaka) zdrave kože. Biraju se ženke koje nisu ranije rađale i koje nisu gravidne. Ukoliko se u međuvremenu planira lišavanje života na human način, broj je potrebno povećati za broj životinja čije se lišavanje života planira pre zaključenja ispitivanja. Može da se uključi i prateća grupa od 20 životinja (10 po polu) kod kojih se primenjuje visok dozni nivo tokom 90 dana i prati prolaznost (reverzibilnost), postojanost ili odložena pojava toksičnih efekata tokom perioda od 28 dana po isteku perioda tretiranja.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Upotrebljava se najmanje tri nivoa doze na kontrolnom uzorku i uzorku namenjenom kontroli vehikuluma, ukoliko se primenjuje vehikulum. Vreme izlaganja je najmanje šest sati dnevno. Eksperimentalna supstanca se primenjuje u isto vreme svakog dana, a količina supstance koja se primenjuje periodično se prilagođava (nedeljno ili dvonedeljno) s ciljem održavanja konstantnog nivoa doze s obzirom na telesnu masu životinje. Izuzev tretiranja ispitivanom supstancom, sa životinjama u kontrolnoj grupi postupa se na isti način kao s ispitanicima u eksperimentalnim grupama. Kada se zbog lakšeg doziranja koristi vehikulum, kontrolna grupa namenjena kontroli vehikuluma dozira se na isti način kao i tretirane grupe i prima količinu vehikuluma jednaku onoj koju prima grupa s najvišim nivoom doze. Najviši dozni nivo treba da dovede do toksičnih efekata, dok smrtnih posledica ne treba da bude ili njihov broj treba da bude zanemarljiv. Najniži dozni nivo ne sme da proizvede bilo kakve dokaze toksičnosti. U situacijama kad postoji primenljiva procena nivoa izloženosti ljudi ispitivanoj supstanci, najniži dozni nivo treba da premašuje navedeni nivo. U idealnom slučaju, srednji dozni nivo treba da dovede do minimalnih vidljivih toksičnih efekata. Ukoliko se koristi više od jedne srednje doze, dozni nivoi treba da budu raspoređeni na način koji za posledicu ima gradaciju toksičnih efekata. U nižim srednjim grupama, kao i u kontrolnim grupama, incidenca smrtnih posledica treba da bude niska, kako bi se omogućila pravilna procena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primena supstance koja se ispituje za posledicu ima ozbiljnu iritaciju kože, potrebno je smanjiti koncentraciju, što može dovesti do smanjenja ili nejavljanja ostalih toksičnih efekata pri najvišem nivou doze. Ukoliko je koža teško oštećena može da bude neophodno da se prekine ispitivanje i da se organizuje novo ispitivanje uz korišćenje nižih koncentracija.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prilikom preliminarnog ispitivanja sa nivoom doze od 1.000 mg/kg ili višom dozom koja je povezana s mogućom izloženosti ljudi kada je ista poznata, ne nastanu nikakvi toksični efekti, dalje ispitivanje se možda neće smatrati neophodnim.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Period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Eksperimentalne životinje se svakodnevno posmatraju da bi se uočili simptomi toksičnosti. Neophodno je zabeležiti vreme smrti i vreme u koje su se pojavili ili nestali simptomi toksičnosti.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Životinje se pojedinačno smeštaju u kaveze. U idealnom slučaju životinje se ispitivanom supstancom tretiraju sedam dana nedeljno, tokom perioda od 90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u bilo kojoj pratećoj grupi, za koje je planirano naknadno posmatranje posle završetka ispitivanja, drže se bez tretmana narednih 28 dana kako bi se otkrio oporavak od ili postojanost toksičnih efekata. Vreme izlaganja je šest sati dnevno.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ravnomerno nanosi na područje čija veličina iznosi oko 10% ukupne površine tela. Kad su u pitanju visoko toksične supstance, površinsko područje koje se prekriva može biti manje, ali je potrebno što više navedenog područja prekriti što tanjim i ravnomernijim slojem.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izlaganja ispitivana supstanca se održava u kontaktu s kožom pomoću poroznog zavoja od gaze i samolepive trake koja ne nadražuje kožu. Područje kože na kojem se ispitivanje obavlja se, na odgovarajući način, dodatno prekriva, kako bi se sačuvao povoj i ispitivana supstanca i kako bi se obezbedilo da životinje ne mogu da progutaju ispitivanu supstancu. Dozvoljeno je delimično imobilisati životinje kako bi se sprečilo gutanje ispitivane supstance, ali se ne preporučuje potpuna imobilizacija.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 isteku perioda izlaganja potrebno je, kad je moguće, ukloniti ostatke ispitivane supstance korišćenjem vode ili neke druge odgovarajuće metode čišćenja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životinje se svakodnevno prate i beleže se simptomi toksičnosti, uključujući vreme njihovog nastupanja, stepen i trajanje. Opažanja tokom boravka životinja u kavezima obuhvataju: promene na koži i krznu, očima, mukoznim membranama, kao i praćenje respiratornog, cirkulatornog, autonomnog i centralnog nervnog sistema i somatomotorne aktivnosti i obrazaca ponašanja. Potrebno je meriti konzumiranje hrane i telesnu masu životinja na nedeljnom nivou. Neophodno je redovno posmatranje životinja kako bi se obezbedilo da ne dođe do gubitka životinja zbog kanibalizma, autolize tkiva ili pogrešnog smeštanja. Po završetku ispitivanja na svim preživelim ispitanicima u ne-pratećim tretiranim grupama obavlja se postmortalni pregled. Životinje na samrti potrebno je ukloniti i obdukovati.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svim životinjama, uključujući kontrolne, obično se obavljaju sledeća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Oftalmološki pregled, korišćenjem oftalmoskopa ili podjednako pogodne opreme potrebno je obaviti pre izlaganja ispitivanoj supstanci i po završetku ispitivanja, najbolje kod svih životinja, ali bar u grupama koje primaju visoku dozu i kontrolnim grupama. Ukoliko se zapaze promene na očima, neophodan je pregled svih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Hematološka ispitivanja, koja uključuju hematokrit, koncentraciju hemoglobina, broj eritrocita, ukupni i diferencijalni broj leukocita i procenu potencijala zgrušavanja, kao što je vreme zgrušavanja, protrombinsko vreme ili tromboplastinsko vreme ili broja trombocita potrebno je obaviti na kraju perioda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 Određivanja u oblasti medicinske biohemije potrebno je obaviti na kraju perioda ispitivanja. Oblasti koje se smatraju odgovarajućim za sva ispitivanja obuhvataju ravnotežu elektrolita, metabolizam ugljenih hidrata i funkciju jetre i bubrega. Na izbor specifičnih ispitivanja utiču opažanja o načinu delovanja supstance. Predlaže se utvrđivanje nivoa kalcijuma, fosfora, hlorida, natrijuma, kalijuma, glukoze na prazan želudac (uz primenu perioda gladovanja koje je odgovarajuće za određenu životinjsku vrstu), serumske glutamat piruvat transaminaze</w:t>
      </w:r>
      <w:r w:rsidRPr="00984859">
        <w:rPr>
          <w:rFonts w:ascii="Arial" w:eastAsia="Times New Roman" w:hAnsi="Arial" w:cs="Arial"/>
          <w:b/>
          <w:bCs/>
          <w:sz w:val="15"/>
          <w:szCs w:val="15"/>
          <w:vertAlign w:val="superscript"/>
          <w:lang w:eastAsia="sr-Latn-RS"/>
        </w:rPr>
        <w:t>III</w:t>
      </w:r>
      <w:r w:rsidRPr="00984859">
        <w:rPr>
          <w:rFonts w:ascii="Arial" w:eastAsia="Times New Roman" w:hAnsi="Arial" w:cs="Arial"/>
          <w:lang w:eastAsia="sr-Latn-RS"/>
        </w:rPr>
        <w:t>, serumske glutamat oksaloacetat transaminaze</w:t>
      </w:r>
      <w:r w:rsidRPr="00984859">
        <w:rPr>
          <w:rFonts w:ascii="Arial" w:eastAsia="Times New Roman" w:hAnsi="Arial" w:cs="Arial"/>
          <w:b/>
          <w:bCs/>
          <w:sz w:val="15"/>
          <w:szCs w:val="15"/>
          <w:vertAlign w:val="superscript"/>
          <w:lang w:eastAsia="sr-Latn-RS"/>
        </w:rPr>
        <w:t>IV</w:t>
      </w:r>
      <w:r w:rsidRPr="00984859">
        <w:rPr>
          <w:rFonts w:ascii="Arial" w:eastAsia="Times New Roman" w:hAnsi="Arial" w:cs="Arial"/>
          <w:lang w:eastAsia="sr-Latn-RS"/>
        </w:rPr>
        <w:t xml:space="preserve">, ornitin dekarboksilaze, gama glutamil transpeptidaze, azota iz uree, albumina, kreatinina u krvi, ukupnog bilirubina i ukupnih proteina u serumu.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Ostali nalazi koji mogu biti potrebni zbog odgovarajuće toksikološke procene obuhvataju: analizu lipida, hormona, acidno-bazne ravnoteže, methemoglobina i aktivnosti holinesteraze. Može se primeniti dodatna medicinska biohemija kada je to potrebno zbog proširivanja istraživanja zapaženih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Pregled urina nije deo uobičajene prakse, nego se traži tek onda kada za to postoji indikacija na osnovu očekivane ili zapažene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osnovni podaci prethodnih istraživanja ne odgovaraju, potrebno je razmotriti da li je neophodno da se pre početka doziranja utvrde parametri hematologije i kliničke biohemije.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III</w:t>
      </w:r>
      <w:r w:rsidRPr="00984859">
        <w:rPr>
          <w:rFonts w:ascii="Arial" w:eastAsia="Times New Roman" w:hAnsi="Arial" w:cs="Arial"/>
          <w:lang w:eastAsia="sr-Latn-RS"/>
        </w:rPr>
        <w:t xml:space="preserve"> Sada poznat kao serumska alanin aminotransferaza.</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IV</w:t>
      </w:r>
      <w:r w:rsidRPr="00984859">
        <w:rPr>
          <w:rFonts w:ascii="Arial" w:eastAsia="Times New Roman" w:hAnsi="Arial" w:cs="Arial"/>
          <w:lang w:eastAsia="sr-Latn-RS"/>
        </w:rPr>
        <w:t xml:space="preserve"> Sada poznat kao serumska aspartat aminotransferaza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Postmortalni pregled (makro-nekropsija)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životinje obuhvaćene ispitivanjem podvrgavaju se detaljnom postmortalnom pregledu koji uključuje pregled spoljne površine tela, svih telesnih otvora i kranijalne, torakalne i abdominalne šupljine i njihovih sadržaja. Jetra, bubrezi, nadbubrežne žlezde i testisi se mere što je pre moguće posle disekcije kako bi se izbeglo isušivanje.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odgovarajućem medijumu zbog mogućeg kasnijeg histopatološkog ispitivanja potrebno je sačuvati sledeće organe i tkiva: sve makro lezije, mozak - uključujući delove medule/ponsa, kore malog mozga i moždane kore, hipofizu, štitinu/štitastu žlezdu i tkivo grudne žlezde, (dušnik), pluća, srce, aortu, pljuvačne žlezde, jetru, slezinu, bubrege, nadbubrežne žlezde, pankreas, polne žlezde, uterus, pomoćne polne organe, žučnu kesu (ukoliko postoji), jednjak, želudac, duodenum, tanko crevo, slepo crevo, debelo crevo, mokraćnu bešiku, reprezentativni limfni čvor (ženska mlečna žlezda), (muskulaturu bedra), periferni živac, (oči), (grudnu kost s koštanom srži), (bedrenu kost - uključujući površinu zgloba), (kičmenu moždinu na tri nivoa-cervikalni, srednjetorakalni i lumbalni) i (eksorbitalne suzne žlezde). Tkiva navedena u zagradama pregledaju se samo ukoliko na to ukazuju simptomi toksičnosti ili ako su u pitanju ciljni organi.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Histopatološki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Detaljnu histopatologiju neophodno je obaviti na normalnoj i tretiranoj koži i na organima i tkivima životinja u kontrolnim grupama i grupama koje su tretirane visokim dozama.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Neophodan je pregled svih makro-lezija.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Pregledaju se ciljni organi u grupama koje su primale ostale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Kada se koriste pacovi, pluća životinja u grupama tretiranim niskim i srednjim dozama se podvrgavaju histopatološkom pregledu zbog pronalaženja dokaza o infekciji, s obzirom da se time dolazi do pravilne ocene zdravstvenog stanja životinja. Može se desiti da se dalji histopatološki pregledi ne obavljaju rutinski na životinjama u navedenim grupama, ali se uvek sprovode na organima na kojima postoje dokazi lezija u visoko doziranoj grupi.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Ako se koristi prateća grupa, histopatologija se obavlja na tkivima i organima za koje je utvrđeno da se na njima pokazuju efekti u ostalim tretiranim grupama.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Podaci se navode tabelarno i prikazuju: broj životinja na početku ispitivanja u svakoj eksperimentalnoj grupi, broj životinja kod kojih su se pojavile lezije, vrstu lezija i procenat životinja kod kojih se pojavila svaka pojedina vrsta lezija.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se procenjuju pomoću odgovarajuće statističke metode i može se primeniti bilo koja priznata statistička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životinjskoj vrsti, soju, poreklu, uslovima okoline, ishrani;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nivoima doza (uključujući vehikulum ukoliko se koristi) i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toksičnom efektu prema polu i dozi;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nivou na kome nisu opaženi bilo kakvi efekti, kada je to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smrti tokom ispitivanja ili podatke da li su životinje preživele do usmrćenja;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opisu toksičnih i ostalih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zapažanja svakog patološkog znaka i njegov kasniji tok;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hrani i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oftalmološkim nalazima;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primenjenim hematološkim ispitivanjima i svim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primenjenim ispitivanjima medicinske biohemije i svim rezultatima (uključujući rezultate svakog pregleda mokraće);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nalazima obdukcije;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detaljnom opisu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obradi rezultata kada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B.29. SUBHRONIČNA INHALACIONA TOKSIČNOST - STUDIJA PONOVLJENIH INHALACIONIH DOZA NA GLODARIMA, 90 DANA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Nekoliko grupa eksperimentalnih životinja izlaže se određeno vreme svakodnevno supstanci koja se ispituje u rastućim koncentracijama, pri čemu se na jednu grupu primenjuje jedna koncentracija u trajanju od 90 dana. Kada se koristi pomoćno sredstvo da bi se dobile odgovarajuće koncentracije ispitivane supstance u atmosferi, koristi se i kontrolna grupa. Za vreme primene, životinje se svakodnevno posmatraju zbog otkrivanja znakova toksičnosti. Životinje koje za vreme ispitivanja uginu postmortalno se pregledaju, a po završetku ispitivanja i preživele životinje se postmortalno pregledaju.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drže i hrane pod eksperimentalnim uslovima najmanje pet dana pre ispitivanja. Pre ispitivanja, zdrave mlade životinje se nasumce izdvajaju i dodeljuju grupama koje se tretiraju i kontrolnim grupama. Gde je potrebno, ispitivanoj supstanci može se dodati pomoćno sredstvo da bi se pripremile odgovarajuće koncentracije supstance u atmosferi. Ako se pomoćno sredstvo ili drugi dodaci koriste za olakšavanje doziranja mora biti poznato da ne proizvode toksične efekte. Ukoliko odgovara, koriste se podaci iz ranije studije.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ne postoje kontraindikacije, koriste se pacovi. Uzimaju se laboratorijske vrste mladih zdravih životinja koje se uobičajeno koriste. Na početku studije, raspon promena u telesnoj masi korišćenih životinja ne sme da prelazi ± 20% odgovarajuće srednje vrednosti. Ako se </w:t>
      </w:r>
      <w:r w:rsidRPr="00984859">
        <w:rPr>
          <w:rFonts w:ascii="Arial" w:eastAsia="Times New Roman" w:hAnsi="Arial" w:cs="Arial"/>
          <w:lang w:eastAsia="sr-Latn-RS"/>
        </w:rPr>
        <w:lastRenderedPageBreak/>
        <w:t xml:space="preserve">vodi studija subhronične inhalacije kao uvod u dugoročnu studiju, u obe studije koriste se iste vrste.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svaku koncentraciju izlaganja koristi se najmanje 20 životinja (10 ženki i 10 mužjaka). Uzimaju se ženke koje nisu ranije rađale i koje nisu gravidne. Ako se planiraju lišavanja života na human način u toku eksperimenta, broj se povećava za broj životinja koje su planirane za lišavanje života pre završetka studije. Prateća grupa od 20 životinja (10 životinja po polu) izlaže se u trajanju od deset dana visokoj koncentraciji i posmatra, kako bi se registrovala reverzibilnost, postojanost ili zakasnela pojava toksičnih efekata 28 dana po završetku tretmana.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koristi pomoćno sredstvo, potrebne su najmanje tri koncentracije, s kontrolom ili kontrolom pomoćnog sredstva (koje odgovara koncentraciji pomoćnog sredstva na najvišem nivou). Osim tretmana eksperimentalnom supstancom, prema životinjama u kontrolnoj grupi se postupa na isti način kao s onima u eksperimentalnoj grupi. Najviše koncentracije pokazuju toksične efekte, ali ni jedan smrtni slučaj ili samo nekoliko smrtnih slučajeva. Ako postoji primenljiva procena izloženosti ljudi, najniži nivo primenjen na životinjama premašuje tu vrednost. U idealnom slučaju, srednja koncentracija proizvodi minimalno primetne toksične efekte. Ako se koristi više od jedne srednje koncentracije, njihove vrednosti su dovoljno različite da se postigne gradacija toksičnih efekata. U grupama kod kojih su primenjene niske ili srednje koncentracije, kao i kontrolnim grupama, učestalost smrtnih slučajeva kod životinja je niska, kako bi procena rezultata imala smisla.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Vreme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Dnevno vreme izlaganja je šest sati posle izjednačavanja koncentracija u komorama, ali se mogu odrediti i drugi vremenski intervali kada postoje posebni zahtevi.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podvrgavaju ispitivanju u inhalacionoj opremi koja je dizajnirana tako da održava konstantni protok vazduha s najmanje 12 potpunih izmena u jednom satu, kako bi se obezbedila odgovarajuća koncentracija kiseonika i ravnomerno raspoređena atmosfera ekspozicije. Tamo gde se koristi komora, njen dizajn je dovoljno prostran da minimalizuje prenaseljenost životinja i maksimalizuje njihovu izloženost ispitivanoj supstanci udisanjem. Kao opšte pravilo koje obezbeđuje stabilnost atmosfere u komori, koristi se mera, prema kojoj ukupna zapremina eksperimentalnih životinja ne sme da prelazi 5% zapremine komore. Mogu se koristiti različiti tipovi komora koji omogućavaju izloženost samo oro-nazalnih otvora, glave ili čitavog tela, pri čemu prve dve smanjuju preuzimanje ispitivane supstance drugim putevima.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1.6.2.6. Vreme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Eksperimentalne životinje posmatraju se svakog dana tokom perioda tretiranja kao i za vreme oporavka kako bi se uočili znakovi toksičnosti. Važno je registrovati vreme kad se jave ili nestanu prvi znakovi trovanja, kao i vreme smrti.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Životinje se izlažu ispitivanoj supstanci svakog dana, pet do sedam dana nedeljno, u periodu od 90 dana. Životinje iz pratećih grupa koje su predviđene za kasnija posmatranja, drže se još 20 dana bez tretmana, kako bi se utvrdila postojanost toksičnih efekata ili oporavak od istih. Temperatura na kojoj se obavlja ispitivanje se održava na 22° C ± 3° C. U idealnim uslovima, relativna vlažnost je između 30% i 70%, ali u nekim slučajevima (npr. ispitivanja aerosola) to nije izvodljivo. Za vreme izlaganja, životinjama se ne daje voda i 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eksperimenta koristi se dinamički inhalacioni sistem s odgovarajućim sistemom analitičke kontrole koncentracije. Kako bi se uspostavile odgovarajuće koncentracije preporučuje se obavljanje probnog ispitivanja. Protok vazduha se podešava tako da se obezbedi homogenost uslova u komori. Sistem omogućava da se stabilni uslovi izlaganja postižu što je moguće brže.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Obavljaju se merenja i prate sledeći parametri: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brzina protoka vazduha (neprekidno);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koncentracija ispitivane supstance merena u području udisanja. Za vreme izlaganja u toku jednog dana koncentracija ispitivane supstance ne sme da varira više od ± 15% od srednje vrednosti. Kod prašine i aerosola, možda nije moguće postići taj nivo kontrole pa se toleriše širi opseg vrednosti. Za vreme trajanja čitavog eksperimenta, koncentracije se iz dana u dan drže konstantnim koliko god je izvodljivo. Za vreme razvoja sistema vrše se analize veličina čestica da bi se utvrdila stabilnost koncentracija aerosola. Tokom izlaganja, analize se obavljaju u vremenskim intervalima u kojima je to neophodno za određivanje konzistencije raspodele veličina čestica;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temperatura i vlažnost;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za vreme i posle izlaganja, opažanja se sistematično registruju; za svaku životinju vodi se poseban zapisnik.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posmatraju svakodnevno, a znakovi toksičnosti se evidentiraju, uključujući vreme njihovog prvog javljanja, stepen i trajanje. Registruju se promene na koži i krznu, očima, sluznicama, respiratornom, cirkulatornom, autonomnom i centralnom nervnom sistemu, kao i somatomotorna aktivnost i način ponašanja. Jednom nedeljno mere se telesna masa životinja i unos hrane. Potrebno je redovno pratiti životinje da bi se izbegao njihov gubitak zbog kanibalizma, autolize tkiva ili drugo. Na kraju perioda izlaganja obavlja se postmortalni pregled svih preživelih životinja. Životinje koje su na samrti izdvajaju se i postmortalno pregledaju, kad se primeti da su jako slabe.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svim životinjama, uključujući i one iz kontrolne grupe, obično se rade sledeća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oftalmološki pregled uz korišćenje oftalmoskopa ili sličnog odgovarajućeg instrumenta vrši se pre izlaganja ispitivanoj supstanci i na kraju studije, obično na svim životinjama ili bar na onima koje su bile izložene visokoj dozi i životinjama u kontrolnim grupama. Ako se otkriju promene na očima, potrebno je pregledati sve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hematološke analize, uključujući hematokrit, koncentraciju hemoglobina, broj eritrocita, ukupan i diferencijalni broj leukocita i potencijal zgrušavanja krvi kao što je: vreme zgrušavanja, protrombinsko vreme, tromboplastinsko vreme ili broj trombocita, vrše se na kraju perioda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medicinsko biohemijska određivanja u krvi obavljaju se na kraju perioda ispitivanja. Područja ispitivanja koja se smatraju važnim za sve studije su: ravnoteža elektrolita, </w:t>
      </w:r>
      <w:r w:rsidRPr="00984859">
        <w:rPr>
          <w:rFonts w:ascii="Arial" w:eastAsia="Times New Roman" w:hAnsi="Arial" w:cs="Arial"/>
          <w:lang w:eastAsia="sr-Latn-RS"/>
        </w:rPr>
        <w:lastRenderedPageBreak/>
        <w:t>metabolizam ugljenih hidrata, funkcija jetre i bubrega. Na izbor specifičnih ispitivanja utiču posmatranja mehanizma delovanja supstance. Predložena određivanja su: kalcijum, fosfor, hlorid, natrijum, kalijum, glukoza u uslovima gladovanja (s vremenom gladovanja koje je odgovarajuće za vrstu), serumska glutamat piruvat transaminaza</w:t>
      </w:r>
      <w:r w:rsidRPr="00984859">
        <w:rPr>
          <w:rFonts w:ascii="Arial" w:eastAsia="Times New Roman" w:hAnsi="Arial" w:cs="Arial"/>
          <w:b/>
          <w:bCs/>
          <w:sz w:val="15"/>
          <w:szCs w:val="15"/>
          <w:vertAlign w:val="superscript"/>
          <w:lang w:eastAsia="sr-Latn-RS"/>
        </w:rPr>
        <w:t>V</w:t>
      </w:r>
      <w:r w:rsidRPr="00984859">
        <w:rPr>
          <w:rFonts w:ascii="Arial" w:eastAsia="Times New Roman" w:hAnsi="Arial" w:cs="Arial"/>
          <w:lang w:eastAsia="sr-Latn-RS"/>
        </w:rPr>
        <w:t>, serumska glutamat oksaloacetat transaminaza</w:t>
      </w:r>
      <w:r w:rsidRPr="00984859">
        <w:rPr>
          <w:rFonts w:ascii="Arial" w:eastAsia="Times New Roman" w:hAnsi="Arial" w:cs="Arial"/>
          <w:b/>
          <w:bCs/>
          <w:sz w:val="15"/>
          <w:szCs w:val="15"/>
          <w:vertAlign w:val="superscript"/>
          <w:lang w:eastAsia="sr-Latn-RS"/>
        </w:rPr>
        <w:t>VI</w:t>
      </w:r>
      <w:r w:rsidRPr="00984859">
        <w:rPr>
          <w:rFonts w:ascii="Arial" w:eastAsia="Times New Roman" w:hAnsi="Arial" w:cs="Arial"/>
          <w:lang w:eastAsia="sr-Latn-RS"/>
        </w:rPr>
        <w:t xml:space="preserve">, ornitin deksarboksilaza, gama glutamil transpeptidaza, azot u ureji, albumin, kreatinin u krvi, ukupni bilirubin i merenja ukupnih proteina u serumu. Druga određivanja koja mogu da budu potrebna za adekvatnu toksikološku procenu obuhvataju: analize lipida, hormona, acidobaznu ravnotežu, methemoglobin i aktivnost holinesteraze. Dodatne biohemijske analize mogu se uključiti kada je potrebno proširiti ispitivanje posmatranih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analiza urina nije rutinski potrebna, samo ako postoji indikacija zasnovana na očekivanoj ili primećenoj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su osnovni podaci iz ranije studije nedovoljni, razmatra se određivanje hematoloških i medicinsko biohemijskih parametara pre početka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V</w:t>
      </w:r>
      <w:r w:rsidRPr="00984859">
        <w:rPr>
          <w:rFonts w:ascii="Arial" w:eastAsia="Times New Roman" w:hAnsi="Arial" w:cs="Arial"/>
          <w:lang w:eastAsia="sr-Latn-RS"/>
        </w:rPr>
        <w:t xml:space="preserve"> Sada poznata kao serumska alanin aminotransferaza.</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VI</w:t>
      </w:r>
      <w:r w:rsidRPr="00984859">
        <w:rPr>
          <w:rFonts w:ascii="Arial" w:eastAsia="Times New Roman" w:hAnsi="Arial" w:cs="Arial"/>
          <w:lang w:eastAsia="sr-Latn-RS"/>
        </w:rPr>
        <w:t xml:space="preserve"> Sada poznata kao serumska aspartat aminotransferaza.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životinje podvrgavaju se detaljnom postmortalnom pregledu koji obuhvata pregled spoljne površine tela, svih otvora, lobanjske, grudne i trbušne šupljine i njihovih sadržaja. Odmah posle sekcije, još mokri, mere se sledeći organi: jetra, bubrezi, žlezde i testisi. Merenje se sprovodi što pre posle sekcije, da se organi ne bi osušili. U prikladnom medijumu za eventualni budući histopatološki pregled čuvaju se sledeći organi i tkiva: sve velike lezije, pluća - koja se vade intaktna, mere se i tretiraju odgovarajućim fiksativom kako bi se očuvale sve strukture organa (perfuzija s fiksativom smatra se efikasnom procedurom), nazofaringealno tkivo, mozak - uključujući delove moždine/pons, kore malog mozga(cerebelarni korteks) i moždane kore (cerebralni korteks), hipofizno, tiroidno/paratiroidni i bilo koje timusno tkivo, dušnik, pluća, srce, aorta, pljuvačne žlezde, jetra, slezina, bubrezi, nadbubrežne žlezde, gušterača, gonade, materica (pripadajući genitalni organi), (koža), žučna kesica (ako postoji), jednjak, želudac, dvanaestopalačno crevo, tanko crevo, slepo crevo, debelo crevo, rektum, mokraćna bešika, limfni čvorovi (ženske mlečne žlezde), (bedrena muskulatura), periferni živci, (oči), grudna kost sa koštanom srži (femur, uključujući zglobne površine) i (kičmena moždina u tri nivoa - cervikalni, srednjetorakalni i lumbalni). Tkiva navedena u zagradama pregledaju se samo ako postoje znaci toksičnosti ili ako se radi o ciljnom organu.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Kompletna histopatološka posmatranja obavljaju se na respiratornom traktu i drugim organima i tkivima svih životinja u kontrolnim grupama i grupama koje su bile izložene visokim koncentracijama.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Sve velike lezije se pregledaju.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Pregledaju se ciljni organi u grupama koje su podvrgnute drugim koncentracijama.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Histopatološki se pregledaju i pluća životinja koje su podvrgnute niskim i srednjim koncentracijama, jer se na taj način može objektivno utvrditi zdravstveno stanje životinja. </w:t>
      </w:r>
      <w:r w:rsidRPr="00984859">
        <w:rPr>
          <w:rFonts w:ascii="Arial" w:eastAsia="Times New Roman" w:hAnsi="Arial" w:cs="Arial"/>
          <w:lang w:eastAsia="sr-Latn-RS"/>
        </w:rPr>
        <w:lastRenderedPageBreak/>
        <w:t xml:space="preserve">Dalji histopatološki pregledi rutinski se ne obavljaju na životinjama u tim grupama, ali se uvek obavljaju na organima na kojima su vidljive lezije u grupi podvrgnutoj visokoj koncentraciji.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Kad se koristi prateća grupa, histopatološki se obrađuju tkiva i organi koji pokazuju iste efekte kao i kod životinja iz drugih ispitanih grupa.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gde se za svaku ispitivanu grupu životinja navodi broj životinja na početku eksperimenta, broj životinja s lezijama, vrste lezija i procenat životinja kod kojih su pronađene lezije. Rezultati se procenjuju odgovarajućom statističkom metodom. Može se koristiti bilo koja usvojena statistička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vrsti, varijetetu, izvoru, uslovima okoline,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eksperimentalnim uslovima: opis aparature za izlaganje, uključujući dizajn, tip, dimenzije, izvor vazduha, sistem za raspršivanje aerosola, metoda kondicioniranja vazduha, obrada iskorišćenog vazduha i način čuvanja životinja u komori. Potrebno je opisati i aparaturu za merenje temperature, vlažnosti i kada odgovara, stabilnost koncentracija aerosola ili veličina čestica;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izlaganju ispitivanoj supstanci koji se prikazuju tabelarno zajedno sa srednjim vrednostima i merom odstupanja (npr. standardna devijacija) i obuhvataju: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brzinu protoka vazduha kroz inhalacionu opremu;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temperaturu i vlažnost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nominalnu koncentraciju (ukupan sadržaj ispitivane supstance koja se uvodi kroz inhalacionu opremu, podeljena sa zapreminom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prirodu pomoćnog sredstva, ako se koristilo;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tačne koncentracije supstance u zoni udisanja;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đ) srednje veličine čestica (kada je potrebno);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toksičnim efektima po polu i koncentraciji;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nivou bez efekta ako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smrti u toku eksperimenta ili da li su životinje preživele do kraja eksperimenta;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opisu toksičnih ili drugih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posmatranja bilo kakvih abnormalnosti i njihov kasniji tok;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hranjenju i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oftalmološkim nalazima;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hematološkim ispitivanjima koja su primenjena i nalazima;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medicinsko-biohemijskim ispitivanjima i nalazima (uključivši nalaze analize urina);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nalazima obdukcije;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detaljnom opisu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obradi rezultata gde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B.30. ISPITIVANJE HRONIČNE TOKSIČNOSTI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obično primenjuje sedam dana nedeljno, odgovarajućim putem, kod nekoliko grupa eksperimentalnih životinja, jedna doza po grupi, kroz duži period njihovog životnog veka. Za vreme i posle izloženosti ispitivanoj supstanci, eksperimentalne životinje se posmatraju svakodnevno, kako bi se otkrili znaci toksičnosti.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drže pod eksperimentalnim uslovima čuvanja i hranjenja najmanje pet dana pre ispitivanja. Pre ispitivanja slučajnim izborom zdrave mlade životinje se svrstavaju u tretirane i kontrolne grupe.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Preporučena vrsta je pacov. Mogu se koristiti i druge vrste (glodara ili drugih životinja), na osnovu rezultata prethodnih studija. Ispitivanju se podvrgavaju zdravi mladi primerci životinja onih laboratorijskih vrsta koje se najčešće koriste u ovakvim eksperimentima, a primena doze započinje u što kraćem vremenskom roku posle odbijanja od sise.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studije varijacije u telesnoj masi korišćenih životinja ne smeju prelaziti ± 20% srednje vrednosti. Ako se izvodi subhronična oralna studija kao uvod u dugoročnu studiju, u obe studije koriste se iste vrste i varijeteti.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svaki dozni nivo i istovremenu kontrolnu grupu koristi se najmanje 40 životinja (20 ženki i 20 mužjaka). Uzimaju se ženke koje nikad nisu rađale i koje nisu gravidne. Ako se planiraju lišavanja života na human način u toku eksperimenta, broj se povećava za broj životinja koje su planirane za lišavanje života pre završetka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vrste koje ne pripadaju glodarima prihvatljiv je manji broj životinja, ali najmanje četiri životinje po polu po grupi.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Dozni nivoi i učestalost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najmanje tri nivoa doze ispitivane supstance zajedno s istovremenom kontrolnom grupom. Najviša doza treba da pokaže toksične efekte, ali bez velikog broja smrtnih slučajeva. Najniža doza ne sme da izazove i pokaže toksičnost.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doza utvrđuje se u rasponu između visokih i niskih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izbora nivoa doza uzimaju se u obzir podaci iz prethodnih ispitivanja i studija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obično svakodnevno izlažu ispitivanoj supstanci. Ako se hemikalija daje u vodi za piće ili se umeša u hranu, uvek je na raspolaganju.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Istovremeno se koristi kontrolna grupa koje je u svakom pogledu identična eksperimentalnim grupama, osim izloženosti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posebnim okolnostima, kao što su inhalacione studije koje obuhvataju aerosole ili korišćenje emulgatora čija biološka aktivnost nije okarakterisana u oralnim studijama, istovremeno se koristi i negativna kontrolna grupa. Negativna kontrolna grupa tretira se na </w:t>
      </w:r>
      <w:r w:rsidRPr="00984859">
        <w:rPr>
          <w:rFonts w:ascii="Arial" w:eastAsia="Times New Roman" w:hAnsi="Arial" w:cs="Arial"/>
          <w:lang w:eastAsia="sr-Latn-RS"/>
        </w:rPr>
        <w:lastRenderedPageBreak/>
        <w:t xml:space="preserve">isti način kao i eksperimentalne grupe, samo što se životinje ne izlažu ispitivanoj supstanci niti bilo kom pomoćnom sredstvu.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Put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Dva glavna puta primene su oralni i inhalacioni. Izbor puta primene zavisi od fizičkih i hemijskih karakteristika ispitivane supstance i od mogućeg puta unosa kod ljudi.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Korišćenje dermalnog puta predstavlja značajan praktični problem. O hroničnoj sistemskoj toksičnosti koja proizlazi iz perkutane apsorpcije može se izvesti zaključak iz rezultata drugog oralnog ispitivanja i znanja o stepenu perkutane apsorpcije dobijenom iz prethodnih ispitivanja perkutane toksičnosti.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1.6.2.6. Studije sa peroralnim putem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ispitivana supstanca apsorbuje iz gastrointestinalnog trakta i ako je to put unosa kojim mogu biti izloženi ljudi, predlaže se peroralni put primene, osim ako postoje kontraindikacije.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mogu da dobijaju ispitivanu supstancu u hrani, rastvorenu u vodi za piće ili im se može davati u kapsulama.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Idealno je dnevno doziranje tokom sedam dana nedeljno, jer primena određene doze na bazi pet dana nedeljno može da omogući oporavak ili povlačenje toksičnosti u periodu u kojem se ne primenjuje ispitivana supstanca i time da utiče na rezultat i kasniju procenu. Sa stanovišta prakse, doziranje na bazi pet dana nedeljno smatra se prihvatljivim.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1.6.2.7. Studije sa inhalacionim putem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Kako studije sa inhalacionim putem primene predstavljaju tehnički problem koji je složeniji od drugih puteva primene, ovde se detaljnije navodi taj način primene. Napominje se da intratrahealno ulivanje može biti dobra alternativa u specifičnim situacijama.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Dugoročno izlaganje obično se planira prema projektovanoj izloženosti ljudi. Životinje se dnevno izlažu šest sati posle izjednačenja koncentracija u komori, pet dana u nedelji (isprekidana izloženost) ili, pogodnoj ambijentalnoj izloženosti, 22 do 24 sata izloženosti dnevno tokom sedam dana nedeljno (neprekidna izloženost) sa jednim satom za hranjenje životinja u slično vreme svakog dana i za održavanje komore. U oba slučaja životinje se izlažu fiksnim koncentracijama ispitivane supstance. Najveća razlika između isprekidane i neprekidne izloženosti je što u prvom slučaju postoji period od 17 do 18 sati tokom koga se životinje mogu oporaviti od efekata svakodnevne izloženosti, sa čak i dužim vremenom oporavka tokom vikenda.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Izbor isprekidane ili neprekidne izloženosti zavisi od ciljeva studije i od izloženosti ljudi koja će se simulirati. Razmatraju se određene tehničke teškoće. Na primer, prednosti neprekidne izloženosti koja simulira uslove životne sredine mogu se poništiti potrebom davanja vode i hranjenja za vreme izloženosti i potrebom za složenijim (i pouzdanim) tehnikama za stvaranje i posmatranje aerosola i pare.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1.6.2.8. Komore za izlaganje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podvrgavaju ispitivanju u inhalacionim komorama dizajniranim tako da održavaju dinamičan protok vazduha s najmanje 12 izmena vazduha u jednom satu, kako bi se </w:t>
      </w:r>
      <w:r w:rsidRPr="00984859">
        <w:rPr>
          <w:rFonts w:ascii="Arial" w:eastAsia="Times New Roman" w:hAnsi="Arial" w:cs="Arial"/>
          <w:lang w:eastAsia="sr-Latn-RS"/>
        </w:rPr>
        <w:lastRenderedPageBreak/>
        <w:t xml:space="preserve">osigurala odgovarajuća koncentracija kiseonika i ravnomerno raspoređena atmosfera. Kontrolne komore i komore za izlaganje su jednake u konstrukciji i dizajnirane tako da obezbeđuju uslove izlaganja koji su uporedivi u svim pogledima, izuzev izloženosti ispitivanoj supstanci. Slabi negativni pritisak u komori se uglavnom održava za sprečavanje ispuštanja ispitivane supstance u okolno područje. Komore minimizuju prenaseljenost eksperimentalnih životinja. Kao opšte pravilo koje obezbeđuje stabilnost atmosfere u komori, koristi se mera prema kojoj zapremina eksperimentalnih životinja ne sme prelaziti 5% zapremine komore.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Mere se i prate sledeći parametri: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Protok vazduha: preporučuje se da se brzina protoka vazduha prati neprekidno;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Koncentracija: u periodu dnevnog izlaganja koncentracija ispitivane supstance ne sme da varira više od ± 15% od srednje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Temperatura i vlaga: za glodare se temperatura održava na 22° C ± 2° C, a vlaga u komori na 30% do 70%, osim ako se koristi voda za suspendovanje ispitivane supstance u atmosferu komore. Preporučuje se da se temperatura i vlaga prate neprekidno;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Merenja veličine čestica: raspodela veličine čestica određuje se u atmosferi komore koje sadrže tečne ili čvrste aerosole. Čestice aerosola su takve veličine da ih eksperimentalne životinje mogu udisati. Uzorci vazduha komore uzimaju se u zoni disanja životinja. Uzorak vazduha mora biti tipičan predstavnik raspodele čestica kojima su životinje izložene i obuhvata, na gravimetrijskoj bazi, sav suspendovani aerosol, čak i ako se mnogo aerosola ne može udisati. Za vreme razvoja generišućeg sistema često se obavljaju analize veličine čestica da bi se obezbedila stabilnost aerosola, a posle toga se analize veličine čestice obavljaju onoliko često koliko zahteva vreme izlaganja, da bi se pravilno odredila konzistencija raspodele čestica kojima su životinje bile izložene.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1.6.2.9.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Period davanja je najmanje 12 meseci.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Pažljivo kliničko ispitivanje obavlja se najmanje jednom dnevno. Dodatna posmatranja obavljaju se svakodnevno uz preduzimanje odgovarajućih mera kako bi se gubitak životinja za vreme izvođenja studije sveo na minimum, na primer postmortalni pregled ili zaleđavanje onih životinja koje se pronađu mrtve i izolacija ili lišavanje života na human način slabih životinja ili životinja na samrti. Obavljaju se pažljiva posmatranja da bi se otkrio početak i napredovanje toksičnih efekata, kao i da bi se sveo na minimum gubitak zbog bolesti, autolize ili kanibalizma.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Klinički znaci, uključujući neurološke promene i promene na očima, beleže se za sve životinje. Beleže se i vreme početka i napredovanje toksičnih efekata, uključujući sumnjive tumore.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Telesne mase beleže se pojedinačno za sve životinje jednom nedeljno u prvih 13 nedelja perioda ispitivanja, a posle toga najmanje jednom svake četiri nedelje. Uzimanje hrane određuje se nedeljno za vreme prvih 13 nedelja studije, a potom u intervalima od oko tri meseca, osim ako zdravstveno stanje ili promene u telesnoj masi ne diktiraju drugačije.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1.6.3.2. Hematološki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Hematološki pregled (npr. sadržaj hemoglobina; ukupna zapremina krvnih ćelija; ukupan broj eritrocita, ukupan broj leukocita, trombocita ili merenja drugih parametara koagulacije) obavlja se posle tri meseca, posle šest meseci, a posle toga u intervalima od oko šest meseci i po završetku ispitivanja iz uzoraka krvi svih životinja koje nisu glodari i uzoraka krvi 10 pacova po polu svih grupa. Ako je moguće, uzorci su od istih pacova u svakom intervalu. Uzimaju se i uzorci od životinja koje nisu glodari.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klinička posmatranja daju nagoveštaj pogoršanja zdravlja životinja za vreme studije, od životinja kod kojih se naslućuje pogoršanje zdravlja, uzimaju se uzorci krvi i radi se diferencijalna krvna slika.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Diferencijalna krvna slika radi se kod životinja iz grupe koja je podvrgnuta najvišoj dozi i kod kontrolne grupe. Diferencijalna krvna slika radi se kod životinja koje su podvrgnute nešto manjoj dozi samo ako postoji velika razlika između grupe sa najvišom dozom i kontrolne grupe ili ako je indikovana na osnovu patoloških nalaza.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1.6.3.3. Analiza mokraće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analizu se uzimaju uzorci mokraće od životinja koje nisu glodari i od 10 pacova po polu, ako je moguće od istih pacova u jednakim intervalima u kojima se obavljaju i hematološke analize. Kod pojedinačnih životinja ili na zbirnim ("pool") uzorcima po polu i po grupi za glodare određuju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izgled: zapremina i gustina za pojedinačne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proteini, glukoza, ketoni, skriveno krvarenje (semikvantitativno);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mikroskopski pregled sedimenta (semikvantitativno);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medicinska biohemija.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intervalima od oko šest meseci i na kraju ispitivanja, uzimaju se uzorci krvi za medicinsko-biohemijska merenja od svih životinja koje nisu glodari i 10 pacova po polu svih grupa, po mogućnosti od istih pacova u svakom intervalu. Uzorci za preliminarna ispitivanja uzimaju se od životinja koje nisu glodari. U plazmi tih uzoraka određuju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ukupnih proteina;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albumina;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ispitivanja funkcije jetre (kao što je aktivnost alkalne fosfataze, glutaminske piruvat transaminaze</w:t>
      </w:r>
      <w:r w:rsidRPr="00984859">
        <w:rPr>
          <w:rFonts w:ascii="Arial" w:eastAsia="Times New Roman" w:hAnsi="Arial" w:cs="Arial"/>
          <w:b/>
          <w:bCs/>
          <w:sz w:val="15"/>
          <w:szCs w:val="15"/>
          <w:vertAlign w:val="superscript"/>
          <w:lang w:eastAsia="sr-Latn-RS"/>
        </w:rPr>
        <w:t>VII</w:t>
      </w:r>
      <w:r w:rsidRPr="00984859">
        <w:rPr>
          <w:rFonts w:ascii="Arial" w:eastAsia="Times New Roman" w:hAnsi="Arial" w:cs="Arial"/>
          <w:lang w:eastAsia="sr-Latn-RS"/>
        </w:rPr>
        <w:t>, aktivnost glutaminske oksaloacetatne transaminaze</w:t>
      </w:r>
      <w:r w:rsidRPr="00984859">
        <w:rPr>
          <w:rFonts w:ascii="Arial" w:eastAsia="Times New Roman" w:hAnsi="Arial" w:cs="Arial"/>
          <w:b/>
          <w:bCs/>
          <w:sz w:val="15"/>
          <w:szCs w:val="15"/>
          <w:vertAlign w:val="superscript"/>
          <w:lang w:eastAsia="sr-Latn-RS"/>
        </w:rPr>
        <w:t>VIII</w:t>
      </w:r>
      <w:r w:rsidRPr="00984859">
        <w:rPr>
          <w:rFonts w:ascii="Arial" w:eastAsia="Times New Roman" w:hAnsi="Arial" w:cs="Arial"/>
          <w:lang w:eastAsia="sr-Latn-RS"/>
        </w:rPr>
        <w:t xml:space="preserve">), gama glutamil transpeptidaze, ornitin dekarboksilaze;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metabolizam ugljenih hidrata, kao što je glukoza u krvi posle gladovanja;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ispitivanja funkcije bubrega kao što je azot iz uree u krvi.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VII</w:t>
      </w:r>
      <w:r w:rsidRPr="00984859">
        <w:rPr>
          <w:rFonts w:ascii="Arial" w:eastAsia="Times New Roman" w:hAnsi="Arial" w:cs="Arial"/>
          <w:lang w:eastAsia="sr-Latn-RS"/>
        </w:rPr>
        <w:t xml:space="preserve"> Sada poznata kao serumska alanin aminotransferaza.</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VIII </w:t>
      </w:r>
      <w:r w:rsidRPr="00984859">
        <w:rPr>
          <w:rFonts w:ascii="Arial" w:eastAsia="Times New Roman" w:hAnsi="Arial" w:cs="Arial"/>
          <w:lang w:eastAsia="sr-Latn-RS"/>
        </w:rPr>
        <w:t xml:space="preserve">Sada poznata kao serumska aspartat amintransferaza.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1.6.3.4.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Postmortalni pregled se obavlja na svim životinjama, uključujući one koje su uginule za vreme eksperimenta ili su lišene života na human način jer su bile na samrti. Pre lišavanja života na human način od svih životinja uzimaju se uzorci krvi za diferencijalnu krvnu sliku. Čuvaju se sve vidljive lezije, tumori ili lezije za koje se sumnja da su tumori. Pokušava se da se dovedu u vezu opažene promene s mikroskopskim nalazima.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Svi organi i tkiva čuvaju se za histopatološke preglede. Ovo se obično odnosi na sledeće organe i tkiva: mozak</w:t>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xml:space="preserve"> (medula i pons, cerebelarni korteks, cerebralni korteks), hipofiza, štitna žlezda (uključujući paratioroidnu žlezdu), timus, pluća (uključujući traheju), srce, aorta, pljuvačne žlezde, jetra</w:t>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slezina, bubrezi</w:t>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nadbubrežne žlezde</w:t>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jednjak, želudac, duodenum, tanko crevo, slepo crevo, debelo crevo, rektum, materica, mokraćna bešika, limfni čvorovi, pankreas, polne žlezde</w:t>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xml:space="preserve">, ostali genitalni organi, kod ženki mlečne žlezde, koža, muskulatura, periferni živci, kičmena moždina (cervikalna, torakalna, lumbalna), grudna kost s koštanom srži (uključujući zglobove) i oči. Za odgovarajući histopatološki pregled važno je naduvavanje pluća i mokraćne bešike sa fiksativom na optimalan način da se sačuvaju ta tkiva, kao i naduvavanje pluća kod inhalacionih studija. U posebnim studijama, kao što su inhalacione studije, pregleda se celokupan respiratorni trakt, uključujući nos, ždrelo i grkljan.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su obavljeni drugi klinički pregledi, dobijeni rezultati su na raspolaganju pre mikroskopskog pregleda, jer to može biti smernica za patologa.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xml:space="preserve"> Mere se organi od deset životinja po polu po grupi za glodare i životinje koje nisu glodari, plus tiroidna žlezda (s paratiroidnim žlezdama) za životinje koje nisu glodari.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1.6.3.5. Histopatologija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vidljive promene, naročito tumori i druge lezije nastale u bilo kom organu, mikroskopski se pregledaju. Preporučuju se sledeći postupci: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Mikroskopski pregled svih sačuvanih organa i tkiva s kompletnim opisom svih lezija nađenih: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kod svih životinja koje su uginule ili su lišene života na human način za vreme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u svim grupama koje su dobijale visoku dozu i u kontrolnoj grupi;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Organi ili tkiva kod kojih su pronađene abnormalnosti uzrokovane ili verovatno uzrokovane ispitivanom supstancom ispituju se i kod životinja iz grupa sa nižom dozom;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Ako rezultat ispitivanja dokaže bitno skraćenje normalnog životnog veka životinje ili efekte koji mogu da utiču na toksičnu reakciju, naredni niži dozni nivo ispituje se na način koji je gore opisan;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Za ispravnu procenu značaja promena koje su primećene kod tretiranih životinja neophodni su podaci o nastanku lezija do kojih obično dolazi kod vrste životinja koje se koriste, pod istim laboratorijskim uslovima, tj. istorijski kontrolni podaci.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Podaci se navode tabelarno, gde se za svaku ispitivanu grupu životinja navodi broj životinja na početku eksperimenta, broj životinja sa lezijama i procenat životinja sa svakom vrstom lezije. Svi dobijeni rezultati analiziraju se odgovarajućom statističkom metodom. Može se koristiti bilo koja usvojena statistička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vrsti, varijetetu, izvoru, uslovima sredine,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eksperimentalnim uslovima: aparaturi za izlaganje ispitivanoj supstanci uključujući dizajn, vrstu, dimenzije aparature, kao i izvor vazduha, sistem za proizvodnju čestica i aerosola, metoda za kondicioniranje vazduha, obrada iskorišćenog vazduha i metoda čuvanja životinja u komori. Opisuje se oprema za merenje temperature, vlage i, gde je moguće, stabilnost koncentracije aerosola ili veličinu čestice;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izlaganju ispitivanoj supstanci: ovi podaci se prikazuju tabelarno sa srednjim vrednostima i merama varijabilnosti (npr. standardna devijacija) i obuhvataju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brzini protoka vazduha kroz opremu za inhalaciju;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temperaturi i vlažnosti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nominalnoj koncentraciji (ukupnom sadržaju ispitivane supstance koja se uvodi u opremu za inhalaciju, podeljenim sa zapreminom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prirodi pomoćnog sredstva, ako je korišćen;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stvarnim koncentracijama supstance u zoni udisanja;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đ) srednjoj veličini čestica (gde je potrebno),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visini doze (uključujući i pomoćno sredstvo, ako se koristilo) i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toksičnoj reakciji po polu i dozi;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nivou bez efekta;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smrti za vreme studije ili da li su životinje preživele do kraja eksperimenta;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toksičnih i drugih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kada je primećen svaki znak abnormalnosti i njegov kasniji tok;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hrani i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oftalmološkim nalazima;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hematološkim ispitivanja i svim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medicinsko biohemijskim ispitivanjima i svim rezultatima (uključujući rezultate analize urina);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nalazima obdukcije;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proceni rezultata, gde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B.31. ISPITIVANJE TOKSIČNOSTI PO PRENATALNI RAST I RAZVOJ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414 (2001).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 ispitivanje toksičnosti po rast i razvoj namenjena je za dobijanje opštih podataka o efektima prenatalnog izlaganja na gravidne eksperimentalne životinje i na organizam tokom rasta i razvoja u materici. Ovo može da obuhvati procenu efekata na majku, kao i smrt, strukturalne abnormalnosti ili izmenjen rast ploda. Funkcionalni nedostaci, iako čine važan deo rasta i razvoja, nisu sastavni deo ove metode ispitivanja. Oni se mogu ispitivati u posebnoj studiji ili kao dodatak ovaj studiji, korišćenjem metode ispitivanja neurotoksičnosti po rast i razvoj. Podaci o ispitivanju funkcionalnih nedostataka i drugih efekata posle rođenja, se traže u odgovarajućem ispitivanju reproduktivne toksičnosti na dve generacije i ispitivanju neurotoksičnosti po rast i razvoj.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može zahtevati specifično prilagođavanje u pojedinačnim slučajevima na osnovu specifičnog znanja o npr. fizičkim i hemijskim ili toksikološkim svojstvima ispitivane supstance. Takvo prilagođavanje je prihvatljivo ako uverljivi naučni dokazi pokazuju da će se prilagođavanjem dobiti bolji kvalitet podataka. U takvom slučaju, ovi naučni dokazi pažljivo se dokumentuju u izveštaju o ispitivanju.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Toksikologija rasta i razvoja jeste studija o štetnim efektima na organizam tokom rasta i razvoja koji se mogu pojaviti kao posledica izlaganja pre začeća, tokom prenatalnog rasta i razvoja ili postnatalno do vremena polnog sazrevanja. Najveće manifestacije toksičnosti po rast i razvoj obuhvataju: 1) smrt organizma, 2) strukturalne abnormalnosti, 3) izmenjeni rast, 4) funkcionalne nedostatke. Toksikologija rasta i razvoja se ranije često nazivala teratologija.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Štetni efekat jeste svaka promena polaznog stanja povezana sa tretmanom koja umanjuje sposobnost organizma da preživi, reprodukuje se ili prilagodi životnoj sredini. U najširem smislu, toksikologija rasta i razvoja obuhvata svaki efekat koji remeti normalan razvoj zametka i pre i posle rođenja.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Izmenjen rast jeste promena mase ili veličine organa ili organizma potomaka.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Alteracije (anomalije) jesu strukturne promene u rastu i razvoju koje obuhvataju i malformacije i varijacije</w:t>
      </w:r>
      <w:r w:rsidRPr="00984859">
        <w:rPr>
          <w:rFonts w:ascii="Arial" w:eastAsia="Times New Roman" w:hAnsi="Arial" w:cs="Arial"/>
          <w:b/>
          <w:bCs/>
          <w:sz w:val="15"/>
          <w:szCs w:val="15"/>
          <w:vertAlign w:val="superscript"/>
          <w:lang w:eastAsia="sr-Latn-RS"/>
        </w:rPr>
        <w:t>28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Malformacija/veća abnormalnost jeste strukturna promena koja se smatra štetnom za životinju (može biti i smrtonosna) i obično je retka.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Varijacija/manja abnormalnost jeste strukturna promena za koju se smatra da ima mali ili nikakav štetan efekt na životinju; može biti prolazna i može se pojaviti relativno često u kontrolnoj populaciji.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Zametak jeste zbir derivata oplođenog jajašca u bilo kojoj fazi rasta i razvoja od oplodnje do rođenja, uključujući ekstraembrionalne membrane, kao i embrion ili plod.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Implantacija (nidacija) jeste pripajanje blastocista na epitelni sloj materice, uključujući njegovu penetraciju kroz epitel materice i usađivanje u endometrijum.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Embrion jeste rana ili razvojna faza bilo kog organizma, naročito proizvoda oplođenja jajašca koji se razvija posle pojave dugačke ose i do pojave svih većih struktura.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Embriotoksičnost jeste štetnost za normalnu strukturu, razvoj, rast i/ili sposobnost preživljavanja embriona.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Plod jeste nerođeni potomak u periodu posle embrionalnog.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Fetotoksičnost jeste štetnost za normalnu strukturu, razvoj, rast i/ili sposobnost preživljavanja ploda.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Pobačaj jeste prevremeno izbacivanje proizvoda začeća iz materice: embriona ili ploda koji nije sposoban za preživljavanje.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Resorpcija jeste zametak koji, posle implantacije u matericu, kasnije umre i resorbuje se ili je resorbovan.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Rana resorpcija jeste dokaz o implantaciji bez prepoznatljivog embriona/ploda.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Kasna resorpcija jeste mrtvi embrion ili plod sa spoljnjim degenerativnim promenama.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NOAEL jeste skraćenica za najviši nivo doze ili izlaganja, kod koga nisu primećeni štetni efekti povezani sa tretmanom.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Obično se ispitivana supstanca daje gravidnim životinjama najmanje od implantacije do jednog dana pre dana planiranog lišavanja života na human način, koji je što bliži normalnom danu porođaja bez opasnosti od gubitka podataka koji proizlaze iz preranog porođaja. Eksperimentalna metoda nije namenjena samo za ispitivanje perioda organogeneze (tj. 5 do 15 dana kod glodara i 6 do 18 dana kod kunića), nego i za ispitivanje efekata od preimplantacije, ako odgovara, tokom čitavog perioda gestacije do dana pre carskog reza. Malo pre carskog reza ženke se lišavaju života na human način, pregleda se sadržaj materice, a plodovi se procenjuju prema spoljnim vidljivim anomalijama, kao i prema promenama na mekim tkivima i kosturu.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da se ispitivanje obavlja na najrelevantnijim vrstama i da se koriste laboratorijske vrste i varijeteti koji se obično koriste kod ispitivanja toksičnosti po prenatalni rast i razvoj. Preporučena vrsta glodara je pacov, a preporučena vrsta koja ne pripada glodarima je kunić. Kada se koriste životinje drugih vrsta navodi se razlog za ovo korišćenje.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Uslovi smeštaja i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eksperimentalne sobe gde se drže životinje je 22° C (± 3° C) za glodare, a 18° C (± 3 °C) za kuniće. Relativna vlažnost vazduha iznosi najmanje 30% ali ne više od 70% osim kad se prostorije čiste. Najbolje je održavati vlažnost vazduha između 50% i 60%. Osvetljenje je veštačko i to u intervalima 12 sati svetla i 12 sati mraka. Za hranjenje se mogu primenjivati ustaljene laboratorijske dijete sa neograničenim količinama vode za piće. Postupak parenja se izvodi u kavezima koji su odgovarajući za tu svrhu. Parene životinje preporučljivo je držati pojedinačno u kavezu, ali je prihvatljivo i čuvanje u malim grupama.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zdrave životinje koje su se tokom najmanje pet dana privikle na laboratorijske uslove i koje ranije nisu bile podvrgnute eksperimentalnim postupcima. Eksperimentalne životinje se označavaju prema vrsti, varijetetu, izvoru, polu, telesnoj masi i/ili starosti. Životinje svih eksperimentalnih grupa su jednake telesne mase i starosti, koliko god je izvodljivo. Za svaki dozni nivo koriste se mlade odrasle ženke koje nisu ranije rađale. Ženke se pare s mužjacima iste vrste i varijeteta, a parenje između brata i sestre se izbegava. Za glodare je nulti dan gestacije dan kad se opazi vaginalni čep i/ili sperma. Za kuniće je nulti dan obično dan koitusa ili veštačke oplodnje, ukoliko se koristi ova tehnika. Parene ženke dodeljuju se slučajnim izborom kontrolnim grupama ili grupama koje se tretiraju. Kavezi se postavljaju tako da se pojava mogućih efekata zbog položaja kaveza svede na minimum. Svakoj životinji se dodeljuje jedinstveni identifikacijoni broj. Parene ženke se slučajnim izborom dodeljuju kontrolnim grupama ili grupama koje se tretiraju, a ako su se ženke parile u gomili, životinje iz svake gomile podjednako se raspodeljuju po grupama. Ženke koje je oplodio isti mužjak se raspodeljuju po grupama.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Broj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Svaka tretirana i kontrolna grupa sadrži dovoljan broj ženki, tako da se na postmortalnom pregledu nađe oko 20 ženki sa implantima. Grupe sa manje od 16 životinja sa implantima mogu da budu neodgovarajuće. Studija se ne odbacuje obavezno zbog mortaliteta majki, ako se obezbedi da mortalitet ne prelazi približno 10%.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1.6.2.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za lakše doziranje koristi pomoćno sredstvo ili drugi aditiv, uzimaju se u obzir sledeće karakteristike: efekti na apsorpciju, raspodelu, metabolizam i zadržavanje ili izlučivanje ispitivane supstance; efekti na hemijska svojstva ispitivane supstance koja mogu izmeniti njene toksikološke karakteristike; efekti na potrošnju hrane ili vode ili ishranjenost životinja. Pomoćno sredstvo ne sme da bude toksično po rast i razvoj, niti sme da ima efekte na reprodukciju.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Doziranje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ispitivana supstanca daje svakodnevno od implantacije (npr. peti dan posle parenja) do dana pre planiranog carskog reza. Ako preliminarne studije, kada su dostupne, ne upućuju na visoku opasnost od preimplantacionog gubitka, tretman se može produžiti toliko da obuhvati čitav period gestacije, od parenja do dana pre planiranog lišavanja života na human način. Dobro je poznato da neodgovarajuća manipulacija ili stres tokom trudnoće mogu da uzrokuju prenatalni gubitak. Radi čuvanja od prenatalnog gubitka zbog faktora koji nisu u vezi sa tretmanom, izbegava se nepotrebna manipulacija skotnim životinjama, kao i stres zbog spoljašnjih faktora kao što je buka.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Koriste se najmanje tri nivoa doze i istovremena kontrola. Zdrave životinje dodeljuju se kontrolnim grupama i grupama koje se tretiraju slučajnim izborom. Dozni nivoi se dovoljno razlikuju kako bi proizvele gradaciju toksičnih efekta. Osim ako ne postoji ograničenje zbog fizičke/hemijske prirode ili bioloških svojstava ispitivane supstance, najviša doza se određuje s ciljem da izazove određenu toksičnost po rast i razvoj i/ili po majku (klinički znaci ili smanjenje telesne mase), ali ne smrt ili tešku patnju. Najmanje jedan srednji dozni nivo proizvodi minimalne primetne toksične efekte. Najniži dozni nivo ne sme da izazove nikakav dokaz toksičnosti niti po majku niti po rast i razvoj. Opadajući niz nivoa doza bira se u cilju dokazivanja neke reakcije koja je zavisna od doziranja i nivoa pri kome nije opažen štetni efekat (NOAEL). Za određivanje opadajućih nivoa doza obično su optimalni dvostruki do četvorostruki intervali, a često se preporučuje četvrta eksperimentalna grupa umesto primene vrlo velikih intervala između doza (npr. više od faktora 10). Iako je cilj utvrđivanje NOAEL-a majke, mogu se prihvatiti i studije koje ne utvrđuju ovaj nivo</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Dozni nivoi biraju se uzimajući u obzir sve postojeće podatke o toksičnosti, kao i dodatne podatke o metabolizmu i toksikokinetici ispitivane supstance ili srodnih materijala. Ovi podaci pomažu i kod dokazivanja adekvatnosti režima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i istovremena kontrolna grupa. Ova grupa mora da bude prividno tretirana kontrolna grupa ili kontrolna grupa za pomoćno sredstvo, ako se ono koristi prilikom primene ispitivane supstance. Svim grupama daje se ista zapremina ili ispitivane supstance ili pomoćnog sredstva. Sa životinjama u kontrolnim grupama postupa se na isti način kao sa onima u eksperimentalnim grupama. Kontrolne grupe pomoćnog sredstva dobijaju pomoćnu materiju u najvećoj količini koja se koristi (kao kod grupa koje se tretiraju najnižim koncentracijama).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ispitivanje na jednom nivou doze od najmanje 1.000 mg/kg TM/dan primenjene oralno uz korišćenje postupaka opisanih u ovoj studiji ne proizvede primetnu toksičnost kod gravidnih životinja ili kod njihovog potomstva i ako se efekat na osnovu postojećih podataka (npr. iz jedinjenja koja su strukturno i/ili metabolički slična) ne očekuje, nije potrebna potpuna studija uz korišćenje tri nivoa doze. Očekivana izloženost ljudi može da ukaže na potrebu da se u ispitivanju granične doze koristi viša oralna doza. Za druge vrste primene, kao što su </w:t>
      </w:r>
      <w:r w:rsidRPr="00984859">
        <w:rPr>
          <w:rFonts w:ascii="Arial" w:eastAsia="Times New Roman" w:hAnsi="Arial" w:cs="Arial"/>
          <w:lang w:eastAsia="sr-Latn-RS"/>
        </w:rPr>
        <w:lastRenderedPageBreak/>
        <w:t xml:space="preserve">inhalacija ili dermalna primena, fizička i hemijska svojstva ispitivane supstance često mogu indikovati i ograničiti nivo izlaganja koji se maksimalno može postići (na primer dermalna aplikacija ne sme da uzrokuje izraženu lokalnu toksičnost).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Ispitivana supstanca ili pomoćno sredstvo obično se daje oralno intubacijom. Ako se koristi drugi put primene, lice koja obavlja ispitivanje opravdava i obrazlaže svoj izbor i verovatno su neophodne odgovarajuće izmene</w:t>
      </w:r>
      <w:r w:rsidRPr="00984859">
        <w:rPr>
          <w:rFonts w:ascii="Arial" w:eastAsia="Times New Roman" w:hAnsi="Arial" w:cs="Arial"/>
          <w:b/>
          <w:bCs/>
          <w:sz w:val="15"/>
          <w:szCs w:val="15"/>
          <w:vertAlign w:val="superscript"/>
          <w:lang w:eastAsia="sr-Latn-RS"/>
        </w:rPr>
        <w:t>2, 3, 4</w:t>
      </w:r>
      <w:r w:rsidRPr="00984859">
        <w:rPr>
          <w:rFonts w:ascii="Arial" w:eastAsia="Times New Roman" w:hAnsi="Arial" w:cs="Arial"/>
          <w:lang w:eastAsia="sr-Latn-RS"/>
        </w:rPr>
        <w:t xml:space="preserve">. Ispitivana supstanca se primenjuje u približno isto vreme svakog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Doza za pojedinačne životinje zasniva se na poslednjoj određenoj individualnoj telesnoj masi. Potreban je oprez kod prilagođavanja doze tokom poslednjeg trimestra trudnoće. Prilikom izbora doze koriste se postojeći podaci kako bi se sprečila prekomerna toksičnost po majku. Ako se registruje prekomerna toksičnost kod tretiranih (gravidnih) ženki, te životinje se humano lišavaju života. Ako nekoliko gravidnih životinja pokaže znake prekomerne toksičnosti, razmatra se završetak (lišavanje života na human način) te dozne grupe. Ako se supstanca primenjuje oralnom sondom, preporučuje se da se životinjama daje u jednoj dozi upotrebom želudačne cevi ili odgovarajuće intubacione kanile. Maksimalna zapremina tečnosti koju je dozvoljeno dati odjednom zavisi od veličine eksperimentalne životinje. Zapremina ne sme biti veća od 1 ml/100 g TM, osim u slučaju vodenih rastvora gde se može koristiti 2 ml/100 g TM. Ako se kao pomoćno sredstvo koristi kukuruzno ulje zapremina ne sme da bude veća od 0,4 ml/100 g TM. Varijabilnost u zapremini koja se ispituje svodi se na minimum prilagođavanjem koncentracija kako bi se obezbedila stalna zapremina kod svih doznih nivoa.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1.6.6. Posmatranje (gravidnih) ženki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Klinička posmatranja obavljaju se i beleže najmanje jednom dnevno, ako je moguće u isto vreme svakog dana, uzimajući u obzir glavni period tokom koga se javljaju predviđeni efekti posle primene doze. Beleže se stanja životinja, uključujući smrtnost, stanje pred smrt, bitne promene ponašanja i svi znaci očigledne toksičnosti.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1.6.7. Telesna masa i potrošnja 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mere: nultog dana gestacije i najkasnije trećeg dana gestacije ako je parene životinje nabavio spoljni uzgajivač; prvog dana doziranja; najmanje svaka tri dana tokom perioda doziranja i na dan planiranog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Potrošnja hrane se beleži svaka tri dana i podudara se sa danima određivanja telesne mase.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1.6.8.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Ženke se lišavaju života na human način jedan dan pre očekivanog dana porođaja. Ženke koje pokazuju znake pobačaja ili prevremenog porođaja lišavaju se života i podvrgavaju detaljnom makroskopskom pregledu pre planiranog lišavanja života.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vreme lišavanja života na human način ili u slučaju smrti tokom studije, ženka se makroskopski pregleda u cilju otkrivanja bilo koje strukturalne abnormalnosti ili patološke promene. Procena ženki za vreme carskog reza i kasnija analiza ploda obavlja se obično bez poznavanja podataka o tretiranoj grupi kako bi se greške svele na minimum.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1.6.9. Pregled sadržaja materice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Odmah po lišavanju života na human način ili što pre nakon smrti, uzimaju se materice i proverava stanje trudnoće životinja. Materice koje nisu gravidne potrebno je dalje pregledati (npr. bojenjem amonijum sulfidom za glodare i Salewski bojenjem ili odgovarajućom alternativnom metodom za kuniće) kako bi se potvrdilo da ne postoji trudnoća</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Meri se masa gravidne materice sa cerviksom. Kod životinja koje su nađene mrtve tokom studije ne mere se mase gravidnih materica.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gravidne životinje određuje se broj žutih tela.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Sadržaji materica pregledaju se kako bi se utvrdio broj smrti embriona ili ploda i plodova koji su sposobni za život. Opisuje se stepen resorpcije kako bi se procenilo relativno vreme smrti zametka (videti odeljak 1.2.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1.6.10. Pregled ploda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Određuje se pol i telesna masa svakog ploda. Svaki plod se pregleda kako bi se utvrdile spoljašnje promene</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Plodovi se pregledaju na izmene kostura i mekih tkiva (npr. varijacije i malformacije ili anomalije)</w:t>
      </w:r>
      <w:r w:rsidRPr="00984859">
        <w:rPr>
          <w:rFonts w:ascii="Arial" w:eastAsia="Times New Roman" w:hAnsi="Arial" w:cs="Arial"/>
          <w:b/>
          <w:bCs/>
          <w:sz w:val="15"/>
          <w:szCs w:val="15"/>
          <w:vertAlign w:val="superscript"/>
          <w:lang w:eastAsia="sr-Latn-RS"/>
        </w:rPr>
        <w:t>7, 8, 9, 10, 11, 12, 13, 14, 15, 16, 17, 18, 19, 20, 21, 22, 23, 24</w:t>
      </w:r>
      <w:r w:rsidRPr="00984859">
        <w:rPr>
          <w:rFonts w:ascii="Arial" w:eastAsia="Times New Roman" w:hAnsi="Arial" w:cs="Arial"/>
          <w:lang w:eastAsia="sr-Latn-RS"/>
        </w:rPr>
        <w:t xml:space="preserve">. Kategorizacija fetalnih promena se preporučuje, ali nije obavezna. Ako se obavi kategorizacija, jasno se navode kriterijumi za određivanje svake kategorije. Posebna pažnja se obraća na reproduktivni trakt koji se pregleda na znakove izmenjenog rasta i razvoja.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glodare, oko jedne polovine svakog okota priprema se i pregleda promene na kosturu. Preostale životinje iz okota pripremaju se i pregledaju na promene u mekim tkivima korišćenjem prihvaćenih ili odgovarajućih metoda serijske sekcije ili pažljive tehnike seciranja.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životinja koje nisu glodari, npr. kunića, svi plodovi se pregledaju na promene u mekim tkivima i kosturu. Tela tih plodova procenjuju se pažljivim seciranjem i traženjem promena na mekim tkivima, što može da obuhvati postupke za dalju procenu interne kardijalne strukture</w:t>
      </w:r>
      <w:r w:rsidRPr="00984859">
        <w:rPr>
          <w:rFonts w:ascii="Arial" w:eastAsia="Times New Roman" w:hAnsi="Arial" w:cs="Arial"/>
          <w:b/>
          <w:bCs/>
          <w:sz w:val="15"/>
          <w:szCs w:val="15"/>
          <w:vertAlign w:val="superscript"/>
          <w:lang w:eastAsia="sr-Latn-RS"/>
        </w:rPr>
        <w:t>25</w:t>
      </w:r>
      <w:r w:rsidRPr="00984859">
        <w:rPr>
          <w:rFonts w:ascii="Arial" w:eastAsia="Times New Roman" w:hAnsi="Arial" w:cs="Arial"/>
          <w:lang w:eastAsia="sr-Latn-RS"/>
        </w:rPr>
        <w:t>. Glave jedne polovine plodova pregledane na taj način uklanjaju se i obrađuju za procenu promena na mekim tkivima (uključujući oči, mozak, nazalne šupljine i jezik) korišćenjem standardnih metoda serijske sekcije</w:t>
      </w:r>
      <w:r w:rsidRPr="00984859">
        <w:rPr>
          <w:rFonts w:ascii="Arial" w:eastAsia="Times New Roman" w:hAnsi="Arial" w:cs="Arial"/>
          <w:b/>
          <w:bCs/>
          <w:sz w:val="15"/>
          <w:szCs w:val="15"/>
          <w:vertAlign w:val="superscript"/>
          <w:lang w:eastAsia="sr-Latn-RS"/>
        </w:rPr>
        <w:t>26</w:t>
      </w:r>
      <w:r w:rsidRPr="00984859">
        <w:rPr>
          <w:rFonts w:ascii="Arial" w:eastAsia="Times New Roman" w:hAnsi="Arial" w:cs="Arial"/>
          <w:lang w:eastAsia="sr-Latn-RS"/>
        </w:rPr>
        <w:t xml:space="preserve"> ili neke podjednako osetljive metode. Tela tih plodova i preostali nedirnuti plodovi obrađuju se i pregledaju na promene na kosturu, koristeći iste metode kao što je opisano za glodare.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pojedinačno za ženke, kao i za njihove potomke i prikazuju tabelarno. Podaci se navode za svaku eksperimentalnu grupu i generaciju i to: broj životinja na početku ispitivanja, broj životinja koje su nađene mrtve za vreme ispitivanja ili su lišene života iz humanih razloga, vreme svake smrti ili humanog lišenja života, broj gravidnih ženki, broj životinja koje pokazuju znakove toksičnosti, opis znakova uočene toksičnosti, uključujući vreme pojave, trajanja i težine svakog toksičnog efekta, vrste primećenih pojava koje embriona/ploda i sve relevantne podatke o okotu.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Numerički podaci se procenjuju odgovarajućom statističkom metodom, uz uzimanje okota kao jedinice za analizu podataka. Koristi se opšteprihvaćena statistička metoda. Statističke metode se biraju prilikom planiranja ispitivanja i one se moraju opravdati. U izveštaju o </w:t>
      </w:r>
      <w:r w:rsidRPr="00984859">
        <w:rPr>
          <w:rFonts w:ascii="Arial" w:eastAsia="Times New Roman" w:hAnsi="Arial" w:cs="Arial"/>
          <w:lang w:eastAsia="sr-Latn-RS"/>
        </w:rPr>
        <w:lastRenderedPageBreak/>
        <w:t xml:space="preserve">ispitivanju navode se i podaci o životinjama koje nisu preživele do planiranog lišavanja života na human način. Ako je relevantno ovi podaci se mogu uključiti u srednje vrednosti za grupe. Relevantnost podataka dobijenih od takvih životinja, pa i uključivanje ili isključenje iz srednjih vrednosti grupe, opravdava se i procenjuje na individualnoj osnovi.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Nalazi ispitivanja toksičnosti po prenatalni rast i razvoj procenjuju se u smislu primećenih efekata. Procena obuhvata: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ispitivanja majke i embriona/ploda, uključujući procenu odnosa ili njihovo odsustvo, između izlaganja životinja ispitivanoj supstanci i učestalosti i ozbiljnosti svih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kriterijume korišćene za kategorizaciju spoljnog izgleda ploda, promena mekog tkiva i kostura, ako je obavljena kategorizacija;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kad odgovara, kontrolne podatke iz ranije studije kako bi se poboljšalo tumačenje rezultata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numeričke vrednosti korišćene za izračunavanje svih procenata ili indeksa;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odgovarajuću statističku analizu nalaza ispitivanja, gde odgovara, koja obuhvata podatke o metodi analize, tako da nezavisni analitičar/statističar može da reevaluira i rekonstruiše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svakoj studiji koja pokazuje odsustvo bilo kakvih toksičnih efekata razmatraju se dalja istraživanja kako bi se utvrdila apsorpcija i bioraspoloživost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2.3.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toksičnosti po prenatalni rast i razvoj daje podatke o efektima ponavljanog izlaganja supstanci tokom graviditeta na ženke i na intrauterini razvoj njihovih potomaka. Rezultati ispitivanja tumače se u vezi sa nalazima iz subhronične, reproduktivne, toksikokinetičke i drugih studija. Kako je naglasak stavljen i na opštu toksičnost u smislu toksičnosti po majku i na pokazatelje toksičnosti po rast i razvoj, rezultati ispitivanja dozvoljavaju u određenoj meri razlikovanje između efekata na rast i razvoj do kojih dolazi u odsustvu opšte toksičnosti i onih efekata koji su indukovani samo pri nivoima koji su toksični i za gravidne životinje</w:t>
      </w:r>
      <w:r w:rsidRPr="00984859">
        <w:rPr>
          <w:rFonts w:ascii="Arial" w:eastAsia="Times New Roman" w:hAnsi="Arial" w:cs="Arial"/>
          <w:b/>
          <w:bCs/>
          <w:sz w:val="15"/>
          <w:szCs w:val="15"/>
          <w:vertAlign w:val="superscript"/>
          <w:lang w:eastAsia="sr-Latn-RS"/>
        </w:rPr>
        <w:t>27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i, gde je neophodno,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identifikacija uključujući CAS broj ako je poznat/utvrđen;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čistoću.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Pomoćnom sredstvu (ako se koristi):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opravdanje za izbor pomoćnog sredstva, ako se ne radi o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korišćena vrsta i varijetet;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i starost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uslovi smeštaja, dijeta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individualne telesne mase životinja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Eksperimentalnim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izbor nivoa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pojedinosti o formulaciji ispitivane supstance/priprema hrane, postignuta koncentracija, stabilnost i homogenost preparata;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pojedinosti o primeni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konverzija koncentracije ispitivane supstance u hrani/vodi za piće (ppm) do stvarne doze (mg/kg TM/dan),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 životne sredine;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toksičnoj reakciji kod majke, uključuju, ali nisu ograničeni 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životinja na početku ispitivanja, broj preživelih životinja, broj gravidnih ženki i broj pobačaja i broj životinja koje su se prevremeno okotile;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smrti tokom studije ili da li su životinje preživele do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životinjama koje nisu preživele do planiranog lišavanja života na human način, ali se ne uključuju u statističko poređenje između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uočavanja svakog abnormalnog kliničkog znaka i kasniji tok;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telesna masa, promene telesne mase i masa gravidne materice, uključujući, po izboru, promenu telesne mase korigovane za težinu gravidne materice;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potrošnja hrane i, ako je merena, potrošnja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 obdukcije, uključujući težinu materice;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NOAEL vrednosti za efekte na majku i rast i razvoj.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Krajnjim pokazateljima efekta na rast i razvoj po dozi za okot sa implantima, uključujući: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broj žutih tela;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implantacija, broj i procenat živih i mrtvih plodova i resorpcija;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i procenat pred- i postimplantaciionih gubitaka.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Krajnjim pokazateljima efekta na rast i razvoj po dozi za okote sa živim plodovima, uključujući: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i procenat živih potomaka;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polova;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telesna masa, najbolje po polu i sa kombinovanim polovima;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malformacije spoljnog izgleda, mekih tkiva i kostura i druge relevantne promene;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za kategorizaciju, ako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ukupan broj i procenat plodova i okota sa spoljašnjim promenama, promenama mekog tkiva ili kostura, kao i vrsta i incidenca individualnih anomalija i drugih relevantnih promena.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Kavlock R.J. et al. (1996) A Simulation Study of the Influence of Study Design on the Estimation of Benchmark Doses for Developmental Toxicity. Risk Analysis 16; 399-410.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Kimmel, C.A. and Francis, E.Z. (1990) Proceedings of the Workshop on the Acceptability and Interpretation of Dermal Developmental Toxicity Studies. Fundamental and Applied Toxicology 14; 386-398.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Wong, B.A., et al. (1997) Developing Specialized Inhalation Exposure Systems to Address Toxicological Problems. CIIT Activities 17; 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US Environmental Protection Agency (1985) Subpart E-Specific Organ/Tissue Toxicity, 40 CFR 798.4350: Inhalation Developmental Toxicity Study.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Salewski, E. (1964) Faerbermethode zum Makroskopischen Nachweis von Implantations Stellen am Uterusder Ratte. Naunyn-Schmeidebergs Archiv fur Pharmakologie und Experimentelle Pathologie 247:367.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Edwards, J.A. (1968) The external Development of the Rabbit and Rat Embryo. In Advances in Teratology. D.H.M. Woolam (ed.) Vol. 3. Academic Press, NY.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Inouye, M. (1976) Differential Staining of Cartilage and Bone in Fetal Mouse Skeleton by Alcian Blue and Alizarin Red S. Congenital Anomalies 16; 171-173.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8. Igarashi, E. et al. (1992) Frequency Of Spontaneous Axial Skeletal Variations Detected by the Double Staining Techniquefor Ossified and Cartilaginous Skeleton in Rat Foetuses. Congenital Anomalies 32; :381-391.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Kimmel, C.A. et al. (1993) Skeletal Development Following Heat Exposure in the Rat. Teratology 47:229-242.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Marr, M.C. et al. (1988) Comparison of Single and Double Staining for Evaluation of Skeletal Development: The Effects of Ethylene Glycol (EG) in CD Rats. Teratology 37; 476.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11.Barrow, M.V. and Taylor, W.J. (1969) A Rapid Method for Detecting Malformations in Rat Foetuses. Journal of Morphology 127:291-306.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Fritz, H. (1974) Prenatal Ossification in Rabbits ss Indicative of Foetal Maturity. Teratology 11; 313-320.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Gibson, J.P. et al. (1966) Use of the Rabbit in Teratogenicity Studies. Toxicology and Applied Pharmacology 9; :398-408.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Kimmel, C.A. and Wilson, J.G. (1973) Skeletal Deviation in Rats: Malformations or Variations Teratology 8; 309-316.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Marr, M.C. et al. (1992) Developmental Stages of the CD (Sprague-Dawley) Rat Skeleton after Maternal Exposure to Ethylene Glycol. Teratology 46; 169-181.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Monie, I.W. et al. (1965) Dissection Procedures for Rat Foetuses Permitting Alizarin Red Staining of Skeleton and Histological Study of Viscera. Supplement to Teratology Workshop Manual, pp. 163-173.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Spark, C. and Dawson, A.B. (1928) The Order and Time of appearance of Centers of Ossification in the Fore and Hind Limbs of the Albino Rat, with Special Reference to the Possible Influence of the Sex Factor. American Journal of Anatomy 41; 411-445.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Staples, R.E. and Schnell, V.L. (1964) Refinements in Rapid Clearing Technique in the KOH-Alizarin Red S Method for Fetal Bone. Stain Technology 39; 61-63.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Strong, R.M. (1928) The Order Time and Rate of Ossification of the Albino Rat (Mus Norvegicus Albinus) Skeleton. American Journal of Anatomy 36; 313-355.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Stuckhardt, J.L. and Poppe, S.M. (1984) Fresh Visceral Examination of Rat and Rabbit Foetuses Used in Teratogenicity Testing. Teratogenesis, Carcinogenesis, and Mutagenesis 4; 181-188.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Walker, D.G. and Wirtschafter, Z.T. (1957) The Genesis of the Rat Skeleton. Thomas, Springfield, IL.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Wilson, J.G. (1965) Embryological Considerations in Teratology. In Teratology: Principles and Techniques, Wilson J.G. and Warkany J. (eds). University of Chicago, Chicago, IL, pp 251-277.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Wilson, J.G. and Fraser, F.C. (eds). (1977) Handbook of Teratology, Vol. 4. Plenum, NY.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24. Varnagy, L. (1980) Use of Recent Fetal Bone Staining Techniques in the Evaluation of Pesticide Teratogenicity. Acta Vet. Acad. Sci. Hung. 28; 233-239.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 Staples, R.E. (1974) Detection of visceral Alterations in Mammalian Foetuses. Teratology 9; 37-38.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 Van Julsingha, E.B. and C.G. Bennett (1977) A Dissecting Procedure for the Detection of Anomalies in the Rabbit Foetal Head. In: Methods in Prenatal Toxicology Neubert, D., Merker, H.J. and Kwasigroch, T.E. (eds.). University of Chicago, Chicago, IL, pp. 126-144.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27. US Environmental Protection Agency (1991) Guidelines for Developmental Toxicity Risk Assessment. Federal Register 56; 63798-63826.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28. Wise, D.L. et al. (1997) Terminology of Developmental Abnormalities in Common Laboratory Mammals (Version 1) Teratology 55; 249-292.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B.32. ISPITIVANJE KARCINOGENOSTI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ispitivana supstanca primenjuje odgovarajućim putem sedam dana nedeljno kod nekoliko grupa eksperimentalnih životinja, jedna doza po grupi, tokom većeg dela njihovog životnog veka. Za vreme i posle izlaganja ispitivanoj supstanci eksperimentalne životinje se svakodnevno posmatraju kako bi se otkrili znakovi toksičnosti, naročito razvoj tumora.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Eksperimentalne životinje drže se pod eksperimentalnim uslovima čuvanja i hranjenja najmanje pet dana pre ispitivanja. Zdrave mlade životinje pre ispitivanja se slučajnim izborom raspoređuju u tretirane i kontrolne grupe.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Na osnovu rezultata prethodnih studija mogu se koristiti različite vrste životinja (glodari ili drugi). Ispitivanju se podvrgavaju zdravi mladi primerci životinja laboratorijskih vrsta koje se najčešće koriste u ovakvim eksperimentima, a davanje doze započinje u što kraćem vremenskom roku posle odbijanja od sise.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Varijacije u telesnoj masi korišćenih životinja na početku studije ne smeju biti veće od ± 20% srednje vrednosti. Ako se izvodi subhronična oralna studija kao uvod u dugoročnu studiju u obe studije se koriste iste vrste i sojevi životinja.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glodare koristi se najmanje 100 životinja (50 ženki i 50 mužjaka) za svaki dozni nivo i istovremenu kontrolnu grupu. Uzimaju se ženke koje nisu ranije rađale i koje nisu gravidne. Ako se planiraju lišavanja života na human način u toku eksperimenta broj životinja se povećava za broj životinja koje su planirane za lišavanje života pre završetka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Dozni nivoi i učestalost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najmanje tri doze ispitivane supstance uz istovremenu kontrolu. Najviša doza pokazuje znake minimalne toksičnosti, kao što je blago smanjenje dobijanja na telesnoj masi (manje od 10%), bez bitne promene normalnog životnog veka zbog efekata, osim kad se radi o tumorima.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Najniža doza ne sme da utiče na normalni rast, razvoj i dužinu života životinja niti da da bilo kakvu naznaku toksičnosti. Najniža doza ne sme da bude niža od 10% od visoke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doza utvrđuje se u sredini raspona između visokih i niskih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izbora visine doza uzimaju se u obzir podaci iz prethodnih ispitivanja toksičnosti i studija.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obično svakodnevno izlažu ispitivanoj supstanci. Ako se hemikalija daje u vodi za piće ili se umeša u hranu, neprekidno je na raspolaganju.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Istovremeno se koristi kontrolna grupa koja je u svakom pogledu ista kao eksperimentalne grupe, osim izlaganja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posebnim okolnostima kao što su inhalacione studije koje uključuju aerosole ili korišćenje emulgatora čija biološka aktivnost nije okarakterisana u oralnim studijama, istovremeno se koristi i dodatna kontrolna grupa koja se ne izlaže pomoćnom sredstvu.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1.6.1.5. Put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 glavna puta primene su: peroralni, dermalni i inhalacioni. Izbor puta primene zavisi od fizičkih i hemijskih karakteristika ispitivane supstance i mogućeg puta izlaganja kod ljudi.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1.6.1.6. Studije sa peroralnim putem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ispitivana supstanca apsorbuje iz gastrointestinalnog trakta i ako je to put kojim ljudi mogu biti izloženi, predlaže se peroralni način primene, osim ako postoje kontraindikacije. Životinje mogu da dobiju ispitivanu supstancu u hrani, rastvorenu u vodi za piće ili im se može davati u kapsulama.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Idealno je dnevno doziranje tokom sedam dana nedeljno, jer primena doze na bazi pet dana nedeljno može da omogući oporavak ili povlačenje toksičnosti u periodu u kome se ne primenjuje ispitivana supstanca i time da utiče na rezultat i kasniju procenu. Doziranje na bazi pet dana nedeljno smatra se prihvatljivim.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1.6.1.7. Studije sa dermalnim putem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Kutano izlaganje premazivanjem kože može se izabrati da simulira glavni put izlaganja ljudi i kao sistem - model za izazivanje lezija na koži.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1.6.1.8. Studije sa inhalacionim putem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Kako studije sa inhalacionim putem primene predstavljaju tehnički problem koji je složeniji od drugih načina primene, ovde se detaljnije navodi taj način davanja. Dobra alternativa u specifičnim slučajevima može biti intratrahealno ukapavanje.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Dugotrajna izlaganja se osmišljavaju po projektovanoj izloženosti ljudi, pa se životinje dnevno izlažu šest sati posle izjednačenja koncentracija u komori, pet dana u nedelji (isprekidana izloženost) ili, kod eventualne ambijentalne izloženosti, 22 do 24 sata izloženosti tokom sedam dana nedeljno (neprekidna izloženost) sa oko jednim satom dnevno za hranjenje životinja u slično vreme i za održavanje komore. U oba slučaja životinje se izlažu fiksnim koncentracijama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Glavna razlika između isprekidane i neprekidne izloženosti je u tome što u prvom slučaju postoji period od 17 do 18 sati tokom koga se životinje mogu oporaviti od efekata pojedinačne dnevne izloženosti, sa čak i dužim vremenom oporavka tokom vikenda.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Izbor isprekidane ili neprekidne izloženosti zavisi od ciljeva ispitivanja i od simulirane izloženosti ljudi. Razmatraju se određeni tehnički problemi. Na primer, prednosti neprekidne izloženosti za simuliranje uslova životne sredine mogu da deluju suprotno zbog potrebe davanja vode i hranjenja za vreme izloženosti i potrebe za složenijim (i pouzdanim) tehnikama za stvaranje i praćenje aerosola i pare.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1.6.1.9. Komore za izlaganje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podvrgavaju ispitivanju u inhalacionim komorama dizajniranim tako da održavaju dinamičan protok vazduha s najmanje 12 izmena vazduha u jednom satu kako bi se obezbedio odgovarajući sadržaj kiseonika i ravnomerno raspoređena atmosfera. Kontrolne komore i komore za izlaganje su jednake u konstrukciji i dizajnirane tako da obezbeđuju uslove izlaganja koji su uporedivi u svim pogledima, izuzev izloženosti ispitivanoj supstanci. U komori se održava blagi negativni pritisak zbog sprečavanja ispuštanja ispitivane supstance u okruženje. Komore smanjuju na minimum prenaseljenost eksperimentalnih životinja. Kako bi se obezbedila stabilnost atmosfere u komori, pravilo je da ukupna "zapremina" eksperimentalnih životinja ne prelazi 5% zapremine komore.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Mere se i prate sledeći parametri: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Protok vazduha: preporučuje se da se brzina protoka vazduha kroz komoru neprestano prati;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Koncentracija: u periodu dnevnog izlaganja koncentracija ispitivane supstance ne sme da varira za više od ± 15% od srednje vrednosti. Tokom celog ispitivanja koncentracije iz dana u dan održavaju se što je moguće stalnijim;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v) Temperatura i vlaga: za glodare se temperatura održava na 22° C ± 2° C, a vlaga u komori na 30% do 70%, osim ako se koristi voda za suspendovanje ispitivane supstance u atmosferu komore. Preporučuje se da se temperatura i vlažnost neprestano prate;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Merenja veličine čestica: raspodela veličine čestica određuje se u atmosferi komore koja sadrži tečne ili čvrste aerosole. Čestice aerosola su takve veličine da ih eksperimentalne životinje mogu udisati. Uzorci atmosfere komore uzimaju se u zoni disanja životinja. Uzorak vazduha je reprezentativan za raspodelu čestica kojima su životinje izložene i obuhvata, na gravimetrijskoj bazi, sav suspendovani aerosol, čak i ako se ne može udisati mnogo aerosola. Za vreme razvoja generišućeg sistema, često se obavljaju analize veličine čestica, kako bi se obezbedila stabilnost aerosola, a posle toga onoliko često koliko je potrebno tokom izlaganja, kako bi se pravilno odredila raspodela čestica kojima su životinje bile izložene.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1.6.1.10.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Trajanje ispitivanja karcinogenosti obuhvata veći deo životnog veka eksperimentalnih životinja. Ispitivanje se završava posle 18 meseci za miševe i hrčke, a posle 24 meseca za pacove. Za određene vrste životinja s dužim životnim vekom i/ili niskom stopom spontane pojave tumora ispitivanje se završava posle 24 meseca za miševe i hrčke, a posle 30 meseci za pacove. Alternativno je prihvatljiv završetak takve produžene studije kada broj preživelih životinja s najnižom dozom ili kontrolna grupa dostigne 25%. Kod završetka ispitivanja u kome je vidljiva razlika između polova, svaki pol se posebno razmatra. Ako zbog vidljive toksičnosti prevremeno ugine samo grupa izložena visokoj dozi, to ne mora da bude razlog za završetak ispitivanja, ako toksične manifestacije ne uzrokuju probleme u ostalim grupama. Kako bi se prihvatio negativan rezultat, najviše 10% životinja od bilo koje grupe može da se izgubi zbog autolize, kanibalizma ili problema usled manipulacije, a preživljavanje u svim grupama treba da bude veće od 50% posle 18 meseci za miševe i hrčke, a posle 24 meseca za pacove.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Dnevna posmatranja životinja u kavezu obuhvataju promene na koži i krznu, očima i sluznicama, kao i respiratornom, cirkulatornom sistemu i autonomnom i centralnom nervnom sistemu, somatomotornu aktivnost i model ponašanja.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Neophodno je redovno posmatrati životinje kako bi se obezbedilo, koliko je moguće, da se životinje ne izgube iz studije zbog kanibalizma, aotolize tkiva ili stavljanja na pogrešno mesto. Kada se primete životinje na samrti, one se izoluju i obdukuju.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Klinički znaci i mortalitet se beleže za sve životinje. Posebna pažnja se obraća na razvoj tumora: potrebno je zabeležiti vreme pojave; lokaciju, dimenzije, izgled i rast svakog golim okom vidljivog tumora ili tumora koji se palpira.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Merenja potrošnje hrane (i vode, ako se ispitivana supstanca daje u vodi za piće) obavljaju se jednom nedeljno tokom prvih 13 nedelja ispitivanja, a potom u intervalima od oko tri meseca, osim ako zdravstveno stanje ili promene telesne mase ne zahtevaju drugačije.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Telesna masa se beleži pojedinačno za sve životinje jednom nedeljno tokom prvih 13 nedelja ispitivanja, a posle toga najmanje na svake četiri nedelje.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Klinička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1.6.2.2.1. Hematologija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posmatranjem životinja u kavezima primeti pogoršanje zdravlja tokom studije, za sve životinje kod kojih je primećeno pogoršanje radi se diferencijalna krvna slika.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Posle 12 meseci, 18 meseci i pre lišavanja života na human način, od životinja se uzima uzorak krvi. Diferencijalna krvna slika radi se u uzorcima životinja iz grupe kojoj je davana visoka doza i životinja u kontrolnim grupama. Ako ti podaci, naročito oni dobijeni pre lišavanja života na human način ili podaci patološkog pregleda, ukažu na potrebu izrade diferencijalne krvne slike, ista se radi i u grupi s narednom nižom dozom.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1.6.2.2.2.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Postmortalni pregled se izvodi na svim životinjama, uključujući one koje su uginule za vreme eksperimenta ili su lišene života na human način jer su nađene na samrti. Čuvaju se sve vidljive lezije, tumori ili lezije za koje se sumnja da su tumori.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odgovarajućem medijumu za eventualni kasniji histopatološki pregled čuvaju se sledeći organi i tkiva: mozak (uključujući delove produžene moždine/ponsa, kore malog mozga, kore velikog mozga), hipofiza, tiroidna/paratiroidna žlezda, timusna tkiva, dušnik i pluća, srce, aorta, pljuvačne žlezde, jetra, slezina, bubrezi, nadbubrežne žlezde, gušterača, polne žlezde, materica, ostali genitalni organi, koža, jednjak, želudac, dvanaestopalačno crevo, tanko crevo, slepo crevo, debelo crevo, rektum, mokraćna bešika, reprezentativan limfni čvor, ženske mlečne žlezde, muskulatura bedra, periferni živci, grudna kost sa kostnom srži, femur (uključujući zglob), kičmena moždina na tri nivoa (cervikalna, srednje-torakalna i lumbalna) i oči.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Inflacija (naduvavanje) pluća i mokraćne bešike s fiksativom je optimalan način da se sačuvaju ta tkiva. Inflacija pluća kod inhalacionih studija je suštinska za odgovarajući histopatološki pregled. Kod inhalacionih studija čuva se čitav respiratorni trakt, uključujući nosnu šupljinu, ždrelo i grkljan.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1.6.2.2.3. Histopatologija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Kompletna histopatološka ispitivanja se obavljaju na organima i tkivima svih životinja koje su uginule ili su lišene života na human način tokom ispitivanja i u kontrolnoj grupi i grupi kojoj je davana visoka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U svim grupama mikroskopski se pregledaju svi tumori vidljivi golim okom ili lezije za koje se sumnja da bi mogli biti tumori.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Ako postoji značajna razlika u incidenci neoplastičkih lezija u grupi kojoj je davana visoka doza i u kontrolnoj grupi, histopatološki pregledi na tim organima ili tkivima izvode se i u drugim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Ako je preživljavanje u grupi kojoj je davana visoka doza bitno manje nego u kontrolnoj grupi, obavlja se kompletno ispitivanje grupe naredne niže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Ako u grupi kojoj je davana visoka doza postoji dokaz o izazivanju toksičnih ili drugih efekata koji su mogli uticati na neoplastičnu reakciju, obavlja se kompletno ispitivanje životinja u grupi s narednom nižom dozom.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Podaci se navode tabelarno, gde se za svaku ispitivanu grupu životinja navodi: broj životinja na početku eksperimenta, broj životinja s tumorima otkrivenim tokom eksperimenta, vreme otkrivanja i broj životinja kod kojih je nađen tumor posle lišavanja života na human način. Svi dobijeni rezultati analiziraju se odgovarajućom statističkom metodom. Može se koristiti bilo koja usvojena statistička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Vrsti, soju, izvoru, uslovima sredine, ishrani;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Eksperimentalnim uslovima: opis aparature za izlaganje (uključujući dizajn, vrstu, dimenzije aparature, kao i izvor vazduha, sistem za generisanje partikulata i aerosola, metoda za kondicioniranje vazduha, obrada iskorišćenog vazduha i metoda čuvanja životinja u eksperimentalnoj komori, ako se koristi. Opisuje se oprema za merenje temperature, vlažnosti i, kada odgovara, stabilnost koncentracije aerosola ili veličinu čestica).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Izlaganju: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ovi podaci se prikazuju tabelarno sa srednjim vrednostima i merom varijabilnosti (npr. standardna devijacija) i obuhvataju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brzini protoka vazduha kroz opremu za inhalaciju;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temperaturi i vlažnosti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nominalnoj koncentraciji (ukupnom sadržaju ispitivane supstance koja se uvodi kroz opremu za inhalaciju, podeljenom sa zapreminom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prirodi pomoćnog sredstva, ako je korišćeno;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koncentraciji supstance u zoni udisanja;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đ) srednjoj veličini čestica (gde je potrebno),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nivoima doze (uključujući pomoćno sredstvo, ako je korišćeno) i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 incidencama tumora po polu, dozi i vrsti tumora;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smrti tokom ispitivanja ili da li su životinje preživele do žrtvovanja;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 toksičnom odgovoru po polu i dozi;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toksičnih ili drugih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kada je primećen svaki znak abnormalnosti i njenom kasnijem toku;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hrani i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izvedenim hematološkim ispitivanjima i svim rezultatima istih;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nalazima obdukcije;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obradi rezultata s opisom korišćene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B.33. KOMBINOVANO ISPITIVANJE HRONIČNE TOKSIČNOSTI/KARCINOGENOSTI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kombinovanog ispitivanja hronične toksičnosti karcinogenosti jeste određivanje hroničnih i karcinogenih efekata supstance kod sisara posle produžene izloženosti.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tu svrhu u ispitivanje karcinogenosti se dodatno uključuje najmanje jedna prateća grupa i kontrolna prateća grupa. Doza koja se koristi kod prateće grupe sa visokom dozom može da bude veća od one koja se koristi kod grupe sa visokom dozom u ispitivanju karcinogenosti. Životinje se u ispitivanju karcinogenosti pregledaju kako bi se uočila opšta toksičnost, kao i karcinogeni odgovor. Životinje iz tretirane prateće grupe pregledaju se na opštu toksičnost.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Ispitivanom supstancom više grupa eksperimentalnih životinja tretira se sedam dana nedeljno, odgovarajućim putem, jednom dozom po grupi i to tokom najvećeg dela njihovog života. Za vreme i posle izlaganja ispitivanoj supstanci, eksperimentalne životinje se svakodnevno posmatraju radi otkrivanja znakova toksičnosti i razvoja tumora.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 OPIS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drže pod eksperimentalnim uslovima smeštaja i ishrane najmanje pet dana pre ispitivanja. Pre ispitivanja zdrave mlade životinje se slučajnim izborom dodeljuju grupama za tretiranje i kontrolnim grupama.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Najpogodnija vrsta je pacov. Na osnovu rezultata prethodnih ispitivanja mogu se koristiti i druge vrste (glodarske ili ne). Koriste se mlade i zdrave životinje uobičajeno korišćenih laboratorijskih linija. Sa doziranjem se počinje što je moguće pre nakon odbijanja od sise.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ispitivanja varijacija u telesnoj masi životinja ne treba da bude veća od ± 20% srednje vrednosti. Kada se pre dugoročnog ispitivanja izvodi ispitivanje subhronične oralne toksičnosti u oba ispitivanja se koriste iste vrste i sojevi/linije životinja.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glodare je potrebno koristiti najmanje 100 životinja (50 ženki i 50 mužjaka) za svaki dozni nivo i istovremenu kontrolnu grupu. Koriste se ženke koje nisu ranije rađale i koje nisu gravidne. Ukoliko se planira lišavanje života na human način u toku ispitivanja, potrebno je povećati broj životinja za onoliko koliko će biti lišeno života pre završetka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Tretirana prateća grupa ili grupe za određivanje patologije različite od tumora obuhvataju po 20 životinja svakog pola, dok kontrolna prateća grupa obuhvata po 10 životinja svakog pola.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Dozni nivoi i učestalost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svrhu ispitivanja karcinogenosti potrebno je koristiti najmanje tri nivoa doza pored istovremene kontrolne grupe. Najveći dozni nivo izaziva znake minimalne toksičnosti, kao što je malo usporenje dobijanja na telesnoj masi (manje od 10%), a da se pri tome normalni životni vek ne menja bitno usled uzroka koji su drugačiji od pojave tumora.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Najmanji dozni nivo ne remeti normalni rast, razvoj i životni vek životinje, niti stvara ikakve naznake toksičnosti. Ovaj nivo nije niži od 10% visoke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doza se ustanovljava na oko polovine raspona između visoke i niske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Dozni nivoi se biraju uzimajući u obzir podatke iz prethodnih ispitivanja i studija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svrhu ispitivanja hronične toksičnosti u ispitivanje se uključuju dodatne prateće grupe - tretirane i istovremena kontrolna grupa. Visoka doza kod tretiranih pratećih životinja izaziva definitivne znake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Učestalost izlaganja je svakodnevno. Ako se hemikalija daje u vodi za piće ili je umešana u hranu, potrebno je da voda i hrana budu stalno dostupne životinjama.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istovremena grupa koja je u svakom pogledu identična tretiranim grupama, osim po izlaganju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posebnim okolnostima, kao što je ispitivanje inhalacione toksičnosti koja uključuje aerosole ili upotreba emulgatora bez okarakterisanog biološkog dejstva u studijama oralne toksičnosti potrebno je koristiti dodatnu kontrolnu grupu koja nije izložena rastvaraču.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1.6.1.5. Put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 glavna puta primene su: peroralni, dermalni i inhalacioni. Izbor puta primene zavisi od fizičkih i hemijskih karakteristika ispitivane supstance i od mogućeg puta izlaganja kod ljudi.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1.6.1.6. Ispitivanja peroralno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ispitivana supstanca apsorbuje iz gastrointestinalnog trakta, a to je i put unosa kojim mogu biti izloženi ljudi, ukoliko ne postoje kontraindikacije najbolje je primeniti peroralni put primene. Životinje ispitivanu supstancu mogu da dobijaju putem hrane, rastvorenu u vodi za piće ili u obliku kapsule. U idealnom slučaju se koristi dnevno doziranje sedam dana u nedelji, jer doziranje na bazi pet dana nedeljno može da omogući oporavak ili povlačenje toksičnosti u periodu bez doziranja, što može da utiče na rezultat i procenu. Na osnovu razmatranja praktičnosti, doziranje na bazi pet dana nedeljno smatra se prihvatljivim.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1.6.1.7. Ispitivanja dermalnim putem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simulaciju u slučaju kada je glavni put izloženosti ljudi preko kože i kao model za izazivanje povreda kože, može se izabrati izlaganje premazivanjem kože.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1.6.1.8. Ispitivanja inhalacionim putem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Ispitivanja inhalacionim putem primene predstavljaju složeniji tehnički problem od drugih puteva primene, te se iz tog razloga daju detaljnija uputstva o tom načinu. U posebnim slučajevima intratrahijalna instilacija može da predstavlja opravdanu alternativu.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Dugotrajna izlaganja se planiraju prema projektovanom izlaganju ljudi tako što se posle uravnoteženja koncentracija u komori životinje dnevno izlažu po šest sati, pet dana u nedelji (povremeno izlaganje) ili, u odnosu na moguće izlaganje u životnoj sredini, 22 do 24 sata dnevno sedam dana nedeljno (neprekidno izlaganje), sa jednim satom dnevno (u približno isto vreme) za hranjenje životinja i za održavanje komora. U oba slučaja životinje su izložene fiksnim koncentracijama ispitivane supstance. Glavna razlika između povremenog i neprekidnog izlaganja je da u prvom slučaju postoji period od 17 do 18 sati tokom kog se životinje mogu oporaviti od efekta dnevnog izlaganja, uz još duži period oporavka tokom vikenda.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Izbor povremenog ili neprekidnog izlaganja zavisi od ciljeva ispitivanja i od simuliranog izlaganja ljudi. U obzir se uzimaju određene tehničke poteškoće. Na primer, prednosti neprekidnog izlaganja za simulaciju uslova životne sredine mogu biti smanjene zbog potrebe pojenja i hranjenja za vreme izlaganja i zbog potrebe za komplikovanijim (i pouzdanijim) tehnikama produkcije aerosola i para, kao i zbog praćenja.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1.6.1.9. Komore za inhalaciono izlaganje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ispituju u komorama za inhalaciono izlaganje koje su projektovane da podržavaju dinamički protok od najmanje 12 promena vazduha na sat kako bi se obezbedio adekvatan sadržaj kiseonika i ravnomerno raspoređena atmosfera izlaganja. Kontrolne komore i komore za izlaganje su identične konstrukcije i dizajna, kako bi se obezbedili uslovi izlaganja koji se u svim aspektima mogu uporediti, osim u pogledu izlaganja ispitivanim supstancama. U unutrašnjosti komore obično se održava negativni pritisak zbog sprečavanja ispuštanja </w:t>
      </w:r>
      <w:r w:rsidRPr="00984859">
        <w:rPr>
          <w:rFonts w:ascii="Arial" w:eastAsia="Times New Roman" w:hAnsi="Arial" w:cs="Arial"/>
          <w:lang w:eastAsia="sr-Latn-RS"/>
        </w:rPr>
        <w:lastRenderedPageBreak/>
        <w:t xml:space="preserve">ispitivane supstance u okolni prostor. Komore su takve da se gomilanje eksperimentalnih životinja svede na minimum. Opšte je pravilo da, zbog stabilnosti atmosfere u komori, ukupna zapremina životinja ne sme da prelazi 5% zapremine komore.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Mere se i prate sledeći parametri: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Protok vazduha: protok vazduha kroz komoru neprekidno se kontroliše;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Koncentracija: tokom dnevne izloženosti koncentracija ne sme da odstupa više od ± 15% od srednje vrednosti. Za vreme ukupnog trajanja ispitivanja, koncentracije se iz dana u dan održavaju što je moguće stabilnijim;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Temperatura i vlažnost: za glodare temperaturu se održava na 22° C ± 2° C, a vlažnost u komori na 30% do 70%, osim u slučaju kada se upotrebljava voda za suspendovanje ispitivane supstance u atmosferu komore. Preporučuje se neprekidno praćenje temperature i vlažnosti;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Merenja veličine čestica: raspodela veličine čestica određuje se u atmosferi komore kada ona uključuje tečne ili čvrste aerosole. Čestice aerosola su veličine koju eksperimentalna životinja može da udiše. Uzorci atmosfere iz komora uzimaju se u zoni udisanja. Uzorak vazduha je reprezentativan za raspodelu čestica kojima su životinje izložene i pruža gravimetrijski podatak o ukupnom aerosolu, čak i onda kada se veći deo aerosola ne udiše. Analize veličine čestica obavljaju se često tokom razvijanja generatorskog sistema kako bi se obezbedila stabilnost aerosola, a potom onoliko često koliko je potrebno da se adekvatno utvrdi konzistencija raspodele čestica kojima su životinje izložene.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1.6.1.10.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Trajanje dela ispitivanja karcinogenosti podrazumeva najveći deo normalnog životnog veka eksperimentalnih životinja. Završetak ispitivanja u slučaju miševa i hrčaka je u 18 meseci starosti, a za pacove 24 meseca. Kod određenih sojeva životinja koje imaju duži životni vek i/ili nižu stopu spontane pojave tumora, završetak ispitivanja je 24 meseca za miševe i hrčke, a 30 meseci za pacove. Alternativno se može prihvatiti završetak takvog produženog ispitivanja kada broj preživelih u grupi sa najnižom dozom ili kontrolnoj grupi dostigne 25%. Ako se prilikom završetka ispitivanja uoče znatne razlike među polovima, svaki pol se odvojeno razmatra. Kad zbog očigledne toksičnosti pre vremena ugine samo grupa koja je primala visoku dozu, ispitivanje se ne prekida ukoliko toksičnost ne uzrokuje probleme u drugim grupama. Da bi se prihvatio negativni rezultat ispitivanja, ne sme biti izgubljeno više od 10% životinja u svakoj grupi zbog autolize, kanibalizma ili postupanja, a preživljavanje kod svih grupa ne sme da bude manje od 50% posle 18 meseci za miševe i hrčke, a posle 24 meseca za pacove.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Prateće grupe od 20 doziranih životinja po polu i 10 priključenih kontrolnih životinja po polu koje se koriste za ispitivanje hronične toksičnosti se na ispitivanju zadržavaju najmanje 12 meseci. Te životinje se lišavaju života na human način zbog ispitivanja patologije koja je u vezi sa ispitivanom supstancom, a koja nije dodatno zakomplikovana gerontološkim promenama.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Životinje u kavezima svakodnevno se posmatraju u pogledu promena na koži i krznu, očima i sluznicama, kao i disajnom, cirkulatornom, autonomnom i centralnom nervnom sistemu, promena somatomotornih aktivnosti i modela ponašanja.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životinjama u ispitivanim pratećim grupama u odgovarajućim intervalima se obavljaju klinički pregledi.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Redovno posmatranje životinja potrebno je zbog obezbeđivanja, koliko je moguće, da ne dođe do gubitka ispitivanih životinja zbog kanibalizma, autolize tkiva ili greškom. Životinje na samrti se odmah odvajaju i vrši se obdukcija.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sve životinje potrebno je zabeležiti kliničke znake, uključujući i neurološke i promene na oku i uginuća. Posebna pažnja se posvećuje razvoju tumora: vremenu nastanka, mestu, dimenzijama, izgledu i progresiji svakog vidljivog i opipljivog tumora. Potrebno je zabeležiti i vreme nastanka i progresiju toksičnih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Nedeljno se meri potrošnja hrane (i vode, kad se ispitivana supstanca daje putem vode za piće) tokom prvih 13 nedelja ispitivanja, a posle toga u intervalima od oko tri meseca, osim ako zdravstveno stanje ili promene telesne mase ne zahtevaju drugačije.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Telesna masa se beleži individualno za sve životinje, jednom nedeljno tokom prvih 13 nedelja perioda ispitivanja, a posle toga najmanje jednom u svake četiri nedelje.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Klinički pregledi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1.6.2.2.1. Hematologija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Hematološki pregled (tj. sadržaj hemoglobina, ukupna zapremina ćelija, ukupan broj crvenih krvnih ćelija, ukupan broj belih krvnih ćelija, krvnih pločica ili drugi parametri koagulabilnosti) se obavlja posle tri meseca, posle šest meseci, a posle toga u intervalima od oko šest meseci i na završetku ispitivanja na uzorcima krvi uzetih od 10 pacova po polu iz svih grupa. Ako je moguće, u svakom intervalu se uzimaju uzorci od istih pacova.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tokom posmatranja utvrdi pogoršanje zdravstvenog stanja životinja, potrebno je uraditi diferencijalnu krvnu sliku odgovarajućih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Diferencijalna krvna slika vrši se na uzorcima životinja iz grupe s najvećom dozom i kontrolne grupe. Diferencijalna krvna slika vrši se na sledećoj nižoj grupi/grupama samo ako se utvrde značajne razlike između najviše grupe i kontrole ili ako je indikovano zbog patoloških nalaza.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1.6.2.2.2. Analiza mokraće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analizu se uzimaju uzorci mokraće od 10 pacova svakog pola iz svih grupa, ako je moguće od istih pacova, u istim intervalima kao i hematološki pregledi.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svaku pojedinu životinju ili na "pool" uzorku po polu po grupi glodara određuje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izgled: zapremina i gustina po pojedinoj životinji;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proteini, glukoza, keton, okultna krv (semi-kvantitativno);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mikroskopski pregled sedimenata (semi-kvantitativno).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1.6.2.2.3. Medicinska biohemija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intervalima od oko šest meseci i na završetku ispitivanja uzimaju se uzorci krvi od svih životinja koje nisu glodari za biohemijska merenja i 10 uzoraka od pacova po polu iz svih grupa, ako je moguće uvek od istih životinja. Potrebno je uzeti prethodne uzorke od životinja koje nisu glodari. U plazmi ovih uzoraka određuje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ukupnih proteina;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albumina;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ispitivanja funkcije jetre (kao što su aktivnost alkalne fosfataze, aktivnost glutmat piruvat transaminaze</w:t>
      </w:r>
      <w:r w:rsidRPr="00984859">
        <w:rPr>
          <w:rFonts w:ascii="Arial" w:eastAsia="Times New Roman" w:hAnsi="Arial" w:cs="Arial"/>
          <w:b/>
          <w:bCs/>
          <w:sz w:val="15"/>
          <w:szCs w:val="15"/>
          <w:vertAlign w:val="superscript"/>
          <w:lang w:eastAsia="sr-Latn-RS"/>
        </w:rPr>
        <w:t>X</w:t>
      </w:r>
      <w:r w:rsidRPr="00984859">
        <w:rPr>
          <w:rFonts w:ascii="Arial" w:eastAsia="Times New Roman" w:hAnsi="Arial" w:cs="Arial"/>
          <w:lang w:eastAsia="sr-Latn-RS"/>
        </w:rPr>
        <w:t xml:space="preserve"> i aktivnost glutamat oksaloacetat transaminaze</w:t>
      </w:r>
      <w:r w:rsidRPr="00984859">
        <w:rPr>
          <w:rFonts w:ascii="Arial" w:eastAsia="Times New Roman" w:hAnsi="Arial" w:cs="Arial"/>
          <w:b/>
          <w:bCs/>
          <w:sz w:val="15"/>
          <w:szCs w:val="15"/>
          <w:vertAlign w:val="superscript"/>
          <w:lang w:eastAsia="sr-Latn-RS"/>
        </w:rPr>
        <w:t>XI</w:t>
      </w:r>
      <w:r w:rsidRPr="00984859">
        <w:rPr>
          <w:rFonts w:ascii="Arial" w:eastAsia="Times New Roman" w:hAnsi="Arial" w:cs="Arial"/>
          <w:lang w:eastAsia="sr-Latn-RS"/>
        </w:rPr>
        <w:t xml:space="preserve">), gama glutamil transpeptidaza, ornitin dekarboksilaza;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metabolizam ugljenih hidrata, kao što je glukoza u krvi posle gladovanja;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ispitivanja funkcije bubrega kao što je azot u ureji u krvi (u daljem tekstu: BUN).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w:t>
      </w:r>
      <w:r w:rsidRPr="00984859">
        <w:rPr>
          <w:rFonts w:ascii="Arial" w:eastAsia="Times New Roman" w:hAnsi="Arial" w:cs="Arial"/>
          <w:lang w:eastAsia="sr-Latn-RS"/>
        </w:rPr>
        <w:t xml:space="preserve"> poznata kao serumska alanin aminotransferaza </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w:t>
      </w:r>
      <w:r w:rsidRPr="00984859">
        <w:rPr>
          <w:rFonts w:ascii="Arial" w:eastAsia="Times New Roman" w:hAnsi="Arial" w:cs="Arial"/>
          <w:lang w:eastAsia="sr-Latn-RS"/>
        </w:rPr>
        <w:t xml:space="preserve"> poznata kao serumska aspartat aminotransferaza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1.6.2.2.4.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Kompletna obdukcija se izvodi na svim životinjama, uključujući i one koje su uginule tokom ispitivanja ili koje su lišene života na human način jer su nađene na samrti. Pre lišavanja života na human način potrebno je od svih životinja uzeti uzorke krvi za različite analize. Čuvaju se svi vidljivi tumori i ozlede za koje se sumnja da su tumori. Preduzimaju se sve mere za povezivanje uočenih promena s mikroskopskim nalazima.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Svi organi i tkiva se čuvaju za histopatološke preglede. To podrazumeva sledeće organe i tkiva: mozak</w:t>
      </w:r>
      <w:r w:rsidRPr="00984859">
        <w:rPr>
          <w:rFonts w:ascii="Arial" w:eastAsia="Times New Roman" w:hAnsi="Arial" w:cs="Arial"/>
          <w:b/>
          <w:bCs/>
          <w:sz w:val="15"/>
          <w:szCs w:val="15"/>
          <w:vertAlign w:val="superscript"/>
          <w:lang w:eastAsia="sr-Latn-RS"/>
        </w:rPr>
        <w:t>XII</w:t>
      </w:r>
      <w:r w:rsidRPr="00984859">
        <w:rPr>
          <w:rFonts w:ascii="Arial" w:eastAsia="Times New Roman" w:hAnsi="Arial" w:cs="Arial"/>
          <w:lang w:eastAsia="sr-Latn-RS"/>
        </w:rPr>
        <w:t xml:space="preserve"> (medula/pons, kora malog mozga, kora velikog mozga); hipofiza, tiroidea (uključujući paratiroideu), timus, pluća (uključujući traheju), srce, aortu, pljuvačne žlezde, jetru</w:t>
      </w:r>
      <w:r w:rsidRPr="00984859">
        <w:rPr>
          <w:rFonts w:ascii="Arial" w:eastAsia="Times New Roman" w:hAnsi="Arial" w:cs="Arial"/>
          <w:b/>
          <w:bCs/>
          <w:sz w:val="15"/>
          <w:szCs w:val="15"/>
          <w:vertAlign w:val="superscript"/>
          <w:lang w:eastAsia="sr-Latn-RS"/>
        </w:rPr>
        <w:t>XII</w:t>
      </w:r>
      <w:r w:rsidRPr="00984859">
        <w:rPr>
          <w:rFonts w:ascii="Arial" w:eastAsia="Times New Roman" w:hAnsi="Arial" w:cs="Arial"/>
          <w:lang w:eastAsia="sr-Latn-RS"/>
        </w:rPr>
        <w:t>, slezinu, bubrege</w:t>
      </w:r>
      <w:r w:rsidRPr="00984859">
        <w:rPr>
          <w:rFonts w:ascii="Arial" w:eastAsia="Times New Roman" w:hAnsi="Arial" w:cs="Arial"/>
          <w:b/>
          <w:bCs/>
          <w:sz w:val="15"/>
          <w:szCs w:val="15"/>
          <w:vertAlign w:val="superscript"/>
          <w:lang w:eastAsia="sr-Latn-RS"/>
        </w:rPr>
        <w:t>XII</w:t>
      </w:r>
      <w:r w:rsidRPr="00984859">
        <w:rPr>
          <w:rFonts w:ascii="Arial" w:eastAsia="Times New Roman" w:hAnsi="Arial" w:cs="Arial"/>
          <w:lang w:eastAsia="sr-Latn-RS"/>
        </w:rPr>
        <w:t>, nadbubrežne žlezde</w:t>
      </w:r>
      <w:r w:rsidRPr="00984859">
        <w:rPr>
          <w:rFonts w:ascii="Arial" w:eastAsia="Times New Roman" w:hAnsi="Arial" w:cs="Arial"/>
          <w:b/>
          <w:bCs/>
          <w:sz w:val="15"/>
          <w:szCs w:val="15"/>
          <w:vertAlign w:val="superscript"/>
          <w:lang w:eastAsia="sr-Latn-RS"/>
        </w:rPr>
        <w:t>XII</w:t>
      </w:r>
      <w:r w:rsidRPr="00984859">
        <w:rPr>
          <w:rFonts w:ascii="Arial" w:eastAsia="Times New Roman" w:hAnsi="Arial" w:cs="Arial"/>
          <w:lang w:eastAsia="sr-Latn-RS"/>
        </w:rPr>
        <w:t>, jednjak, želudac, duodenum, jejenum, ileum, slepo crevo, kolon, rektum, mokraćna bešika, limfni čvorovi, pankreas, pollne žlezde</w:t>
      </w:r>
      <w:r w:rsidRPr="00984859">
        <w:rPr>
          <w:rFonts w:ascii="Arial" w:eastAsia="Times New Roman" w:hAnsi="Arial" w:cs="Arial"/>
          <w:b/>
          <w:bCs/>
          <w:sz w:val="15"/>
          <w:szCs w:val="15"/>
          <w:vertAlign w:val="superscript"/>
          <w:lang w:eastAsia="sr-Latn-RS"/>
        </w:rPr>
        <w:t>XII</w:t>
      </w:r>
      <w:r w:rsidRPr="00984859">
        <w:rPr>
          <w:rFonts w:ascii="Arial" w:eastAsia="Times New Roman" w:hAnsi="Arial" w:cs="Arial"/>
          <w:lang w:eastAsia="sr-Latn-RS"/>
        </w:rPr>
        <w:t xml:space="preserve">, pomoćni genitalni organi; ženska mlečna žlezda, koža, muskulatura, periferni živci, kičma (cervikalna, torakalna, lumbalna), sternum sa koštanom srži i femur (sa zglobom) i oči.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inflacija (naduvavanje) pluća i mokraćne bešike pomoću fiksativa predstavlja optimalni način za konzerviranje tih tkiva, u ispitivanjima inhalacione toksičnosti naduvavanje pluća je neophodno za odgovarajući histopatološki pregled. Kod specifičnih ispitivanja, kao što su ispitivanja inhalacione toksičnosti, potrebno je pregledati ceo respiratorni trakt, uključujući i nos, ždrelo i grkljan.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obavljaju druga klinička ispitivanja, dobijeni podaci treba da budu dostupni pre mikroskopskog pregleda, jer patologu mogu dati značajne smernice.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XII</w:t>
      </w:r>
      <w:r w:rsidRPr="00984859">
        <w:rPr>
          <w:rFonts w:ascii="Arial" w:eastAsia="Times New Roman" w:hAnsi="Arial" w:cs="Arial"/>
          <w:lang w:eastAsia="sr-Latn-RS"/>
        </w:rPr>
        <w:t xml:space="preserve"> Meri se masa organima (uzetim od po 10 životinja po polu po grupi glodara)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1.6.2.2.5. Histopatologija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deo ispitivanja hronične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detaljno pregledati sve sačuvane organe svih životinja iz prateće grupe visoke doze i iz kontrolne grupe. Ako se patološki nalaz uzorka iz prateće grupe visoke doze može povezati s ispitivanom supstancom, ciljni organi svih životinja iz ostalih tretiranih pratećih grupa se na kraju ispitivanja podvrgavaju potpunom i detaljnom histološkom pregledu, kao i oni iz pogođenih grupa iz dela ispitivanja karcinogenosti.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deo ispitivanja karcinogenosti: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Na organima i tkivima svih životinja koje su uginule ili bile lišene života na human način tokom ispitivanja, kao i svih životinja iz kontrolne grupe i grupe visoke doze obavlja se potpuni histopatološki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Svi tumori vidljivi golim okom ili promene za koje se sumnja da su tumori nađene kod svih grupa i na bilo kom organu pregledaju se mikroskopski;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Ukoliko postoji značajna razlika u učestalosti pojave neoplastičnih promena kod grupe visokog doznog nivoa i kontrolne grupe, potrebno je obaviti histopatološki pregled na određenom organu ili tkivu u drugim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Ako je preživljavanje kod grupe visokog doznog nivoa znatno manje nego u kontrolnoj grupi, potrebno je detaljno pregledati sledeću grupu sa nižim nivoom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Ako kod grupe visokog doznog nivoa postoji dokaz o uzrokovanju toksičnosti ili o drugim efektima koji mogu da utiču na neoplastičnu reakciju, potrebno je detaljno pregledati grupu sledećeg nižeg doznog nivoa.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i za svaku ispitivanu grupu navodi se: broj životinja na početku ispitivanja, broj životinja kod kojih su se pojavili tumori ili toksični efekti utvrđenih tokom ispitivanja, vreme otkrivanja i broj životinja kod kojih su tumori ustanovljeni po lišavanju života na human način. Rezultati se procenjuju odgovarajućom statističkom metodom. Može se primeniti bilo koja priznata statistička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Vrsti, soju, izvoru, uslovima sredine, ishrani.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Uslovima ispitivanja: opis aparature za inhalaciono izlaganje (uključujući dizajn, tip, dimenzije, izvor vazduha, sistem generisanja čestica i aerosola, način klimatizovanja vazduha, tretman iskorišćenog vazduha i metoda smeštaja životinja u eksperimentalnim komorama, ako se primenjuju. Opisuje se uređaj za merenje temperature, vlažnosti i, kada odgovara, stabilnosti koncentracije aerosola i veličine čestica).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Izlaganju: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ovi podaci se navode u obliku tabele u kojoj se prikazuju srednje vrednosti i mera odstupanja (tj. standardna devijacija) i uključuju: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podatke o protoku vazduha kroz opremu za inhalaciju;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temperaturu i vlažnost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nominalne koncentracije (ukupna količine ispitivane supstance dodate u opremu za inhalaciju, podeljena sa zapreminom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prirodu rastvarača, ako je korišćen;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koncentraciju u zoni udisanja;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đ) srednju veličina čestica (gde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doznim nivoima (uključujući rastvarač, ako se koristi) i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učestalosti pojave tumora po polu, dozi i tipu tumora;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smrti tokom ispitivanja ili da li su životinje preživele do kraja, uključujući prateću grupu;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toksičnoj reakciji po polu i dozi;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toksičnih ili drugih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uočavanja svakog znaka abnormalnosti i njen dalji tok;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oftalmološkim nalazima;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hrani i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primenjenim hematološkim ispitivanjima i svim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primenjenim medicinsko-biohemijskim ispitivanjima i svim rezultatima (uključujući i analizu urina);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obdukcionim nalazima;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obradi rezultata sa opisom primenjenih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B.34. ISPITIVANJE TOKSIČNOSTI PO REPRODUKCIJU NA JEDNOJ GENERACIJI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primenjuje se u rastućim dozama u grupama mužjaka i ženki. Mužjacima se daje supstanca tokom rasta i tokom najmanje jednog spermatogenenog ciklusa (oko 56 dana kod miša, a 70 dana kod pacova) kako bi se izazvali štetni efekti supstance koja se ispituje na spermatogenezu.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Ženke roditeljske (P) generacije se doziraju tokom najmanje dva kompletna ciklusa "estrusa" kako bi se izazvali štetni efekti ispitivane supstance po "estrus". Posle toga se životinje pare. Ispitivana supstanca se primenjuje kod oba pola tokom perioda parenja, a posle toga samo ženkama tokom graviditeta i tokom perioda dojenja.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primenu inhalacionim putem metoda zahteva modifikaciju.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ispitivanja zdrave mlade životinje se slučajnim izborom raspoređuju u tretirane i kontrolne grupe. Životinje se drže u uslovima eksperimentalnog smeštaja i ishrane najmanje pet dana pre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da se ispitivana supstanca daje u hrani ili vodi za piće. Prihvataju se i drugi putevi primene. Tokom odgovarajućeg eksperimentalnog perioda svim životinjama se daje supstancu na isti način. Ako se upotrebljava rastvarač ili aditivi da bi se olakšalo doziranje, oni ne smeju da izazivaju toksični efekat.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Doziranje je sedam dana nedeljno.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1.6.1.1. Eksperimentalne životinje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1.6.1.1.1. Izbor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Preporučene vrste su pacovi ili miševi. Koriste se zdrave životinje koje ranije nisu bile podvrgnute ispitivanjima. Ne koriste se sojevi za koje se zna da su slabo plodni. Eksperimentalne životinje treba okarakterisati po vrsti, soju, polu, telesnoj masi i/ili starosti.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adekvatnu procenu plodnosti potrebno je posmatrati i mužjake i ženke. Kada ispitivanje započne nijedna eksperimentalna životinja, bilo iz tretirane ili iz kontrolne grupe, ne sme da bude u fazi sisanja.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Svaka eksperimentalna i kontrolna grupa ima dovoljan broj životinja kako bi se dobilo oko 20 gravidnih ženki neposredno pre ili blizu okota.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Cilj je da se proizvede dovoljno trudnoća i potomstva kako bi se obezbedila svrsishodna procena potencijala supstance da utiče na plodnost, graviditet i majčinsko ponašanje u P generaciji životinja, i odojčad, rast i razvoj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potomaka od začeća do odbijanja od sise.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Obezbeđuje se slobodan pristup hrani i vodi. Uoči koćenja, gravidne ženke se smeštaju u posebne kaveze za koćenje ili uzgoj i daje im se materijal za gnežđenje.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najmanje tri tretirane grupe i kontrolna grupa. Ako se za primenu ispitivane supstance upotrebljava rastvarač, kontrolna grupa prima najveću korišćenu zapreminu rastvarača. Ukoliko ispitivana supstanca uzrokuje smanjeno uzimanje ili iskorišćenost hrane, neophodno je koristiti dodatnu kontrolnu grupu koja bi se hranila. U idealnom slučaju, osim ako postoji ograničenje fizičko/hemijske prirode ili biološki efekti ispitivane supstance, najviši dozni nivo izaziva toksičnost, ali ne smrtnost kod životinja roditelja (P). Srednja doza izaziva minimalne toksične efekte koji bi se mogli pripisati ispitivanoj supstanci, a niska doza ne izaziva nikakve primetne štetne efekte kod roditelja ili potomaka. Kada se daje prisilnim hranjenjem ili kao kapsula, doza koja se daje svakoj životinji određuje se prema njenoj telesnoj masi i podešavati svake nedelje prema promenama telesne mase. Doze za gravidne ženke mogu se određivati prema telesnoj masi nultog ili šestog dana graviditeta, ako je poželjno.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1.6.1.5.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supstance sa niskom toksičnošću, ako dozni nivo od najmanje 1.000 mg/kg ne proizvodi nikakav dokaz interferencije sa reprodukcijom, ispitivanja pri drugim doznim nivoima nisu neophodna. Ako preliminarno ispitivanje pri visokom doznom nivou sa jasnim dokazom toksičnosti po majku ne pokaže štetne efekte na plodnost, nisu neophodna ispitivanja drugih doznih nivoa.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Izvođenje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Eksperimentalni rasporedi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Dnevno doziranje roditeljskih (P) mužjaka se počinje kad su stari oko pet do devet nedelja, a nakon što su odbijeni od sise i aklimatizovani najmanje pet dana. Kod pacova doziranje se nastavlja 10 nedelja pre perioda parenja (kod miševa osam nedelja). Mužjaci se lišavaju života na human način i pregledaju ili na kraju perioda parenja ili se, alternativno, mužjaci mogu zadržati na eksperimentalnoj ishrani za moguću produkciju drugog legla i usmrtiti i pregledati negde pre kraja studije. Doziranje roditeljskih (P) ženki počinje se posle najmanje pet dana aklimatizacije i nastavlja najmanje dve nedelje pre parenja. Dnevno doziranje P ženki nastavlja se tokom perioda parenja od tri nedelje, graviditeta i do odbijanja od sisa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potomaka. Potrebno je razmotriti modifikaciju rasporeda doziranja na osnovu drugih podataka o ispitivanoj supstanci, kao što su podaci o indukciji metabolizma ili bioakumulaciji.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Postupak parenja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ispitivanju reproduktivne toksičnosti primenjuje se parenje 1:1 (jedan mužjak s jednom ženkom) ili 1:2 (jedan mužjak s dve ženke).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postupka parenja 1:1, jedna ženka se smešta s istim mužjakom do pojave graviditeta ili posle isteka perioda od tri nedelje. Svakog jutra ženka se pregleda na prisutnost sperme ili vaginalnog čepa. Nulti dan graviditeta definiše se kao dan kada je utvrđena prisutnost sperme ili vaginalnog čepa.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Parovi koji ne uspeju da se spare procenjuju se kako bi se utvrdio uzrok neplodnosti.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Taj postupak može da uključi procedure kao što su dodatna mogućnost parenja sa drugim plodnim mužjacima ili ženkama, mikroskopski pregled reproduktivnih organa i ispitivanja ciklusa "estrusa" ili spermatogeneze.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Veličine legla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Životinjama koje su primale supstancu tokom ispitivanja plodnosti dozvoljava se normalno koćenje i podizanje mladih do stadijuma odbijanja od sise, bez standardizacije legla.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Tamo gde se primenjuje standardizacija preporučuje se sledeća procedura: između prvog i četvrtog dana posle rođenja veličina legla se može podesiti odstranjivanjem prekobrojnih mladunaca selekcijom kako bi se postiglo, što je približnije moguće, veličina od četiri mužjaka i četiri ženke po leglu. Ako broj mužjaka ili ženki ne dopušta selekciju od četiri mladunca svakog pola po leglu, prihvatljivo je i delimično sastavljanje (npr. pet mužjaka i tri ženke). Prilagođavanje se ne obavlja u leglima s manje od osam mladih.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perioda ispitivanja potrebno je bar jednom dnevno posmatrati svaku životinju. Beleže se promene ponašanja, znaci teškog ili produženog koćenja i svi znaci toksičnosti, uključujući i mortalitet. Za vreme perioda pred parenje i perioda parenja potrebno je dnevno obavljati merenje potrošnje hrane. Posle koćenja i za vreme dojenja merenje potrošnje hrane (i vode, ako se ispitivana supstanca daje u vodi za piće) se obavlja istog dana kad i merenje mase legla. Telesna masa P mužjaka i ženki meri se prvog dana doziranja, a posle toga jednom nedeljno. Ova zapažanja se navode za svaku odraslu životinju pojedinačno.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Trajanje gestacije računa se od nultog dana graviditeta. Svako leglo se pregleda što je moguće pre po porođaju, kako bi se utvrdio broj i pol mladih, mrtvorođenih, živih mladih i prisutnost većih anomalija.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Mrtvorođeni i mladunci koji su lišeni života na human način četvrtog dana čuvaju se i ispituju kako bi se utvrdili mogući defekti. Živi mladunci se prebrojavaju i meri se masa legla jutro posle rođenja i četvrtog i sedmog dana, a posle toga jednom nedeljno, sve do završetka studije, kada se životinje mere pojedinačno. Beleže se fizičke ili abnormalnosti u ponašanju kod ženki ili mladunaca.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Patologija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1.6.2.5.1.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vreme lišavanja života na human način ili smrti tokom ispitivanja životinje P generacije se makroskopski pregledaju kako bi se utvrdile strukturne abnormalnosti ili patološke promene, s posebno posvećenom pažnjom na pregled organa reproduktivnog sistema. Mrtvi ili umirući mladunci se pregledaju kako bi se uočili defekti.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1.6.2.5.2. Histopatologija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Jajnici, uterus, cerviks, vagina, testisi, epididimisi, semene kesice, prostata, koagulišuća žlezda, hipofiza i ciljni organ(i) svih P životinja se čuvaju za mikroskopski pregled. U slučaju da se ti organi ne pregledaju u ispitivanjima drugih doznih nivoa, potrebno ih je mikroskopski pregledati kod svih životinja izloženih visokim dozama i kod kontrolnih životinja i onih koje su uginule tokom studije kada je izvodljivo.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Organi koji pokazuju abnormalnosti kod tih životinja pregledaju se i kod svih drugih P životinja. Tom prilikom potrebno je izvršiti mikroskopski pregled svih tkiva koja pokazuju veće patološke promene. Kao što je preporučeno kod postupka parenja, reproduktivni organi životinja kod kojih postoji sumnja na neplodnost podvrgavaju se mikroskopskom pregledu.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tako da se za svaku ispitivanu grupu navodi: broj životinja na početku ispitivanja, broj plodnih mužjaka, broj gravidnih ženki, tipovi promena i procenat životinja koje pokazuju svaki tip promene.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moguće, numerički rezultati se ocenjuju pomoću odgovarajuće statističke metode. Može se primeniti bilo koja prihvaćena statistička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vrsti/soju;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toksičnom odgovoru po polu i dozi, uključujući plodnost, gestaciju i viabilitet;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vremenu smrti tokom studije ili da li su životinje preživele do trenutka predviđenog lišavanja života na human način ili završetka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tabeli sa podacima o telesnoj masi svakog legla, srednja vrednost: masa mladunaca i pojedinačna telesna masa mladunaca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toksičnim ili drugim efektima na reprodukciju, potomke ili postnatalni rast;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danu utvrđivanja svakog abnormalnog znaka i njegovog daljeg toka;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telesnoj masi P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nalazima obdukcije;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mikroskopskih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statističkoj obradi rezultata, gde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B.35. ISPITIVANJE TOKSIČNOSTI PO REPRODUKCIJU NA DVE GENERACIJE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416 (2001).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ispitivanja reprodukcije na dve generacije namenjena je da obezbedi opšte podatke u vezi efekata ispitivane supstance na integritet i učinak muških i ženskih reproduktivnih sistema, uključujući funkciju polnih žlezda, estrus ciklus, parenje, začeće, gestaciju, porođaj, laktaciju i odbijanje od sise i rast i razvoj potomstva. Studija može da pruži i podatke o efektima ispitivane supstance na neonatalni morbiditet, mortalitet i preliminarne podatke o prenatalnoj i postnatalnoj toksičnosti po rast i razvoj i da usmeri buduća ispitivanja. Pored proučavanja rasta i razvoja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generacije, ova eksperimentalna metoda se predviđa i za procenu integriteta i sposobnosti muških i ženskih reproduktivnih sistema, kao i rasta i razvoja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generacije. Za dodatne podatke o toksičnosti po rast i razvoj i funkcionim nedostacima, u ovaj protokol mogu se uključiti dodatni segmenti ispitivanja, konsultujući metode za toksičnost po rast i razvoj i/ili neurotoksični efekti za rast i razvoj neurotoksičnost u periodu rasta i razvoja, ako odgovara, ili se ovi efekti mogu proučavati u posebnim studijama, koristeći odgovarajuće eksperimentalne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daje u rastućim dozama muškim i ženskim jedinkama u grupama. Mužjacima P generacije daju se doze za vreme rasta i tokom bar jednog celog ciklusa spermatogeneze (približno 56 dana kod miševa i 70 dana kod pacova) kako bi se izazvali svi štetni efekti na spermatogenezu. Efekti na spermu se određuju brojnim parametrima sperme (npr. morfologija i pokretljivost spermatozoida) i pripremom tkiva i detaljnom </w:t>
      </w:r>
      <w:r w:rsidRPr="00984859">
        <w:rPr>
          <w:rFonts w:ascii="Arial" w:eastAsia="Times New Roman" w:hAnsi="Arial" w:cs="Arial"/>
          <w:lang w:eastAsia="sr-Latn-RS"/>
        </w:rPr>
        <w:lastRenderedPageBreak/>
        <w:t>histopatologijom. Ukoliko postoje podaci o spermatogenezi iz prethodne studije koja je trajala dovoljno dugo i u kojoj je primenjeno ponovljeno doziranje, npr. 90-dnevna studija, mužjake P generacije nije potrebno uključiti u procenu. Preporučuje se da uzorci ili digitalni snimci sperme P generacije budu sačuvani kako bi se omogućila kasnija procena. Ženke P generacije se doziraju tokom rasta i tokom nekoliko estrus ciklusa kako bi se uočili bilo kakvi štetni efekti ispitivane supstance na normalnost estrus ciklusa. Ispitivana supstanca se daje roditeljskim (P) životinjama za vreme parenja, za vreme graviditeta koji su usledili i tokom odbijanja od sise njihovog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potomstva. Po odbijanju od sise nastavlja se sa davanjem supstance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potomstvu tokom njihovog rasta do odraslog doba, parenja i produkcije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generacije, sve dok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generacija ne bude odbijena od sise.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Obavljaju se klinička opažanja i patološki pregledi na svim životinjama kako bi se utvrdili znakovi toksičnosti sa posebnim naglaskom na efekte na integritet i sposobnost muških i ženskih reproduktivnih sistema i rast i razvoj potomstva.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1.3.1. Izbor životinjskih vrsta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Preporučena vrsta za ispitivanje je pacov. Ukoliko se koriste druge vrste, daje se opravdanje, a neophodne su i odgovarajuće izmene metode. Ne koriste se sojevi sa slabom plodnošću ili oni sa poznatom visokom učestalošću pojave nedostataka u rastu i razvoju. Na početku studije, varijacija u telesnoj masi životinja koje se koriste mora biti minimalna i ne sme da prelazi 20% srednje telesne mase za svaki pol.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1.3.2. Uslovi smeštaja i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u eksperimentalnoj prostoriji za životinje je 22° C (± 3 °C). Relativna vlažnost je najmanje 30%, i po mogućnosti ne prelazi 70%, osim za vreme čišćenja prostorije. Idealna vlažnost je 50% do 60%. Osvetljenje je veštačko, uz izmenu 12 sati svetla i 12 sati mraka. Za hranjenje se koristi uobičajena laboratorijska ishrana uz neograničenu količinu vode za piće. Izbor ishrane je pod uticajem potrebe da se obezbedi odgovarajuća mešavina ispitivane supstance koja se primenjuje ovom metodom.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mogu biti smeštene pojedinačno ili u kavezima u malim grupama istog pola. Parenje se obavlja u odgovarajućim kavezima. Posle dokazane kopulacije, sparene ženke se smeštaju pojedinačno u kaveze za porođaj ili materinstvo. Spareni pacovi mogu se držati u malim grupama i odvojeni jedan ili dva dana pre koćenja. Sparenim životinjama se obezbeđuje određeni odgovarajući materijal za gnežđenje neposredno pre porođaja.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1.3.3.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Koriste se zdrave mlade životinje koje su se aklimatizovale na laboratorijske uslove tokom najmanje pet dana i koje nisu bile podvrgnute prethodnim eksperimentalnim postupcima. Eksperimentalne životinje treba okarakterisati prema vrsti, soju, izvoru, polu, telesnoj masi i/ili starosti. Kako bi se izbeglo parenje srodnih životinja mora biti poznato bilo koje srodstvo među životinjama. Životinje se slučajnim izborom razvrstavaju u kontrolne ili tretirane grupe (preporučuje se stratifikacija po telesnoj masi). Kavezi se raspoređuju tako da se smanje mogući efekti rasporeda kaveza. Svakoj životinji se pripisuje jedinstveni identifikacioni broj. Za P generaciju ovo se radi pre početka doziranja. Za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generaciju ovo se radi prilikom odbijanja od sise za životinje koje su odabrane za parenje. Podaci o leglu iz kog potiče životinja čuvaju se za sve izabrane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životinje. Pojedinačna identifikacija mladunaca odmah posle rođenja preporučuje se prilikom individualnog merenja mladunaca ili prilikom razmatranja bilo kakvog funkcionalnog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Roditeljske (P) životinje treba da budu stare oko pet do devet nedelja na početku doziranja. Životinje svih eksperimentalnih grupa su, koliko je izvodljivo, ujednačene telesne mase i starosti.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Broj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Svaka eksperimentalna i kontrolna grupa ima dovoljan broj životinja kako bi se dobilo ne manje od 20 gravidnih ženki na porođaju ili pred porođaj. Za supstance koje uzrokuju neželjene efekte tokom tretmana (npr. sterilnost, izražena toksičnost pri visokim dozama) ovo nije moguće. Cilj je da se dobije dovoljno trudnoća kako bi se obezbedila značajna ocena potencijala supstance da utiče na plodnost, trudnoću i materinsko ponašanje, sisanje, rast i razvoj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potomstva od začeća do zrelosti, kao i na rast i razvoj njihovog potomstva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do odbijanja od sise. Ako se ne postigne željeni broj gravidnih životinja (odnosno 20) studija se ne smatra obavezno neodgovarajućom i procenjuje se od slučaja do slučaja.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da se ispitivana supstanca daje peroralno (putem hrane, vode za piće ili sondom), osim ukoliko se neki drugi put primene (npr. dermalno ili inhalaciono) ne smatra prikladnijim.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je potrebno, ispitivana supstanca se rastvara ili suspenduje u odgovarajućem vehikulumu. Preporučuje se da se, kada god je moguće, koristi vodeni rastvor/suspenzija, a zatim da se razmotri rastvor/emulzija u ulju (npr. kukuruzno ulje) i zatim rastvor u nekom drugom vehikulumu. Za vehikulume koji nisu voda moraju biti poznate toksične karakteristike. Potrebno je odrediti stabilnost ispitivane supstance u vehikulumu.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Doziranje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najmanje tri dozna nivoa i istovremena kontrola. Osim ukoliko nije ograničena fizičkom i hemijskom prirodom ili biološkim efektima ispitivane supstance, bira se najveći dozni nivo sa ciljem da se izazove toksičnost ali ne smrt ili teška patnja. U slučaju neočekivane smrtnosti, studija sa stopom smrtnosti od manje od 10% kod roditeljskih (P) životinja još uvek je prihvatljiva. Opadajući niz doznih nivoa bira se tako da se pokaže bilo kakav efekat povezan sa doziranjem i nivoom doza pri kojima se ne primećuju štetni efekti (NOAEL). Često su optimalni dvostruki do četvorostrukih intervala za postavljanje opadajućih doznih nivoa, a dodatak četvrte eksperimentalne grupe je često prihvatljiviji od korišćenja vrlo velikih intervala (npr. više od faktora 10) između doziranja. Za studije ishrane intervali doza ne smeju biti veći od trostrukih. Nivoi doza se biraju uzimajući u obzir bilo koje postojeće podatke o toksičnosti, posebno rezultate iz studija s ponovljenim doziranjem. Uzimaju se u obzir bilo koji raspoloživi podaci o metabolizmu i kinetici ispitivanog jedinjenja ili sličnih materijala. Ovi podaci pomažu u pokazivanju adekvatnosti režima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Kontrolna grupa je netretirana grupa ili grupa sa vehikulumom ukoliko se on koristi za primenu ispitivane supstance. Osim tretmana sa ispitivanom supstancom, životinje u kontrolnim grupama se tretiraju na identičan način kao i jedinke iz tretiranih grupa ispitivanja. Ukoliko se koristi vehikulum, kontrolna grupa dobija vehikulum u najvećoj zapremini koja se koristi. Ukoliko se ispitivana supstanca daje putem hrane i uzrokuje smanjeno uzimanje ili iskoristljivost hrane, korišćenje kontrolne grupe za unos hrane može se smatrati neophodnim. Alternativno, podaci iz kontrolisanih studija namenjenih za ocenjivanje efekata smanjene potrošnje hrane na reproduktivne parametre koriste se umesto istovremene kontrolne grupe za unos 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Uzimaju se u obzir sledeće karakteristike vehikuluma i drugih aditiva: efekti na apsorpciju, raspodelu, metabolizam ili zadržavanje ispitivane supstance; efekte na hemijska svojstva ispitivane supstance koja mogu izmeniti njena toksična svojstva i efekte na potrošnju hrane ili vode, ili na nutritivni status životinja.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u oralnoj studiji pri jednom doznom nivou od najmanje 1.000 mg/kg TM/dan ili, za primenu putem hrane ili vode odgovarajući procenat koji se koristi u postupku opisanom u ovoj studiji, ne uzrokuje uočljive toksične efekte kod roditeljskih životinja ili njihovog potomstva, i ako se toksičnost ne može očekivati na osnovu podataka iz strukturno i/ili metabolički sličnih jedinjenja, nije neophodna cela studija uz korišćenje nekoliko doznih nivoa. Primenjuje se ispitivanje granične doze, osim u slučaju kad izloženost ljudi ukazuje na potrebu za korišćenjem viših nivoa oralne doze. Za druge načine primene kao što su inhalacija i dermalna primena, fizička i hemijska svojstva ispitivane supstance, kao što su rastvorljivost, često mogu ukazati na granicu najvećeg ostvarljivog nivoa izlaganja.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1.4.5.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doziraju ispitivanom supstancom sedam dana u nedelji. Preporučuje se oralna primena (hrana, piće ili sonda). Ukoliko se koristi neki drugi put primene, to se opravdava i vrše se potrebne izmene. Sve životinje se doziraju na isti način tokom odgovarajućeg perioda ispitivanja. Kad se ispitivana supstanca primenjuje sondom, primena se obavlja putem trbušne cevi. Zapremina primenjene tečnosti ne sme preći 1 ml/kg TM (0,4 ml/100 g TM najviše za kukuruzno ulje), osim u slučaju vodenih rastvora gde se može koristiti 2 ml/100 g TM. Osim kod iritabilnih i korozivnih supstanci koje pokazuju lošije efekte u većim koncentracijama, varijabilnost zapremine koja se primenjuje minimalizuje se prilagođavanjem koncentracije kako bi se obezbedila konstantna zapremina pri svim doznim nivoima. Kod prisilnog hranjenja mladunci primaju eksperimentalnu supstancu kroz mleko, sve dok se ne mogu direktno dozirati posle odbijanja od sise. Kada se supstanca primenjuje putem hrane ili vode za piće, mladunci dodatno primaju ispitivanu supstancu čim počnu samostalno da se hrane za vreme poslednje nedelje perioda laktacije.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supstance koja se daje putem hrane ili vode za piće, važno je obezbediti da količina primenjene ispitivane supstance ne utiče na balans normalne ishrane ili vode. Kad se ispitivana supstanca daje putem hrane, može se koristiti stalna prehrambena koncentracija (ppm) ili stalni dozni nivo prema telesnoj masi životinje. Alternativne metode se obrazlažu. Ukoliko se supstanca daje prisilno, doza se primenjuje u slično vreme svakog dana i prilagođena najmanje nedeljno kako bi se održao konstantni dozni nivo u odnosu na telesnu masu životinje. Podaci o placentalnoj raspodeli uzimaju se u obzir prilikom prilagođavanja prisilne doze zasnovane na telesnoj masi.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1.4.6. Eksperimentalni rasporedi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Dnevno doziranje roditeljskih (P) mužjaka i ženki započinje se kad su stari pet do devet nedelja. Dnevno doziranje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mužjaka i ženki započinje po odbijanju od sise. U slučaju primene ispitivane supstance putem hrane ili vode za piće, direktno izlaganje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mladunaca ispitivanoj supstanci može započeti već za vreme perioda laktacije. Za oba pola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doziranje se nastavlja najmanje 10 nedelja pre perioda parenja. Doziranje se nastavlja za oba pola za vreme dvonedeljnog perioda parenja. Muške jedinke se lišavaju života na human način i pregledaju kada više ne budu potrebne za ocenjivanje reproduktivnih efekata. Za roditeljske (P) ženke, doziranje se nastavlja tokom trudnoće i sve do odbijanja od sise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potomaka. Uzimaju se u obzir modifikacije u rasporedu doziranja na osnovu raspoloživih podataka o ispitivanoj supstanci, uključujući postojeće podatke o toksičnosti, indukciji </w:t>
      </w:r>
      <w:r w:rsidRPr="00984859">
        <w:rPr>
          <w:rFonts w:ascii="Arial" w:eastAsia="Times New Roman" w:hAnsi="Arial" w:cs="Arial"/>
          <w:lang w:eastAsia="sr-Latn-RS"/>
        </w:rPr>
        <w:lastRenderedPageBreak/>
        <w:t xml:space="preserve">metabolizma ili bioakumulaciji. Doza za svaku životinju je zasnovana na najskorijim merenjima telesne mase. Obratiti pažnju prilikom prilagođavanja doze tokom poslednjeg tromesečja trudnoće.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Tretiranje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mužjaka i ženki nastavlja se do lišavanja života na human način. Sve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odrasli mužjaci i ženke se lišavaju života na human način kada više nisu potrebni za procenu reproduktivnih efekata.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potomstvo koje nije odabrano za parenje i čitavo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potomstvo lišava se života na human način posle odbijanja od sise.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1.4.7. Postupak parenja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1.4.7.1. Roditeljsko (P) parenje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svako parenje svaka ženka se smešta sa jednim mužjakom iz istog doznog nivoa (1:1 parenje) sve dok ne dođe do kopulacije ili dok ne proteknu dve nedelje. Ženke se svaki dan pregledaju na prisutnost sperme ili vaginalnog čepa. Nulti dan trudnoće definiše se kao dan kad se pronađe sperma ili vaginalni čep. U slučaju da parenje nije uspešno, razmatra se ponovno parenje ženki sa dokazanim mužjacima iz iste grupe. Parovi se jasno označavaju u podacima. Parenje srodnih jedinki se izbegava.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1.4.7.2. F</w:t>
      </w:r>
      <w:r w:rsidRPr="00984859">
        <w:rPr>
          <w:rFonts w:ascii="Arial" w:eastAsia="Times New Roman" w:hAnsi="Arial" w:cs="Arial"/>
          <w:i/>
          <w:iCs/>
          <w:sz w:val="15"/>
          <w:szCs w:val="15"/>
          <w:vertAlign w:val="subscript"/>
          <w:lang w:eastAsia="sr-Latn-RS"/>
        </w:rPr>
        <w:t>1</w:t>
      </w:r>
      <w:r w:rsidRPr="00984859">
        <w:rPr>
          <w:rFonts w:ascii="Arial" w:eastAsia="Times New Roman" w:hAnsi="Arial" w:cs="Arial"/>
          <w:i/>
          <w:iCs/>
          <w:lang w:eastAsia="sr-Latn-RS"/>
        </w:rPr>
        <w:t xml:space="preserve"> parenje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parenje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potomstva izabere se najmanje jedan mužjak i jedna ženka pri odbijanju od sise iz svakog legla za parenje sa drugim mladuncima iz istog doznog nivoa ali iz drugog legla, kako bi se proizvela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generacija. Izbor mladunaca iz svakog legla je slučajan ukoliko se ne uoče značajne razlike u telesnoj masi ili izgledu između jedinki u leglu. U slučaju da se takve razlike uoče, biraju se najbolji predstavnici svakog legla. Ovo se najbolje obavlja na osnovu telesne mase ali može biti pogodnije da se obavi na osnovu izgleda.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potomstvo se ne pari sve dok ne dostigne punu seksualnu zrelost.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Parovi bez potomaka pregledaju se kako bi se utvrdio uzrok neplodnosti. To može uključivati postupke kao što su: dodatne prilike za parenje sa drugim dokazanim jedinkama, mikroskopski pregled reproduktivnih organa i ispitivanje estrus ciklusa ili spermatogeneze.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1.4.7.3. Drugo parenje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nekim slučajevima, kao što su promene u veličini legla povezane sa tretmanom ili uočavanje sumnjivog efekta za vreme prvog parenja, preporučuje se da se P ili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odrasle jedinke ponovo pare kako bi se proizvelo drugo leglo. Preporučuje se da se ponovno pare mužjaci ili ženke koje nisu proizvele potomstvo s dokazanim priplodnim životinjama suprotnog pola. Ukoliko se smatra da je drugo leglo neophodno u bilo kojoj generaciji, životinje se ponovno pare približno jednu nedelju posle odbijanja od sise prethodnog legla.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1.4.7.4. Veličina legla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Životinjama se omogućava da imaju normalna legla i da odgajaju svoje potomstvo do odbijanja od sise. Standardizacija veličine legla nije obavezna. Ako se izvodi standardizacija, korišćena metoda se detaljno opisuje.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POSMATRANJA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Klinička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Svakog dana se obavlja opšta klinička posmatranja, a u slučaju prisilnog hranjenja njegov vremenski raspored uzima u obzir predviđeno vreme za pojavu maksimalnih efekata posle doziranja. Beleže se promene u ponašanju, znaci teškog ili dugotrajnog koćenja i svi znaci toksičnosti. Detaljniji pregled svake životinje obavlja se najmanje jednom nedeljno i najbolje ga je obavljati prilikom merenja telesne mase životinja. Dva puta dnevno, a tokom vikenda jednom dnevno, kad odgovara, sve životinje se pregledaju na morbiditet i smrtnost.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Telesna masa i konzumiranje, hrane/vode roditeljskih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Telesna masa roditeljskih životinja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meri se prvog dana doziranja i najmanje jednom nedeljno posle toga. Telesna masa roditeljskih ženki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meri se najmanje nultog, sedmog, četrnaestog, dvadesetog ili dvadeset prvog dana gestacije, kao i za vreme laktacije u iste dane kada se meri masa legla i na dan kad se životinje lišavaju života na human način. Ova opažanja se navode pojedinačno za svaku odraslu životinju. Pre parenja i u periodu gestacije potrošnja hrane se meri najmanje jednom nedeljno. Unos vode meri se najmanje jednom nedeljno ukoliko se ispitivana supstanca primenjuje putem vode.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Estrus ciklus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Dužina i normalnost estrus ciklusa ocenjuju se za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ženke vaginalnim brisevima pre parenja i po izboru za vreme parenja, dok se ne pronađu dokazi parenja. Kod dobijanja vaginalnih/cervikalnih ćelija, pazi se kako bi se izbeglo nadraživanje (prekidanje, perturbacija, poremećaj) sluznice i potom izazivanje lažne trudnoće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Parametri sperme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sve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mužjake prilikom lišavanja života na human način beleži se masa testisa i epididimisa i po jedan od organa se čuva za histopatološki pregled (videti odeljke 1.5.7. i 1.5.8.1. ove metode). Od podskupa od najmanje deset mužjaka iz svake grupe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mužjaka preostali testisi i epididimisi se koriste za prebrojavanje spermatida otpornih na homogenizaciju i rezerve spermatozoida kaudalnog dela epididimisa. Iz iste podgrupe mužjaka spermatozoidi iz kaude epididimidisa ili vas deferens-a se prikupljaju zbog ocenjivanja njihove mobilnosti i morfologije. Ukoliko se uoče efekti u vezi sa tretmanom ili kada postoje dokazi o tome iz drugih studija o mogućim efektima na spermatogenezu, ocenjivanje spermatozoida se obavlja kod svih mužjaka u svakoj doznoj grupi. U protivnom se brojanje može ograničiti na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mužjake iz kontrolne i visokodozne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Broji se ukupni broj spermatida testisa otpornih na homogenizaciju i spermatozoida kaudalnog dela epididimisa</w:t>
      </w:r>
      <w:r w:rsidRPr="00984859">
        <w:rPr>
          <w:rFonts w:ascii="Arial" w:eastAsia="Times New Roman" w:hAnsi="Arial" w:cs="Arial"/>
          <w:b/>
          <w:bCs/>
          <w:sz w:val="15"/>
          <w:szCs w:val="15"/>
          <w:vertAlign w:val="superscript"/>
          <w:lang w:eastAsia="sr-Latn-RS"/>
        </w:rPr>
        <w:t>2, 3</w:t>
      </w:r>
      <w:r w:rsidRPr="00984859">
        <w:rPr>
          <w:rFonts w:ascii="Arial" w:eastAsia="Times New Roman" w:hAnsi="Arial" w:cs="Arial"/>
          <w:lang w:eastAsia="sr-Latn-RS"/>
        </w:rPr>
        <w:t xml:space="preserve">. Kaudalne rezerve spermatozoida mogu se izvesti iz koncentracije i zapremine sperme u suspenziji korišćenoj za kompletiranje kvalitativnih ocenjivanja i broja spermatozoida dobijenog kasnijim mlevenjem i/ili homogenizaciom preostalog kaudalnog tkiva. Brojanje se obavlja na odabranoj podgrupi mužjaka iz svih doznih grupa odmah nakon lišavanja života na human način, osim ako se ne naprave video ili digitalni snimci ili ako se primerci ne zamrznu i analiziraju kasnije. U tim slučajevima kontrolne i grupe velikih doza prve se analiziraju. Ukoliko se ne uoče efekti u vezi sa tretmanom (npr. efekti na broj spermatozoida, pokretljivost ili morfologiju), preostale grupe se ne analiziraju. Kada se takvi efekti uoče u grupi visoke doze, onda se ocenjuju i grupe nižih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Pokretljivost epididimalnih (ili ductus deferens) spermatozoida se ocenjuje ili snima odmah nakon lišavanja života na human način. Sperma se pribavlja uz minimalnu štetu i razblažuje za analizu pokretljivosti korišćenjem prihvatljivih metoda</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Procenat progresivno pokretljivih spermatozoida određuje se subjektivno ili objektivno. Kada se obavlja kompjuterska analiza pokretljivosti</w:t>
      </w:r>
      <w:r w:rsidRPr="00984859">
        <w:rPr>
          <w:rFonts w:ascii="Arial" w:eastAsia="Times New Roman" w:hAnsi="Arial" w:cs="Arial"/>
          <w:b/>
          <w:bCs/>
          <w:sz w:val="15"/>
          <w:szCs w:val="15"/>
          <w:vertAlign w:val="superscript"/>
          <w:lang w:eastAsia="sr-Latn-RS"/>
        </w:rPr>
        <w:t xml:space="preserve">5, 6, 7, 8, 9, 10 </w:t>
      </w:r>
      <w:r w:rsidRPr="00984859">
        <w:rPr>
          <w:rFonts w:ascii="Arial" w:eastAsia="Times New Roman" w:hAnsi="Arial" w:cs="Arial"/>
          <w:lang w:eastAsia="sr-Latn-RS"/>
        </w:rPr>
        <w:t xml:space="preserve">izvođenje progresivne pokretljivosti se oslanja na korisnički definisane </w:t>
      </w:r>
      <w:r w:rsidRPr="00984859">
        <w:rPr>
          <w:rFonts w:ascii="Arial" w:eastAsia="Times New Roman" w:hAnsi="Arial" w:cs="Arial"/>
          <w:lang w:eastAsia="sr-Latn-RS"/>
        </w:rPr>
        <w:lastRenderedPageBreak/>
        <w:t>granične vrednosti za prosečnu brzinu i pravac putanje ili na linearni indeks. Ukoliko su uzorci snimljeni</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ili ukoliko postoje slike zabeležene na drugačiji način u trenutku obdukcije, može se obaviti kasnija analiza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mužjaka samo iz kontrolne i grupe s visokom dozom, osim ukoliko se ne uoče efekti vezani za tretman. U tom slučaju se analiziraju i grupe nižih doza. Ukoliko nema video ili digitalnog zapisa svi uzorci u svim tretiranim grupama se analiziraju pri postmortalnom pregledu.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Radi se morfološka analiza uzorka spermatozoida iz epididimidisa (ili vas deferens-a). Spermatozoidi (najmanje 200 po uzorku) se analiziraju kao fiksirani, mokri preparat</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i klasifikuju kao normalni ili abnormalni. Primeri morfološke abnormalnosti spermatozoida uključuju fuziju, izolovane glave i deformisane glave i/ili repove. Ocenjivanje se obavlja na odabranoj podgrupi mužjaka svih doznih grupa, bilo odmah nakon lišavanja života na human način ili kasnije na osnovu video ili digitalnih snimaka. Jednom fiksirani razmazi mogu se čitati i kasnije. U tim slučajevima mogu se prvo analizirati kontrolne i grupe visokih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ne uoče efekti u vezi sa tretmanom (npr. efekti na morfologiju spermatozoida), preostale grupe nije potrebno analizirati. Kada se takvi efekti uoče kod grupe visoke doze, onda se i grupe nižih doza ocenjuju.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je bilo koji od gore navedenih parametara za ocenjivanje sperme već ispitan kao deo studije sistemske toksičnosti koja traje najmanje 90 dana, takve analize nije neophodno ponavljati u studiji na dve generacije. Preporučuje se da se sačuvaju uzorci ili digitalni snimci sperme P generacije, kako bi se po potrebi omogućila kasnija analiza.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1.5.5. Potomstvo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Svako leglo se pregleda što je moguće pre nakon koćenja (dan laktacije 0) kako bi se ustanovio broj i pol mladunaca, mrtvorođeni, živorođeni i prisutnost većih anomalija. Mladunci koji su pronađeni mrtvi na dan 0, ukoliko nisu macerirani, pregledaju se kako bi se otkrili mogući defekti i uzrok smrti i čuvaju se. Živi mladunci se prebrojavaju i meri se telesna masa svakog pojedinačno, po rođenju (dan laktacije 0) ili na dan 1 i danima koji su redovno predviđeni za merenje telesne mase, npr. dani 4, 7, 14. i 21. dan laktacije. Beleže se fizičke ili anomalije u ponašanju uočene na majkama ili potomstvu.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Fizički razvoj potomstva beleži se pre svega prema dobijanju na telesnoj masi. Drugi fizički parametri (npr. otvaranje uha i oka, izbijanje zuba, rast dlake) mogu dati dodatne podatke, ali je ove podatke najbolje ocenjivati u kontekstu podataka o polnom sazrevanju (npr. starost i telesna masa prilikom otvaranja vagine ili balano-prepucijalne separacije)</w:t>
      </w:r>
      <w:r w:rsidRPr="00984859">
        <w:rPr>
          <w:rFonts w:ascii="Arial" w:eastAsia="Times New Roman" w:hAnsi="Arial" w:cs="Arial"/>
          <w:b/>
          <w:bCs/>
          <w:sz w:val="15"/>
          <w:szCs w:val="15"/>
          <w:vertAlign w:val="superscript"/>
          <w:lang w:eastAsia="sr-Latn-RS"/>
        </w:rPr>
        <w:t>13</w:t>
      </w:r>
      <w:r w:rsidRPr="00984859">
        <w:rPr>
          <w:rFonts w:ascii="Arial" w:eastAsia="Times New Roman" w:hAnsi="Arial" w:cs="Arial"/>
          <w:lang w:eastAsia="sr-Latn-RS"/>
        </w:rPr>
        <w:t>. Funkcionalna ispitivanja (npr. motorike, senzorne funkcije, ontogenog refleksa)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potomstva pre i/ili posle odbijanja od sise, posebno ona vezana uz polno sazrevanje preporučuju se ukoliko nisu uključena u posebne studije. Starost prilikom sazrevanja vagine i prepucijalne separacije utvrđuje se za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mladunce koji se odbijaju od sise, a koji su odabrani za parenje. Anogenitalno rastojanje se meri nultog postnatalnog dana kod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mladunaca ukoliko je izazvano alteracijama u odnosu polova u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ili vremenu polnog sazrevanja.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Funkcionalna posmatranja mogu da se izostave kod grupa koje na drugi način pokazuju jasne znake štetnih efekata (npr. značajno smanjenje u dobijanju na telesnoj masi, itd). Ukoliko se rade funkcionalna istraživanja, ne izvode se na mladuncima koji su odabrani za parenje.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1.5.6.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Prilikom zaključivanja ili smrti u toku studije, sve roditeljske životinje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svi mladunci sa spoljnjim abnormalnostima ili kliničkim znacima, kao i jedno slučajno odabrano mladunče po </w:t>
      </w:r>
      <w:r w:rsidRPr="00984859">
        <w:rPr>
          <w:rFonts w:ascii="Arial" w:eastAsia="Times New Roman" w:hAnsi="Arial" w:cs="Arial"/>
          <w:lang w:eastAsia="sr-Latn-RS"/>
        </w:rPr>
        <w:lastRenderedPageBreak/>
        <w:t>polu po leglu iz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generacije makroskopski se pregleda kako bi se uočile bilo kakve strukturne abnormalnosti ili patološke promene. Posvećuje se posebna pažnja organima reproduktivnog sistema. Mladunci nađeni na samrti pa humano lišeni života i mrtva mladunčad, kada nisu macerirana, ispituju se na moguće defekte i/ili uzrok smrti i čuvaju.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Materice svih ženki koje su jednom rađale pregledaju se na prisustvo i broj implantacionih mesta na način koji ne kompromituje histopatološko ocenjivanje.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1.5.7. Merenje mase organa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Prilikom zaključivanja utvrđuje se telesna masa i masa sledećih organa za sve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roditeljske životinje (parni organi se mere individualno):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materica, jajnici;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testisi, epididimidis (ukupno i kauda);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prostata;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semene kesice sa koagulacionim žlezdama i njihove tečnosti i prostata (kao jedna jedinica);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mozak, jetra, bubrezi, slezina, hipofiza, tiroidna i adrenalne žlezde i poznati ciljni organi.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Utvrđuje se terminalna telesna masa za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mladunce koji su odabrani za obdukciju. Mere se sledeći organi od jednog slučajno odabranog mladunca po polu po leglu (videti odeljak 1.5.6. ove metode): mozak, slezina i timus.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obdukcije i merenja mase organa procenjuju se u kontekstu sa zapažanjima iz drugih studija sa ponovljenim dozama, kada je izvodljivo.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1.5.8. Histopatološka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1.5.8.1. Roditeljske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Sledeći organi i tkiva roditeljskih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životinja ili reprezentativni uzorci istih se fiksiraju i čuvaju u odgovarajućem medijumu za histopatološku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vagina, materica sa cerviksom i jajnici (sačuvani u odgovarajućem fiksativu);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jedan testis (sačuvan u Bouin-ovom ili sličnom fiksativu), jedan epididimis, semene kesice, prostata i koagulaciona žlezda;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prethodno identifikovani ciljni organi od svih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životinja odabranih za parenje.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Potpuna histopatološka ispitivanja gore navedenih sačuvanih organa obavljaju se za sve jedinke iz grupe kojoj je davana visoka doza i kontrolne grupe P i F</w:t>
      </w:r>
      <w:r w:rsidRPr="00984859">
        <w:rPr>
          <w:rFonts w:ascii="Arial" w:eastAsia="Times New Roman" w:hAnsi="Arial" w:cs="Arial"/>
          <w:sz w:val="15"/>
          <w:szCs w:val="15"/>
          <w:vertAlign w:val="subscript"/>
          <w:lang w:eastAsia="sr-Latn-RS"/>
        </w:rPr>
        <w:t xml:space="preserve">1 </w:t>
      </w:r>
      <w:r w:rsidRPr="00984859">
        <w:rPr>
          <w:rFonts w:ascii="Arial" w:eastAsia="Times New Roman" w:hAnsi="Arial" w:cs="Arial"/>
          <w:lang w:eastAsia="sr-Latn-RS"/>
        </w:rPr>
        <w:t xml:space="preserve">životinja izabranih za parenje. Ispitivanje jajnika P životinja je opcionalno. Organi koji pokazuju promene vezane za tretman ispituju se u grupama niske i srednje doze kako bi se pomoglo određivanje NOAEL. Reproduktivni organi životinja u grupama s niskim i srednje visokim dozama za koje se sumnja na smanjenu plodnost, npr. onih koje se nisu parile, koje nisu začele, iznele ili rodile zdravo potomstvo ili na čiji je estrus ciklus, broj spermatozoida, mobilnost ili morfologiju bilo uticaja, podvrgavaju se histopatološkom ocenjivanju. Ispituju se sva veća oštećenja kao što su atrofija ili tumori.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Obavlja se detaljan histopatološki pregled testisa (npr. korišćenjem Bouinovog fiksativa, učvršćivanjem parafinom i poprečnim presecima debljine 4 µm do 5 µm) kako bi se identifikovali efekti vezani za tretman kao što su zadržane spermatide, slojevi ili tipovi germinativnih ćelija koji nedostaju, divovske ćelije sa više jedara ili otpadanje spermatogenih ćelija u lumen</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xml:space="preserve">. Pregled intaktnog epididimisa uključuje pregled glave, tela i repa što se može postići analizom uzdužnih preseka. Epididimis se pregleda na infiltraciju leukocita, promene u preovlađujućim tipovima ćelija, nenormalne tipove ćelija i fagocitozu spermatozoida. Bojenje PAS-om i hematoksilinom se koristi za pregled muških reproduktivnih organa.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Postlaktacioni jajnik sadrži primordijalne i rastuće folikule kao i velika žuta tela laktacije. Histopatološki pregled otkriva kvalitativno smanjenje populacije primordijalnih folikula. Obavlja se kvantitativna analiza primordijalnih folikula za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ženke; broj životinja, izbor preseka jajnika i veličina uzorka preseka su statistički odgovarajući za postupak ocenjivanja koji se koristi. Pregled uključuje prebrojavanje primordijalnih folikula koji mogu biti kombinovani sa malim rastućim folikulama zbog poređenja tretiranih i kontrolnih jajnika</w:t>
      </w:r>
      <w:r w:rsidRPr="00984859">
        <w:rPr>
          <w:rFonts w:ascii="Arial" w:eastAsia="Times New Roman" w:hAnsi="Arial" w:cs="Arial"/>
          <w:b/>
          <w:bCs/>
          <w:sz w:val="15"/>
          <w:szCs w:val="15"/>
          <w:vertAlign w:val="superscript"/>
          <w:lang w:eastAsia="sr-Latn-RS"/>
        </w:rPr>
        <w:t>15, 16, 17, 18, 19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1.5.8.2. Mladunci odbijeni od sisanja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Izuzetno, nenormalno tkivo i ciljani organi svih mladunaca sa spoljnim abnormalnostima ili kliničkim znacima, kao i oni organi od slučajno odabranog mladunaca po polu po leglu iz obe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F</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generacije, koji nisu odabrani za parenje biće fiksirani i čuvani u odgovarajućem medijumu za histopatološki pregled. Puna histopatološka karakterizacija sačuvanog tkiva obavlja se uz poseban naglasak na organe reproduktivnog sistema.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pojedinačno i tabelarno. Navode se podaci za svaku eksperimentalnu grupu i svaku generaciju i to: broj životinja na početku ispitivanja, broj životinja koje su pronađene mrtve za vreme ispitivanja ili lišene života na human način, vreme bilo koje smrti ili lišavanja života na human način, broj plodnih životinja, broj gravidnih ženki, broj životinja koje pokazuju znake toksičnosti, opis uočenih znakova toksičnosti, uključujući, vreme nastanka, trajanje i ozbiljnost toksičnih efekata, tipove zapažanja kod roditelja i potomstva, tipove histopatoloških promena i sve relevantne podatke o leglu.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Numerički rezultati se ocenjuju odgovarajućom opšteprihvaćenom statističkom metodom. Statističke metode se biraju prilikom koncipiranja studije i treba ih opravdati. Statistički modeli doza-odgovor mogu biti korisni za analizu podataka. Izveštaj uključuje dovoljno podataka o metodi analize i o primenjenom kompjuterskom programu kako bi nezavisni ocenjivač/statističar mogao ponovno da proceni i rekonstruiše analizu.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OCENJIVANJE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Nalazi ove studije toksičnosti po reprodukciju na dve generacije ocenjuju se u smislu uočenih efekata uključujući obdukcione i mikroskopske nalaze. Ocenjivanje uključuje vezu ili nepostojanje veze između doze ispitivane supstance i prisustva ili odsustva pojave i ozbiljnosti abnormalnosti, uključujući veća oštećenja, identifikovane ciljne organe, efekt na plodnost, kliničke abnormalnosti, efekt na reprodukciju i na legla, promene telesne mase, efekte na smrtnost i sve druge toksične efekte. Prilikom ocenjivanja rezultata ispitivanja uzimaju se u obzir fizička i hemijska svojstva ispitivane supstance i kada su dostupni toksikokinetičke podatke.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Pravilno izvedeno ispitivanje toksičnosti po reprodukciju obezbeđuje zadovoljavajuću procenu nivoa bez efekta i razumevanje štetnih efekata na reprodukciju, rađanje, laktaciju, postnatalni rast i razvoj, uključujući rast i polni razvoj.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2.3.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toksičnosti po reprodukciju na dve generacije daje podatke o efektima ponovljenog izlaganja supstanci za vreme svih faza reproduktivnog ciklusa. Studija daje podatke o reproduktivnim parametrima i o razvoju, rastu, sazrevanju i preživljavanju potomstva. Rezultati studije tumače se zajedno sa nalazima subhroničkih studija, ispitivanja prenatalnog rasta i razvoja, toksikokinetičkih i drugih raspoloživih studija. Rezultati ove studije mogu se koristiti u proceni potrebe za daljim ispitivanjem hemikalije. Ekstrapolacija rezultata studije na čoveka je prihvatljiva do određenog stepena. Najbolje je da se koriste za obezbeđivanje podataka o nivou bez efekta i za dozvoljeno izlaganje ljudi</w:t>
      </w:r>
      <w:r w:rsidRPr="00984859">
        <w:rPr>
          <w:rFonts w:ascii="Arial" w:eastAsia="Times New Roman" w:hAnsi="Arial" w:cs="Arial"/>
          <w:b/>
          <w:bCs/>
          <w:sz w:val="15"/>
          <w:szCs w:val="15"/>
          <w:vertAlign w:val="superscript"/>
          <w:lang w:eastAsia="sr-Latn-RS"/>
        </w:rPr>
        <w:t>20, 21, 22, 23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priroda i, ako je relevantno,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identifikacioni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čistoća.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Vehikulumu (ako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opravdanje za izbor vehikuluma ako nije u pitanju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korišćena vrsta/soj;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uslovi smeštaja, ishrana, materijal za gnežđenje,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individualna težina životinja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izbora nivoa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ispitivanoj supstanci formulacija/priprema hrane, postignute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stabilnost i homogenost preparata;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primeni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preračunavanje iz koncentracije ispitivane supstance u hrani/vodi za piće (ppm) do postignute doze (mg/kg telesna masa/dan),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podaci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potrošnja hrane i vode, ako je dostupno, iskorišćenje hrane (dobijanje na telesnoj masi po gramu konzumirane hrane) i potrošnja ispitivanog materijala za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životinje, osim za period kohabitacije i za poslednju trećinu perioda laktacije;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apsorpciji (ako su dostupni);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podaci o telesnoj masi za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životinje koje su izabrane za parenje;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masi legla i mladunaca;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telesna masa pri lišavanju života na human način i apsolutna i relativna masa organa za roditeljske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priroda, ozbiljnost i trajanje kliničkih zapažanja (bilo da su reverzibilni ili 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smrti tokom studije ili da li su životinje preživele do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toksičkim reakcijama po polu i dozi, uključujući indekse parenja, plodnosti, gestacije, rođenja, održivosti i laktacije; u izveštaju se navode brojevi korišćeni za izračunavanje ovih indeksa;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toksični i drugi efekti na reprodukciju, potomstvo, postnatalni rast,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 obdukcije;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broj P i F</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životinja sa normalnim ciklusom i trajanje ciklusa;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ukupni broj spermatozoida kaude epididimis, procenat progresivno pokretljivih spermatozoida, procenat morfološki normalnih spermatozoida i procenat spermatozoida sa svakom identifikovanom abnormalnošću;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do parenja, uključujući broj dana do parenja;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trajanje gestacije;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implantacija, žutih tela, veličina legla;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živorođenih i post-implantacioni gubitak;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mladunaca sa većim vidljivim abnormalnostima, ukoliko je određen navodi se broj kržljavaca;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fizičkim obeležjima kod mladunaca i drugi podaci o postnatalnom rastu i razvoju; proučena fizička obeležja se opravdavaju;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funkcionalnim zapažanjima kod mladunaca i odraslih jedinki,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statistička analiza rezultata, kad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Zaključcima, uključujući NOAEL vrednosti za efekte na majku i potomstvo.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Sadleir, R.M.F.S. (1979). Cycles and Seasons, In: Reproduction in Mammals: I. Germ Cells and Fertilization, C.R. Auston and R.V. Short (eds.), Cambridge,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Gray, L.E. et al., (1989). A Dose-Response Analysis of Methoxychlor-Induced Alterations of Reproductive Development and Function in the Rat. Fundamental and Applied Toxicology 12:92-108.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Robb, G.W. et al., (1978). Daily Sperm Production and Epididymal Sperm Reserves of Pubertal and Adult Rats. Journal of Reproduction and Fertility 54:103-107.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Klinefelter, G.R. et al., (1991). The Method of Sperm Collection Significantly Influences Sperm Motion Parameters Following Ethane Dimethanesulfonate Administration in the Rat. Reproductive Toxicology 5:39 44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Seed, J. et al. (1996). Methods for Assessing Sperm Motility, Morphology, and Counts in the Rat, Rabbit, and Dog: a Consensus Report. Reproductive Toxicology 10(3):237- 244.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Chapin, R.E. et al., (1992).Methods for Assessing Rat Sperm Motility. Reproductive Toxicology 6:267- 273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Klinefelter, G.R. et al., (1992). Direct Effects of Ethane Dimethanesulphonate on Epididymal Function in Adult Rats: an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Demonstration. Journal of Andrology 13:409-421.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Slott, V.L. et al., (1991). Rat Sperm Motility Analysis: Methodologic Considerations. Reproductive Toxicology 5:449-458.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Slott, V.L. and Perreault, S.D., (1993). Computer-Assisted Sperm Analysis of Rodent Epididymal Sperm Motility Using the Hamilton-Thorn Motility Analyzer. In: Methods in Toxicology, Part A., Academic, Orlando, Florida. pp. 319-333.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Toth, G.P. et al. (1989). The Automated Analysis of Rat Sperm Motility Following Subchronic Epichlorhydrin Administration: Methodologic and Statistical Considerations. Journal of Andrology 10: 401-415.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Working, P.K. and M. Hurtt, (1987). Computerized Videomicrographic Analysis of Rat Sperm Motility. Journal of Andrology 8:330-337.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Linder, R.E. et al., (1992). Endpoints of Spermatoxicity in the Rat After Short Duration Exposures to Fourteen Reproductive Toxicants. Reproductive Toxicology 6:491-505.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Korenbrot, C.C. et al., (1977). Preputial Separation as an External Sign of Pubertal Development in the Male Rat. Biological Reproduction 17:298303.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14. Russell, L.D. et al., (1990). Histological and Histopathological Evaluation of the Testis, Cache River Press, Clearwater, Florida.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Heindel, J.J. and R.E. Chapin, (eds.) (1993). Part B. Female Reproductive Systems, Methods in Toxicology, Academic, Orlando, Florida.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Heindel, J.J. et al., (1989) Histological Assessment of Ovarian Follicle Number in Mice As a Screen of Ovarian Toxicity. In: Growth Factors and the Ovary, A.N. Hirshfield (ed.), Plenum, New York, pp. 421-426.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Manson, J.M. and Y.J. Kang, (1989). Test Methods for Assessing Female Reproductive and Developmental Toxicology. In: Principles and Methods of Toxicology, A.W. Hayes (ed.), Raven,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Smith, B.J. et al,. (1991). Comparison of Random and Serial Sections in Assessment of Ovarian Toxicity. Reproductive Toxicology 5:379-383.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Heindel, J.J. (1999). Oocyte Quantitation and Ovarian Histology. In: An Evaluation and Interpretation of Reproductive Endpoints for Human Health Risk Assessment, G. Daston,. and C.A. Kimmel, (eds.), ILSI Press, Washington, DC.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Thomas, J. A. (1991). Toxic Responses of the Reproductive System. In: Casarett and Doull’s Toxicology, M.O. Amdur, J. Doull, and C.D. Klaassen (eds.), Pergamon,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Zenick, H. and E.D. Clegg, (1989). Assessment of Male Reproductive Toxicity: A Risk Assessment Approach. In: Principles and Methods of Toxicology, A.W. Hayes (ed.), Raven Press,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Palmer, A.K. (1981). In: Developmental Toxicology, Kimmel, C.A. and J. Buelke-Sam (eds.), Raven Press,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Palmer, A.K. (1978). In Handbook of Teratology, Vol. 4, J.G. Wilson and F.C. Fraser (eds.), Plenum Press, New York.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B.36. TOKSIKOKINETIKA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Supstanca koja se ispituje primenjuje se odgovarajućim putem. Zavisno od svrhe studije, supstanca može da se daje kao pojedinačna ili u ponovljenoj dozi tokom određenog perioda, jednoj ili više grupa eksperimentalnih životinja. Posle toga, zavisno od tipa ispitivanja određuje se supstanca i/ili metaboliti u telesnim tečnostima, tkivima i/ili ekskretima.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Studija može da se obavi sa "neobeleženim" ili "obeleženim" oblicima supstance koja se ispituje. Kad se koristi oznaka, ona se nalazi u supstanci na takvom mestu da se obezbedi što je moguće više podataka o sudbini jedinjenja.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Nisu propisani.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Zdrave mlade odrasle životinje aklimatizuju se na laboratorijske uslove najmanje pet dana pre obavljanja ispitivanja. Pre ispitivanja životinje se slučajnim izborom svrstavaju u grupe za tretiranje. U posebnim slučajevima mogu se koristiti i vrlo mlade, gravidne ili prethodno tretirane životinje.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Eksperimentalni uslovi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Toksikokinetička ispitivanja mogu da se izvode na jednoj ili više odgovarajućih životinjskih vrsta. Uzimaju se u obzir vrste koje su korišćene i koje će se koristiti u drugim studijama toksičnosti iste ispitivane supstance. Kad se u ispitivanju koriste glodari, varijacija telesne mase ne sme da prelazi ± 20% srednje telesne mase.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za ispitivanja apsorpcije i izlučivanja, koristi se četiri životinje u svakoj doznoj grupi. Nije obavezan izbor jednog određenog pola, ali pod određenim uslovima potrebno je ispitivanje oba pola. Ukoliko postoje razlike u odgovoru između polova, potrebno je ispitati po četiri životinje svakog pola. U slučaju ispitivanja sa vrstama koje nisu glodari, može da se koristi manji broj životinja. Kada se ispituje raspodela u tkivima, na početku, prilikom određivanja veličine grupe, uzima se u obzir broj životinja koje će se lišiti života na human način u svakoj vremenskoj instanci (tački) i broj vremenskih instanci koji se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ispitivanja metabolizma veličina grupe zavisi od potreba studije. Kod ispitivanja višestrukih doza ili višestrukih vremenskih instanci, veličina grupe zavisi od broja vremenskih tačaka i od planiranih lišavanja života na human način, ali ne sme da bude manja od dve životinje. Veličina grupe je dovoljna da obezbedi prihvatljivu karakterizaciju resorpcije, platoa i eliminacije (ako odgovara) supstance koja se ispituje i/ili metabolita.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primene pojedinačne doze koriste se najmanje dva nivoa doza: niska doza bez toksičnog efekta i visoka doza pri kojoj se mogu pojaviti promene u toksikokinetičkim parametrima ili pri kojoj se javljaju toksični efekti.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slučaju primene ponovljenog doziranja obično je dovoljna niska doza, ali pod određenim uslovima visoka doza može da bude neophodna.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1.6.2.4. Put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toksikokinetičkim studijama se koristi isti put i, kada odgovara, isti vehikulum kao što se koristi ili će biti korišćen u drugim studijama toksičnosti. Ispitivana supstanca se daje grupama eksperimentalnih životinja oralno prisilnim davanjem ili u hrani, nanosi se na kožu ili primenjuje inhalacijom tokom određenih vremenskih perioda. Intravenska primena ispitivane supstance može da bude korisna za utvrđenje relativne apsorpcije kada se supstanca primenjuje drugim putevima. Odmah nakon intravenskog davanja supstance dobijaju se korisni podaci o načinu raspodele.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Uzima se u obzir mogućnost interferencije vehikuluma sa ispitivanom supstancom. Potrebno je posvetiti pažnju razlikama u apsorpciji između primene ispitivane supstance prisilnim davanjem i u hrani i potrebe za tačnim (preciznim) određivanjem doze, posebno kad se supstanca daje putem hrane.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1.6.2.5. Period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životinje se svakodnevno posmatraju. Svakodnevno se beleže znaci toksičnosti i drugi relevantni klinički znaci, uključujući vreme njihovog nastupanja, stepen i trajanje.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Posle merenja telesne mase, životinjama se odgovarajućim putem primenjuje supstanca koja se ispituje. Ako je relevantno, životinje se stavljaju na gladovanje pre primene supstance koja se ispituje.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Apsorpcija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Brzina i stepen apsorpcije primenjene supstance mogu se odrediti korišćenjem različitih metoda, sa i bez referentnih grupa</w:t>
      </w:r>
      <w:r w:rsidRPr="00984859">
        <w:rPr>
          <w:rFonts w:ascii="Arial" w:eastAsia="Times New Roman" w:hAnsi="Arial" w:cs="Arial"/>
          <w:b/>
          <w:bCs/>
          <w:sz w:val="15"/>
          <w:szCs w:val="15"/>
          <w:vertAlign w:val="superscript"/>
          <w:lang w:eastAsia="sr-Latn-RS"/>
        </w:rPr>
        <w:t>XIII</w:t>
      </w:r>
      <w:r w:rsidRPr="00984859">
        <w:rPr>
          <w:rFonts w:ascii="Arial" w:eastAsia="Times New Roman" w:hAnsi="Arial" w:cs="Arial"/>
          <w:lang w:eastAsia="sr-Latn-RS"/>
        </w:rPr>
        <w:t xml:space="preserve">, na primer: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određivanjem količine ispitivane supstance i/ili metabolita u ekskretima, kao što su urin, žuč, stolica, izdahnuti vazduh i u ostacima mrtvih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poređenjem bioloških reakcija (tj. studije akutne toksičnosti) između tretiranih grupa i kontrolnih i/ili referentnih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upoređenjem količine supstance koja je izlučena putem bubrega i/ili metabolita kod tretiranih i referentnih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određivanjem površine ispod krive koncentracija u plazmi/vreme između supstance i/ili metabolita i poređenju sa podacima dobijenim od referentne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XIII </w:t>
      </w:r>
      <w:r w:rsidRPr="00984859">
        <w:rPr>
          <w:rFonts w:ascii="Arial" w:eastAsia="Times New Roman" w:hAnsi="Arial" w:cs="Arial"/>
          <w:lang w:eastAsia="sr-Latn-RS"/>
        </w:rPr>
        <w:t xml:space="preserve">U ovoj metodi referentna grupa je ona kod koje je supstanca koja se ispituje primenjena drugim putem koji omogućuje potpunu bioraspoloživost doze.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Raspodela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Postoje dva pristupa, od kojih se jedan ili oba mogu koristiti za analizu oblika raspodele: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korisni kvalitativni podaci dobijaju se korišćenjem autoradiografskih tehnika na celom telu;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kvantitativni podaci dobijaju se lišavanja života na human način u različito vreme posle ekspozicije i određivanja koncentracije i količine ispitivane supstance i/ili metabolita u tkivima i organima.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1.6.3.3. Izlučivanje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ispitivanja izlučivanja skupljaju se mokraća, stolica i izdahnuti vazduh, a u nekim slučajevima i žuč. Količina ispitivane supstance i/ili metabolita u tim izlučevinama meri se više puta posle izlaganja ili dok se oko 95% primenjene doze ne izluči ili tokom sedam dana (ukoliko izlučivanje 95% doze traje duže).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posebnim slučajevima se uzima u obzir izlučivanje ispitivane supstance u mleku eksperimentalnih životinja koje doje.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1.6.3.4. Metabolizam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Pogodnim tehnikama analiziraju se biološki uzorci da bi se utvrdio stepen i tip metabolizma. Ukoliko je potrebno dati odgovore na pitanja koja su proizašla iz prethodnih toksikoloških studija, potrebno je razjasniti strukturu metabolita i predložiti odgovarajuće metaboličke puteve. Korisno je obaviti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ispitivanje kako bi se dobili podaci o metaboličkim putevima.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Dodatni podaci o odnosu metabolizma i toksičnosti mogu se dobiti biohemijskim studijama, kao što je određivanje efekata na sisteme enzima koji učestvuju u metabolizmu, smanjenje endogenih neproteinskih sulfidrilnih jedinjenja i vezivanje supstance za makromolekule.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u skladu sa tipom izvedene studije, a gde je potrebno, daje se i grafička prezentacija. Za svaku eksperimentalnu grupu navodi se srednja vrednost i statističke varijacije merenja u odnosu na vreme, doziranje, tkiva i organe, kada odgovara. Potrebno je odrediti stepen apsorpcije i količinu i brzine izlučivanja odgovarajućim metodama. Kada se obavljaju ispitivanja metabolizma, navodi se struktura utvrđenih metabolita i mogući metabolički put.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skladu sa tipom izvedenog ispitivanja, izveštaj o ispitivanju, ako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vrsti, soju, izvoru, uslovima sredine, ishrani;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karakterizaciji obeleženih materijala, ako su upotrebljeni;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nivoima doza i intervalima davanja;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putu primene i, ako je korišćen, o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toksičnim i drugim uočenim efektima;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metodi određivanja ispitivane supstance i/ili metabolita u biološkim uzorcima, uključujući izdahnuti vazduh;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tabele merenja po polu, dozi, režimu, vremenu, tkivima i organima;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prikaz stepena apsorpcije i izlučivanja tokom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metodi za karakterizaciju i identifikaciju metabolita u biološkim uzorcima;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metodi bioloških merenja u vezi sa metabolizmom;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predloženim putevima metabolizma;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tumačenju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B.37. ODLOŽENA NEUROTOKSIČNOST ORGANOFOSFORNIH SUPSTANCI POSLE AKUTNOG IZLAGANJA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proceni i evaluaciji toksičnih efekata supstanci važno je uzeti u obzir potencijal posebnih grupa supstanci da uzrokuju specifične vrste neurotoksičnosti koje ne moraju da budu otkrivene u drugim studijama toksičnosti. Uočeno je da određene organofosforne supstance uzrokuju odloženu neurotoksičnost i smatraju se kandidatima za ocenjivanje.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identifikaciju supstanci koje mogu da uzrokuju odloženu polineuropatiju mogu se primeniti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skrining testovi. Negativni rezultati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studija ne daju dokaze da ispitivana supstanca nije neurotoksična.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Organofosforne supstance uključuju nejonizovane organofosforne estre, tioestere ili anhidride organofosforne, organofosforaste ili organofosfamidne kiseline ili slične tiofosfornoj, tiofosforastoj ili tiofosfamidnoj kiselini ili druge supstance koje mogu da uzrokuju odloženu neurotoksičnost koja se ponekad javlja kod ovih grupa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Odložena neurotoksičnost jeste sindrom koji se povezuje sa produženim odloženim nastupanjem ataksije, distalne aksonopatije u kičmenoj moždini i perifernim živcima i inhibicijom i starenjem ciljne esteraze neuropatije (u daljem tekstu: NTE) u nervnom tkivu.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mogu da se ispituju sa pozitivnom kontrolnom grupom kao sredstvo koje pokazuje da se pod laboratorijskim uslovima odgovor ispitivanih životinjskih vrsta nije značajno promenio.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 široko korišćene neurotoksične supstance je tri-o-tolil fosfat (CAS 78-30-8, EINECS 201-103-5, CAS nomenklatura: tris (2-metilfenil)estar fosforne kiseline, takođe poznat kao tris-o-krezilfosfat.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primenjuje se oralno u jednoj dozi domaćim kokoškama koje su zaštićene od akutnih holinergičkih efekata, kada odgovara. Životinje se posmatraju 21 dan kako bi se uočile abnormalnosti u ponašanju, ataksija i paraliza. Na kokoškama nasumično izabranim iz svake grupe izvode se biohemijska merenja, posebno NTE, obično 24 i 48 sata posle doziranja. Dvadeset i jedan dan posle izlaganja preostale kokoške se lišavaju života na human način i izvode se histopatološki pregled odabranih nervnih tkiva.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Zdrave mlade kokoške bez virusnih bolesti koje mogu da interferiraju, koje ne primaju lekove i bez abnormalnosti slučajnim izborom se uvršćuju u tretirane i kontrolne grupe i aklimatizuju na laboratorijske uslove najmanje pet dana pre početka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kavezi ili zatvoreni prostori koji su dovoljno veliki za slobodno kretanje i lako posmatranje hoda.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Doziranje ispitivane supstance obično je oralnim putem prisilnim hranjenjem, gel kapsulama ili sličnom metodom. Tečnosti se daju nerazblažene ili rastvorene u odgovarajućem vehikulumu kao što je kukuruzno ulje. Čvrste supstance se, ako je moguće, rastvaraju, jer velike doze čvrstih supstanci u gel kapsulama ne mogu efikasno da se apsorbuju. Za vehikulume različite od vode moraju biti poznate toksične karakteristike, a ukoliko nisu poznate, iste se određuju pre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mlada odrasla domaća kokoška (Gallus gallus domestícus), stara 8 do 12 meseci. Koriste se vrste i sojeve standardne veličine. Kokoške se gaje u uslovima koji im omogućavaju slobodno kretanje.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Pored tretirane grupe koristi se kontrolna grupa vehikuluma i grupa pozitivne kontrole. Sa kontrolnom grupom vehikuluma postupa se isto kao i sa tretiranom grupom, osim što se izostavlja primena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dovoljan broj kokoški u svakoj grupi kako bi se omogućilo lišavanja života na human način najmanje šest ptica za biohemijska određivanja (po tri u svakoj od dve </w:t>
      </w:r>
      <w:r w:rsidRPr="00984859">
        <w:rPr>
          <w:rFonts w:ascii="Arial" w:eastAsia="Times New Roman" w:hAnsi="Arial" w:cs="Arial"/>
          <w:lang w:eastAsia="sr-Latn-RS"/>
        </w:rPr>
        <w:lastRenderedPageBreak/>
        <w:t xml:space="preserve">vremenske tačke) i da šest ptica može da preživi 21-dnevni period praćenja posle tretmana za patologiju.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Grupa pozitivne kontrole može da se vodi istovremeno ili to može da bude nedavna kontrolna grupa iz ranije studije. Ona sadrži najmanje šest kokoški tretiranih s poznatim neurotoksikantom sa odloženim dejstvom: tri kokoši za biohemiju i tri za patologiju. Preporučljivo je periodično ažuriranje podataka iz ranije studije. Novi podaci pozitivne kontrole razvijaju se kad laboratorija koja izvodi ispitivanje promeni neki osnovni element (npr. soj, hrana, uslovi smeštaja).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Obavlja se preliminarna studija uz korišćenje odgovarajućeg broja kokoški i grupa doznih nivoa kako bi se utvrdio nivo koji će se koristiti u glavnoj studiji. Određena smrtnost je neophodna u ovoj preliminarnoj studiji kako bi se definisala adekvatna doza za glavnu studiju. Može se koristiti atropin ili drugi zaštitni agens za koji se zna da ne utiče na odložene neurotoksične efekte da bi se sprečila smrt zbog akutnih holinergičkih efekata. Mogu se koristiti različite eksperimentalne metode kako bi se procenila maksimalna doza ispitivanih supstanci koja ne izaziva smrt (videti metodu B.1</w:t>
      </w:r>
      <w:r w:rsidRPr="00984859">
        <w:rPr>
          <w:rFonts w:ascii="Arial" w:eastAsia="Times New Roman" w:hAnsi="Arial" w:cs="Arial"/>
          <w:i/>
          <w:iCs/>
          <w:lang w:eastAsia="sr-Latn-RS"/>
        </w:rPr>
        <w:t>bis</w:t>
      </w:r>
      <w:r w:rsidRPr="00984859">
        <w:rPr>
          <w:rFonts w:ascii="Arial" w:eastAsia="Times New Roman" w:hAnsi="Arial" w:cs="Arial"/>
          <w:lang w:eastAsia="sr-Latn-RS"/>
        </w:rPr>
        <w:t xml:space="preserve"> koja je data u ovom prilogu). Raniji podaci o kokoški ili drugi toksikološki podaci takođe mogu biti korisni u izboru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Dozni nivo ispitivane supstance u glavnoj studiji je najveći mogući uzimajući u obzir rezultate studije preliminarnog izbora doze i gornju granicu doze od 2.000 mg/kg TM. Bilo koja smrtnost do koje može doći ne ometa preživljavanje dovoljnog broja životinja za biohemijska (šest) i histološka (šest) ispitivanja posle 21 dana. Koriste se atropin ili drugi zaštitni agens za koji se zna da ne utiče na odložene neurotoksične efekte kako bi se sprečila smrt usled akutnih holinergičkih efekata.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ispitivanje pri doznom nivou od najmanje 2.000 mg/kg TM/dan, korišćenjem postupaka opisanih u ovoj studiji, ne pokaže nikakve toksične efekte i ukoliko se toksičnost ne očekuje na osnovu podataka o strukturno sličnim supstancama, nije neophodna studija koja koristi veće doze. Ispitivanje granične doze se ne primenjuje kada ljudsko izlaganje ukazuje na potrebu za korišćenjem višeg nivoa doze.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1.5.2.5. Period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Period posmatranja je 21 dan.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Posle primene zaštitnog agensa kako bi se sprečila smrt zbog akutnih holinergičkih efekata, ispitivana supstanca daje se u jednoj dozi.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1.5.3.1. Opšta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Posmatranja se započinju odmah po izlaganju. Sve kokoške se pažljivo pregledaju nekoliko puta tokom prva dva dana, a posle toga najmanje jednom dnevno u periodu od 21 dan ili do predviđenog lišavanja života na human način. Beleže se sve znaci toksičnosti, uključujući vreme nastanka, vrstu, ozbiljnost i trajanje abnormalnosti ponašanja. Ataksija se meri ordinalnom skalom za ocenjivanje koja se sastoji od najmanje četiri nivoa, a paraliza se registruje. Najmanje dva puta nedeljno kokoške odabrane za patološka ispitivanja vade se iz kaveza i izlažu prisilnoj motoričkoj aktivnosti određeni period, kao što je penjanje po </w:t>
      </w:r>
      <w:r w:rsidRPr="00984859">
        <w:rPr>
          <w:rFonts w:ascii="Arial" w:eastAsia="Times New Roman" w:hAnsi="Arial" w:cs="Arial"/>
          <w:lang w:eastAsia="sr-Latn-RS"/>
        </w:rPr>
        <w:lastRenderedPageBreak/>
        <w:t xml:space="preserve">merdevinama, kako bi se zapazili minimalni toksični efekti. Životinje na samrti i životinje koje trpe ozbiljan stres ili bol uklanjaju se kada se ove pojave primete, lišavaju ih života na human način i postmortalno pregledaju.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1.5.3.2. Telesna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primene ispitivane supstance meri se telesna masa svim kokoškama, a posle toga najmanje jednom nedeljno.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1.5.3.3. Biohemijska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Šest slučajno izabranih kokoški iz svake tretirane i kontrolne grupe vehikuluma i tri kokoške iz grupe pozitivne kontrole (kad se takva grupa istovremeno vodi) lišavaju se života na human način u nekoliko dana posle doziranja. Osim toga, priprema se i ispituje mozak i lumbalna kičmena moždina na inhibiciju aktivnosti ciljne esteraze neuropatije. Može da bude korisno da se pripremi i ispita tkivo išijadičnog nerva na inhibiciju aktivnosti ciljne esteraze neuropatije. Obično, tri ptice iz kontrolne i svake tretirane grupe lišavaju se života na human način se posle 24 sata i tri ptice posle 48 sati, pri čemu se tri kokoške iz grupe pozitivne kontrole lišavaju života posle 24 sata. Ukoliko opažanje kliničkih znakova intoksikacije (ovo često može biti procenjeno posmatranjem trenutka nastupa holinergičkih znakova) pokazuje da se toksični agens distribuira vrlo polako, može biti poželjno uzorkovati tkivo iz tri ptice u oba navrata između 24 sata i 72 sata posle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 acetilholinesteraze (u daljem tekstu: AChE) može da se obavi na tim uzorcima, ako se to smatra odgovarajućim. Može da se dogodi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spontana reaktivacija AChE i da dovede do podcenjivanja potentnosti supstance kao AChE inhibitora.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1.5.3.4.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Postmortalni pregled svih životinja (planirano lišenih života na human način ili lišenih života na samrti) uključuje posmatranje izgleda mozga i kičmene moždine.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1.5.3.5.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Nervno tkivo životinja koje prežive period posmatranja i koje se ne koristi za biohemijske studije podvrgava se mikroskopskom pregledu. Tkiva se fiksiraju </w:t>
      </w:r>
      <w:r w:rsidRPr="00984859">
        <w:rPr>
          <w:rFonts w:ascii="Arial" w:eastAsia="Times New Roman" w:hAnsi="Arial" w:cs="Arial"/>
          <w:i/>
          <w:iCs/>
          <w:lang w:eastAsia="sr-Latn-RS"/>
        </w:rPr>
        <w:t>in situ,</w:t>
      </w:r>
      <w:r w:rsidRPr="00984859">
        <w:rPr>
          <w:rFonts w:ascii="Arial" w:eastAsia="Times New Roman" w:hAnsi="Arial" w:cs="Arial"/>
          <w:lang w:eastAsia="sr-Latn-RS"/>
        </w:rPr>
        <w:t xml:space="preserve"> korišćenjem tehnika perfuzije. Preseci uključuju mali mozak (srednji longitudinalni nivo), produženu moždinu, kičmenu moždinu i periferne živce. Preseci kičmene moždine se uzimaju iz gornjeg cervikalnog segmenta, srednje torakalone i lumbo-sakralne regije. Uzimaju se preseci distalne regije tibijalnog živca i njegovih grana do gastroknemijusnog mišića i skijatičnog živca. Preseci se boje odgovarajućim mijelin i akson-specifičnim bojama.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Negativni rezultati efekata izabranih za posmatranje u ovoj metodi (biohemijska, histopatološka ispitivanja i posmatranje ponašanja) ne zahtevaju dalje ispitivanje odložene neurotoksičnosti. Dvosmisleni ili neuverljivi rezultati za ove efekte mogu zahtevati dalje ocenjivanje.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Navode se pojedinačni podaci. Svi podaci navode se tabelarno. Za svaku eksperimentalnu grupu navodi se: broj životinja na početku ispitivanja, broj životinja koje pokazuju oštećenja, bihevioralne ili biohemijske efekte, tipovi i ozbiljnost tih oštećenja ili efekata i procenat životinja koje pokazuju svaki tip i ozbiljnost oštećenja ili efekta.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Nalaze ove studije se ocenjuje u smislu incidence, ozbiljnosti i korelacije bihevioralnih, biohemijskih i histopatoloških efekata i drugih opaženih efekata u tretiranim i kontrolnim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Numeričke rezultate se ocenjuju odgovarajućim i prihvaćenim statističkim metodama. Statističke metode se biraju prilikom osmišljavanja studije.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korišćeni 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i starost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uslovi smeštaja,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individualne telesne mase životinja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preparatu ispitivane supstance, stabilnost i homogenost, kad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opravdanje izbora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primeni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izbora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specifikacija primenjenih doza uključujući detalje o vehikulumu, zapremini i fizičkom obliku primenjenog materijala;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identitet i detalji o primeni svakog zaštitnog agensa.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toksičnom odgovoru po grupi, uključujući mortalitet;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priroda, ozbiljnost i trajanje kliničkih zapažanja (bilo da su reverzibilni ili 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biohemijskih metoda i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 obdukcije;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statistička obrada rezultata, kada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B.38. ISPITIVANJE ODLOŽENE NEUROTOKSIČNOSTI ORGANOFOSFORNIH SUPSTANCI - PONOVLJENE DOZE, 28 DANA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proceni i evaluaciji toksičnih efekata supstanci važno je uzeti u obzir potencijal posebnih grupa supstanci da uzrokuju specifične vrste neurotoksičnosti koje ne moraju da budu otkrivene u drugim studijama toksičnosti. Uočeno je da određene organofosforne supstance uzrokuju odloženu neurotoksičnost i smatraju se kandidatima za ocenjivanje.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identifikaciju supstanci koje mogu da uzrokuju odloženu polineuropatiju mogu se primeniti </w:t>
      </w:r>
      <w:r w:rsidRPr="00984859">
        <w:rPr>
          <w:rFonts w:ascii="Arial" w:eastAsia="Times New Roman" w:hAnsi="Arial" w:cs="Arial"/>
          <w:i/>
          <w:iCs/>
          <w:lang w:eastAsia="sr-Latn-RS"/>
        </w:rPr>
        <w:t>in vitr</w:t>
      </w:r>
      <w:r w:rsidRPr="00984859">
        <w:rPr>
          <w:rFonts w:ascii="Arial" w:eastAsia="Times New Roman" w:hAnsi="Arial" w:cs="Arial"/>
          <w:lang w:eastAsia="sr-Latn-RS"/>
        </w:rPr>
        <w:t xml:space="preserve">o skrining testovi. Negativni rezultati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studija ne daju dokaze da ispitivana supstanca nije neurotoksična.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 28-dnevno ispitivanje odložene neurotoksičnosti daje podatke o mogućim rizicima po zdravlje koji mogu proizaći iz ponovljenog izlaganja tokom ograničenog vremenskog perioda. Ispitivanje obezbeđuje podatke o dozi-efektu i može dati procenu doze bez efekta koja može da bude korisna pri utvrđivanju kriterijuma bezbednosti za ekspoziciju.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Organofosforne supstance uključuju nejonizovane organofosforne estre, tioestere ili anhidride organofosforne, organofosforaste ili organofosfamidne kiseline ili slične tiofosfornoj, tiofosforastoj ili tiofosfamidnoj kiselini ili druge supstance koje mogu da uzrokuju odloženu neurotoksičnost koja se ponekad javlja kod ovih grupa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Odložena neurotoksičnost jeste sindrom koji se povezuje sa produženim odloženim nastupanjem ataksije, distalne aksonopatije u kičmenoj moždini i perifernim živcima i inhibicijom i starenjem ciljne esteraze neuropatije (u daljem tekstu: NTE) u nervnom tkivu.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Dnevne doze ispitivane supstance primenjuju se oralno domaćim kokoškama tokom 28 dana. Životinje se najmanje jednom dnevno posmatraju zbog abnormalnosti u ponašanju, ataksije i paralize i to do 14 dana posle zadnje doze. Obavljaju se biohemijska merenja, posebno NTE na slučajno odabranim kokoškama iz svake grupe, obično 24 i 48 sata posle poslednje doze. Dve nedelje posle zadnje doze preostale kokoške se lišavaju života na human način i obavlja se histopatološki pregled odabranih nervnih tkiva.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Najmanje pet dana pre početka studije zdrave mlade kokoške bez virusnih bolesti koje mogu da interferiraju, koje ne primaju lekove i bez abnormalnosti slučajnim izborom se uvršćuju u tretirane i kontrolne grupe i aklimatizuju na laboratorijske uslove.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kavezi ili zatvoreni prostori koji su dovoljno veliki za slobodno kretanje i lako posmatranje hoda.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Doziranje ispitivane supstance je oralnim putem sedam dana u nedelji prisilnim hranjenjem, gel kapsulama ili sličnom metodom. Tečnosti se daju nerazblažene ili rastvorene u odgovarajućem vehikulumu kao što je kukuruzno ulje. Čvrste supstance se, ako je moguće, rastvaraju, jer velike doze čvrstih supstanci u gel kapsulama ne mogu efikasno da se apsorbuju. Za vehikulume različite od vode moraju da budu poznate toksične karakteristike, a ukoliko nisu poznate, iste se određuju pre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mlada odrasla domaća kokoška (Gallus gallus domestícus), stara 8 do 12 meseci. Koriste se vrste i sojevi standardne veličine. Kokoške se gaje u uslovima koji im omogućavaju slobodno kretanje.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Broj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najmanje tri tretirane grupe i kontrolna grupa u vehikuluma. Sa kontrolnom grupom vehikuluma postupa se isto kao i sa tretiranom grupom, osim što se izostavlja primena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dovoljan broj kokoški u svakoj grupi kako bi se omogućilo lišavanje života na human način najmanje šest ptica za biohemijska određivanja (po tri u svakoj od dve vremenske tačke) i da šest ptica može da preživi 14-dnevni period praćenja posle tretmana za patološka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Dozni nivoi se biraju uzimajući u obzir rezultate akutnog ispitivanja odložene neurotoksičnosti i postojeće podatke o toksičnosti ili kinetici koji su dostupni za ispitivanu supstancu. Najviši dozni nivo određuje se sa ciljem izazivanja toksičnih efekata, najbolje odložene neurotoksičnosti, ali ne smrti niti očigledne patnje. Zatim se bira opadajući niz nivoa doza kako bi se pokazao bilo koji odgovor povezan sa doziranjem i nepostojanje štetnih efekata pri najnižem doznom nivou.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ispitivanje pri doznom nivou od najmanje 1.000 mg/kg TM/dan, korišćenjem postupaka opisanih u ovoj studiji, ne pokaže nikakve toksične efekte i ukoliko se toksičnost ne očekuje na osnovu podataka o strukturno sličnim supstancama, nije neophodna studija koja koristi veće doze. Ispitivanje granične doze se ne primenjuje kada izlaganje ljudi ukazuje na potrebu za korišćenjem višeg nivoa doze.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1.4.2.5. Period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Sve životinje se posmatraju najmanje jednom dnevno tokom perioda izlaganja i 14 dana posle toga, sve do planiranog lišavanja života na human način.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doziraju ispitivanom supstancom sedam dana u nedelji kroz period od 28 dana.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1.4.3.1. Opšta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Posmatranja se započinju odmah po izlaganju. Sve kokoške se pažljivo pregledaju najmanje jednom dnevno u periodu od 28 dana tretmana i 14 dana posle doziranja ili do planiranog lišavanja života na human način. Beleže se svi znakovi toksičnosti, uključujući vreme nastanka, vrstu, ozbiljnost i trajanje. Posmatranja uključuju, ali nisu ograničena na, abnormalnosti u ponašanju. Ataksija se meri ordinalnom skalom za ocenjivanje koja se sastoji od najmanje četiri nivoa. Registruje se paralizu. Najmanje dva puta nedeljno kokoške odabrane za patološka ispitivanja se vade iz kaveza i izlažu prisilnoj motoričkoj aktivnosti određeni period, kao što je penjanje po merdevinama, kako bi se zapazili minimalni toksični efekti. Životinje na samrti i životinje koje trpe ozbiljan stres ili bol uklanjaju se kada se primete ove pojave, lišavaju se života na human način i postmortalno pregledaju.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1.4.3.2. Telesna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Svim kokoškama se meri telesna masa pre primene ispitivane supstance i najmanje jednom nedeljno posle toga.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1.4.3.3. Biohemijska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Šest slučajno odabranih kokošaka iz svake tretirane i kontrolne grupe vehikuluma lišavaju se života na human način nekoliko dana nakon poslednje doze. Priprema se i ispituje mozak i lumbalna kičmena moždina na inhibiciju aktivnosti ciljne esteraze neuropatije. Može biti korisno pripremiti i ispitati tkivo išijadičnog nerva na inhibiciju aktivnosti ciljne esteraze neuropatije. Tri ptice iz kontrolne i svake tretirane grupe lišavaju se života na human način posle 24 sata i tri ptice 48 sati posle zadnjeg doziranja. Ukoliko podaci iz akutne studije ili drugih studija (npr. toksikokinetike) ukazuju da su druge vremenske tačke posle zadnjeg doziranja pogodnije, primenjuju se te tačke, a obrazloženje se dokumentuje.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 acetilholinesteraze (u daljem tekstu: AChE) može se obaviti na tim uzorcima, ako se to smatra odgovarajućim. Može se dogoditi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spontana reaktivacija AChE i dovesti do podcenjivanja potentnosti supstance kao AChE inhibitora.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1.4.3.4. Postmortalni pregled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Postmortalni pregled svih životinja (planirano lišenih života na human način ili lišenih života na samrti) uključuje posmatranje izgleda mozga i kičmene moždine.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1.4.3.5.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Nervno tkivo životinja koje prežive period posmatranja i koje se ne koristi za biohemijska ispitivanja podvrgava se mikroskopskom pregledu. Tkiva se fiksiraju in situ, korišćenjem tehnika perfuzije. Preseci uključuju mali mozak (srednji longitudinalni nivo), produženu moždinu, kičmenu moždinu i periferne živce. Preseci kičmene moždine se uzimaju iz gornjeg cervikalnog segmenta, srednje torakalone i lumbo-sakralne regije. Uzimaju se preseci distalne regije tibijalnog živca i njegovih grana do gastroknemijusnog mišića i skijatičnog </w:t>
      </w:r>
      <w:r w:rsidRPr="00984859">
        <w:rPr>
          <w:rFonts w:ascii="Arial" w:eastAsia="Times New Roman" w:hAnsi="Arial" w:cs="Arial"/>
          <w:lang w:eastAsia="sr-Latn-RS"/>
        </w:rPr>
        <w:lastRenderedPageBreak/>
        <w:t xml:space="preserve">živca. Preseci se boje odgovarajućim mijelin i akson-specifičnim bojama. Izvodi se mikroskopski pregled na očuvanim tkivima svih životinja u kontrolnoj i tretiranoj grupi kojoj je davana visoka doza. Kada postoje dokazi za efekte kod grupe visoke doze, obavlja se mikroskopski pregled kod kokoški iz grupa srednje i niže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Negativni rezultati efekata izabranih za posmatranje u ovoj metodi (biohemijska, histopatološka ispitivanja i posmatranje ponašanja) obično ne zahtevaju dalje ispitivanje odložene neurotoksičnosti. Dvosmisleni ili neuverljivi rezultati za ove efekte mogu zahtevati dalje ocenjivanje.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pojedinačno i to tabelarno. Za svaku eksperimentalnu grupu navodi se: broj životinja na početku ispitivanja, broj životinja koje pokazuju oštećenja, bihevioralne ili biohemijske efekte, tipovi i ozbiljnost tih oštećenja ili efekata i procenat životinja koje pokazuju svaki tip i ozbiljnost oštećenja ili efekta.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Nalazi ove studije ocenjuju se u smislu incidence, ozbiljnosti i korelacije bihevioralnih, biohemijskih i histopatoloških efekata i drugih opaženih efekata u tretiranim i kontrolnim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Numerički rezultati ocenjuju se odgovarajućim i prihvaćenim statističkim metodama. Statističke metode se biraju prilikom osmišljavanja studije.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korišćeni 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i starost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uslovi smeštaja,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individualne telesne mase životinja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preparatu ispitivane supstance, stabilnost i homogenost, kad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opravdanje izbora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primeni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izbora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specifikacija primenjenih doza uključujući detalje o vehikulumu, zapremini i fizičkom obliku primenjenog materijala;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opravdanje izbora drugih vremenskih tačaka za biohemijska određivanja, ukoliko vreme nije 24 sata i 48 sati.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telesnoj masi;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toksičnom odgovoru po grupi, uključujući mortalitet;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doza bez štetnog dejstva;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priroda, ozbiljnost i trajanje kliničkih zapažanja (bilo da su reverzibilni ili 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biohemijskih metoda i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 obdukcije;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histopatoloških nalaza;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statistička obrada rezultata, kad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B.39. ISPITIVANJE VANREDNE SINTEZE DNK (UDS) </w:t>
      </w:r>
      <w:r w:rsidRPr="00984859">
        <w:rPr>
          <w:rFonts w:ascii="Arial" w:eastAsia="Times New Roman" w:hAnsi="Arial" w:cs="Arial"/>
          <w:b/>
          <w:bCs/>
          <w:lang w:eastAsia="sr-Latn-RS"/>
        </w:rPr>
        <w:br/>
        <w:t xml:space="preserve">NA ĆELIJAMA JETRE SISARA </w:t>
      </w:r>
      <w:r w:rsidRPr="00984859">
        <w:rPr>
          <w:rFonts w:ascii="Arial" w:eastAsia="Times New Roman" w:hAnsi="Arial" w:cs="Arial"/>
          <w:b/>
          <w:bCs/>
          <w:i/>
          <w:iCs/>
          <w:lang w:eastAsia="sr-Latn-RS"/>
        </w:rPr>
        <w:t>IN VIVO</w:t>
      </w:r>
      <w:r w:rsidRPr="00984859">
        <w:rPr>
          <w:rFonts w:ascii="Arial" w:eastAsia="Times New Roman" w:hAnsi="Arial" w:cs="Arial"/>
          <w:b/>
          <w:bCs/>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486, Unscheduled DNK Synthesis (UDS) Test with Mammalian Liver Cells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(1997).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ispitivanja vanredne sinteze DNK (u daljem tekstu: UDS) na ćelijama jetre sisara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je identifikacija ispitivanih supstanci koje uzrokuju popravku DNK u ćelijama jetre tretiranih životinja </w:t>
      </w:r>
      <w:r w:rsidRPr="00984859">
        <w:rPr>
          <w:rFonts w:ascii="Arial" w:eastAsia="Times New Roman" w:hAnsi="Arial" w:cs="Arial"/>
          <w:b/>
          <w:bCs/>
          <w:sz w:val="15"/>
          <w:szCs w:val="15"/>
          <w:vertAlign w:val="superscript"/>
          <w:lang w:eastAsia="sr-Latn-RS"/>
        </w:rPr>
        <w:t>1,2,3,4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ispitivanje daje metodu za istraživanje genotoksičnih efekata hemikalija u jetri. Krajnji efekat koji se meri je indikativan za oštećenje DNK i kasniju popravku u ćelijama jetre. Jetra je obično glavno mesto metabolizma apsorbovanih supstanci, pa je to odgovarajuće mesto za merenje oštećenja DNK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Nije prikladno koristiti ovo ispitivanje ukoliko postoje dokazi da ispitivana supstanca neće dospeti u ciljno tkivo.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Krajnji efekat UDS meri se određivanjem preuzimanja označenih nukleozida u ćelije koje ne prolaze kroz redovnu (u s-fazi) DNK sintezu. Tehnika koja se najviše koristi je određivanje preuzimanja timidina označenog tricijumom (u daljem tekstu: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autoradiografijom. Jetre pacova se najviše koriste 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UDS ispitivanja. Mogu se koristiti i druga tkiva osim jetre, ali nisu predmet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Detekcija UDS efekta zavisi od broja DNK baza koje su uklonjene i zamenjene na mestu oštećenja. UDS ispitivanje je posebno koristan za detektovanje "dugačke popravke" (20 do 30 baza) izazvanog supstancom. Obrnuto "kratka popravka" (1 do 3 baze) detektuje se s mnogo manjom osetljivošću. Mutageni događaji mogu nastati zbog nepopravljenih, pogrešno popravljenih ili pogrešno replikovanih oštećenja DNK. Obim UDS reakcije ne daje indikacije pouzdanosti procesa oporavka. Moguće je da mutagen reaguje sa DNK, ali da se oštećenje DNK ne popravi kroz proces popravke izrezivanjem. Nedostatak specifičnih podataka o mutagenoj aktivnosti koje daje UDS ispitivanje kompenzuje se potencijalnom osetljivošću ovog krajnjeg efekta od interesa, budući da se prati celokupni genom.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u popravci jesu viša neto nuklearna zrnca od podešene vrednosti koja se opravdava u laboratoriji koja vrši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Neto nuklearna zrnca (net nuclear grains, u daljem tekstu: NNG) jeste kvantitativna mera za UDS aktivnost ćelija u autoradiografskim UDS ispitivanjima, obračunata oduzimanjem prosečnog broja citoplazmatskih zrnaca u delovima citoplazme ekvivalentnim nukleusu (u daljem tekstu: CG) od broja nuklearnih zrnaca (u daljem tekstu: NG), odnosno: NNG = NG - CG. NNG broj se dobija za pojedinačne ćelije, a zatim se zbraja za ćelije u kulturi, u paralelnim kulturama,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Vanredna sinteza DNK (u daljem tekstu: UDS) jeste sinteza radi popravke DNK posle uklanjanja i odstranjivanja niza DNK koji sadrži područje oštećenja koje je uzrokovano hemijskom supstancom ili fizičkim agensom.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UDS ispitivanje na ćelijama jetre sisara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ukazuje na sintezu radi popravke DNK posle uklanjanja i odstranjivanja niza DNK koji sadrži područje oštećenja koje je uzrokovano hemijskom supstancom ili fizičkim agensom. Ispitivanje se obično zasniva na ugrađivanju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u DNK ćelija jetre koje imaju nisku frekvenciju ćelija u S-fazi ćelijskog ciklusa. Preuzimanje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određuje se autoradioografijom, budući da ova tehnika nije osetljiva na interferencije iz ćelija u S-fazi kao što je to npr. upotreba tečnog scintilacijskog brojanja.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koriste pacovi, mada može da se koristi bilo koja vrsta sisara. Uobičajeno se koriste sojevi mladih zdravih odraslih životinja. Na početku studije varijacija u telesnoj masi životinja treba da bude minimalna i da ne prelazi ± 20% srednje telesne mase za svaki pol.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Uslovi smeštaja i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Primenjuju se opšti uslovi navedeni u Opštem uvodu, mada vlažnost vazduha treba da bude između 50% i 60%.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Zdrave mlade odrasle životinje raspoređuju se slučajnim izborom u kontrolnu i tretirane grupe. Kavezi se raspoređuju tako da se minimalizuju mogući efekti položaja kaveza. Životinje se identifikuju pojedinačno i drže u kavezima najmanje pet dana pre početka studije kako bi se omogućila aklimatizacija na laboratorijske uslove.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1.4.1.4. Ispitivana supstanca/Preparat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doziranja životinja čvrste ispitivane supstance se rastvaraju ili suspenduju u odgovarajućim rastvaračima ili vehikulumima i, ukoliko je potrebno, razblažuju. Tečne ispitivane supstance mogu da se doziraju direktno ili razblažene pre doziranja. Primenjuju se sveži preparati ispitivane supstance osim ukoliko podaci o stabilnosti ne ukazuju na prihvatljivost čuvanja.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Rastvarač/vehikulum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Rastvarač/vehikulum ne sme da uzrokuje toksične efekte pri korišćenim doznim nivoima i ne sme da se sumnja na hemijske reakcije sa ispitivanom supstancom. Ukoliko se koriste rastvarači/vehikulumi koji nisu dobro poznati, njihovo uključivanje treba podupreti podacima o njihovoj kompatibilnosti. Preporučuje se da se, kad god je moguće, prvo razmotri primena vodenog rastvarača/vehikuluma.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Istovremene pozitivne i negativne kontrole (rastvarač/vehikulum) se uključuju u svaki deo eksperimenta koji se nezavisno izvodi. Osim tretmana ispitivanom supstancom, sa životinjama u kontrolnoj grupi se postupa isto kao i sa životinjama u tretiranim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Pozitivne kontrole su supstance za koje je poznato da proizvode UDS kada se primene pri nivoima izloženosti za koje se očekuje da daju uočljivo povećanje u odnosu na pozadinu. Pozitivne kontrole koje zahtevaju metaboličku aktivaciju se koriste u dozama koje izazivaju umereni efekat</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Doze se mogu odabrati tako da su efekti jasni ali ne otkrivaju trenutno identitet kodiranih slajdova onome koji čita. Primeri supstanci koje se mogu koristiti kao pozitivne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34"/>
        <w:gridCol w:w="3554"/>
        <w:gridCol w:w="990"/>
        <w:gridCol w:w="1354"/>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uzorkovanja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Rano uzorkovanje </w:t>
            </w:r>
            <w:r w:rsidRPr="00984859">
              <w:rPr>
                <w:rFonts w:ascii="Arial" w:eastAsia="Times New Roman" w:hAnsi="Arial" w:cs="Arial"/>
                <w:lang w:eastAsia="sr-Latn-RS"/>
              </w:rPr>
              <w:br/>
              <w:t xml:space="preserve">(2 do 4 sata)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N-nitrozodimetilamin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62-75-9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200-249-8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Kasno </w:t>
            </w:r>
            <w:r w:rsidRPr="00984859">
              <w:rPr>
                <w:rFonts w:ascii="Arial" w:eastAsia="Times New Roman" w:hAnsi="Arial" w:cs="Arial"/>
                <w:lang w:eastAsia="sr-Latn-RS"/>
              </w:rPr>
              <w:br/>
              <w:t xml:space="preserve">uzorkovanja (12 do 16 sati)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N-2-fluorenilacetamid (2-AAF)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53-96-3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200-188-6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koristiti i druge odgovarajuće supstance kao pozitivne kontrolne. Prihvatljivo je da se pozitivna kontrola primeni drugačijim putem od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Broj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odgovarajući broj životinja kako bi se uzele u obzir prirodne biološke varijacije u efektu ispitivanja. Broj životinja je najmanje tri životinje po grupi koje se mogu analizirati. </w:t>
      </w:r>
      <w:r w:rsidRPr="00984859">
        <w:rPr>
          <w:rFonts w:ascii="Arial" w:eastAsia="Times New Roman" w:hAnsi="Arial" w:cs="Arial"/>
          <w:lang w:eastAsia="sr-Latn-RS"/>
        </w:rPr>
        <w:lastRenderedPageBreak/>
        <w:t xml:space="preserve">Tamo gde je akumulirana značajna istorijska baza podataka potrebne su samo jedna ili dve životinje za istovremene negativne i pozitivne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u vreme studije postoje raspoloživi podaci iz studija za iste vrste i korišćenje istog puta izlaganja koje pokazuju da ne postoje bitne razlike u toksičnosti među polovima, dovoljno je ispitivanje na samo jednom polu, prevashodno na mužjacima. Ako je ljudsko izlaganje hemikalijama specifično za pol, kao što je to npr. s nekim farmaceutskim agensima, ispitivanje se obavlja na životinjama odgovarajućeg pola.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Raspored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se obično primenjuju kao jedan tretman.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Dozni nivoi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Uobičajeno se koriste najmanje dva dozna nivoa. Najviša doza se definiše kao doza koja uzrokuje znakove toksičnosti koji su takvi da bi se za više nivoe doza, zasnovane na istom režimu doziranja, očekivalo da uzrokuju smrtnost. Niža doza treba da bude 50% do 25% više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sa specifičnim biološkim aktivnostima pri niskim netoksičnim dozama (kao što su hormoni i mitogeni) mogu da budu izuzeci od kriterijuma za određivanje doza i ocenjuju se od slučaja do slučaja. Ukoliko se obavlja studija nalaženja raspona, jer nisu raspoloživi odgovarajući podaci, izvodi se u istoj laboratoriji uz korišćenje iste vrste, soja, pola i režima tretiranja kao i u glavnoj studiji.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Najviša doza se može definisati i kao doza koja proizvodi određene indikacije toksičnosti u jetri (npr. piknotički nukleusi).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ispitivanje korišćenjem doze od najmanje 2.000 mg/kg TM primenjene u jednom tretmanu ili u dva tretmana istog dana ne pokaže toksične efekte i ukoliko genotoksičnost nije očekivana na osnovu podataka iz strukturno sličnih supstanci, nije neophodna potpuna studija. Očekivano izlaganje ljudi može da ukaže na potrebu za korišćenjem višeg nivoa doze u ispitivanju granične doze.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1.5.5.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primenjuje pomoću gastrične cevi ili prikladnim instrumentom za intubaciju. Drugi putevi izlaganja mogu biti prihvatljivi ako se mogu opravdati. Ne preporučuje se intraperitonealni način, budući da jetra može da se izloži ispitivanoj supstanci direktno, a ne preko cirkulacionog sistema. Maksimalna zapremina tečnosti koja može prisilno da se primeni ili ubrizga odjednom zavisi od veličine eksperimentalne životinje. Ova zapremina ne sme da prelazi 2 ml/100g TM. Korišćenje većih zapremina mora biti opravdano. Osim kod iritabilnih ili korozivnih supstanci koje uobičajeno pokazuju lošije efekte pri višim koncentracijama, varijabilnost u ispitivanoj zapremini se minimalizuje prilagođavanjem koncentracije kako bi se obezbedila stalna zapremina pri svim nivoima doza.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1.5.6. Priprema ćelija jetre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jetre pripremaju se od tretiranih životinja obično 12 do 16 sati posle doziranja. Uglavnom je neophodno dodatno ranije vreme uzorkovanja (obično 2 do 4 sata posle </w:t>
      </w:r>
      <w:r w:rsidRPr="00984859">
        <w:rPr>
          <w:rFonts w:ascii="Arial" w:eastAsia="Times New Roman" w:hAnsi="Arial" w:cs="Arial"/>
          <w:lang w:eastAsia="sr-Latn-RS"/>
        </w:rPr>
        <w:lastRenderedPageBreak/>
        <w:t xml:space="preserve">tretmana), osim ukoliko postoji jasan pozitivni efekat unutar 12 do 16 sati. Alternativno vreme uzorkovanja može se koristiti kad je to opravdano na osnovu toksikokintičkih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Kratkotrajne kulture ćelija jetre sisara obično se dobijaju perfuzijom jetre </w:t>
      </w:r>
      <w:r w:rsidRPr="00984859">
        <w:rPr>
          <w:rFonts w:ascii="Arial" w:eastAsia="Times New Roman" w:hAnsi="Arial" w:cs="Arial"/>
          <w:i/>
          <w:iCs/>
          <w:lang w:eastAsia="sr-Latn-RS"/>
        </w:rPr>
        <w:t>in situ</w:t>
      </w:r>
      <w:r w:rsidRPr="00984859">
        <w:rPr>
          <w:rFonts w:ascii="Arial" w:eastAsia="Times New Roman" w:hAnsi="Arial" w:cs="Arial"/>
          <w:lang w:eastAsia="sr-Latn-RS"/>
        </w:rPr>
        <w:t xml:space="preserve"> kolagenazom i omogućavanjem sveže odvojenim ćelijama jetre da se pričvrste na prikladnu podlogu. Ćelije jetre životinja negativne kontrole imaju vijabilitet</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od najmanje 50%.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1.5.7. Određivanje UDS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Sveže izolovane ćelije jetre sisara inkubiraju se sa medijumom koji sadrži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tokom odgovarajućeg vremenskog perioda, npr. 3 do 8 sati. Na kraju perioda inkubacije medijum se uklanja od ćelija koje se tada mogu inkubirati sa medijmom koji sadrži višak neoznačenog timidina kako bi se izbegla neugrađena radiooaktivnost ("hladna potraga"). Ćelije se zatim ispiraju, fiksiraju i suše. Hladna potraga nije neophodna za produžena vremena inkubacije. Slajdovi se potapaju u autoradiografsku emulziju, izlažu u mraku (npr. u frižideru 7 do 14 dana), razvijaju, boje i izložena srebrna zrnca se prebrojavaju. Od svake životinje priprema se dva do tri slajda.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1.5.8.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Preparati slajdova sadrže dovoljno ćelija normalne morfologije kako bi se omogućilo značajno ocenjivanje UDS. Preparati se mikroskopski ispituju na znake očigledne citotoksičnosti (npr. piknoza, smanjen nivo radio označavanja).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Slajdovi se kodiraju pre prebrojavanja zrnaca. Obično se dobije 100 ćelija od svake životinje u najmanje dva slajda. Manje od 100 ćelija po životinji, se obrazlaže. Ne prebrojavaju za nukleusi S-faze, već se beleži razmera S-faze.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Količina ugrađenih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H-TdR u jedru i citoplazmi morfološki normalnih ćelija, dokazana taloženjem (deposition) srebrnih zrnaca, utvrđuje se odgovarajućim metodama.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Broj zrnaca se određuje po jedru (nuklearna zrnca, u daljem tekstu: NG) i jedru - ekvivalentnim područjima po citoplazmi (citoplazmatska zrnca, u daljem tekstu: CG). Broj CG se meri uzimanjem najviše označenog područja citoplazme ili uzimanjem proseka dva ili tri broja citoplazmatskih zrnaca u poređenju sa jedrom. Druge metode prebrojavanja (npr. brojavanje celih ćelija) mogu se koristiti ako je to opravdano</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Navode se podaci o pojedinačnim slajdovima i životinjama. Svi podaci se navode tabelarno. Neto nuklearna zrnca (u daljem tekstu: NNG) se izračunavaju za svaku ćeliju, za svaku životinju i svaku dozu i vreme, i to oduzimanjem broja CG od broja NG. Ukoliko se broje "ćelije u oporavku", kriterijumi za definisanje "ćelija u oporavku" se obrazlažu i zasnivaju na podacima negativne kontrole ranije ili konkurentne studije. Numerički rezultati mogu biti ocenjeni statističkim metodama. Ukoliko se koriste statističke metode, biraju se i opravdavaju pre izvođenja studije.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Kriterijumi za pozitivne odgovore uključuju: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a) NNG vrednosti iznad prethodno zadatog praga, a što je opravdano na osnovu laboratorijskih istorijskih podataka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NNG vrednosti koje su značajno veće nego istovremena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Kriterijumi za negativne odgovore uključuju: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NNG vrednosti u okviru/ispod istorijskog praga kontrole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NNG vrednosti koje nisu značajno veće od istovremene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razmotriti biološku relevantnost podataka, odnosno parametre kao što su međuživotinjska varijacija, odnos doza-odgovor, a uzima se u obzir i citotoksičnost. Pri ocenjivanju rezultata ispitivanja mogu se koristiti statističke metode. Statistički značaj ne treba da bude jedini određujući faktor za pozitivni odgovor.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Većina eksperimenata daje jasno pozitivne ili negativne rezultate, u retkim slučajevima podaci onemogućuju definitivnu ocenu o aktivnosti ispitivane supstance. Rezultati mogu ostati dvosmisleni ili sumnjivi bez obzira na broj ponavljanja eksperimenta.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Pozitivni rezultat UDS ispitivanja na ćelijama jetre sisara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ukazuje da ispitivana supstanca uzrokuje oštećenje DNK u ćelijama jetre sisara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koje se može popraviti vanrednom sintezom DNK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Negativni rezultat ukazuje da, pod uslovima ispitivanja, ispitivana supstanca ne uzrokuje oštećenja DNK koja su uočljiva ovim ispitivanjem.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prodiskutovati verovatnoću da ispitivana supstanca dospe u sistemsku cirkulaciju ili specifično u ciljano tkivo (npr. sistemska toksičnost).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Rastvaraču/vehikulumu: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opravdanje za izbor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i stabilnost ispitivane supstance u rastvaraču/vehikulumu, ukoliko je poznato.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korišćena vrsta/soj;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uslovi smeštaja,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individualna telesna masa životinja na početku ispitivanja, uključujući raspon telesne mase, srednju vrednost i standardnu devijaciju za svaku grupu.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pozitivne i negativne kontrole vehikuluma/rastvarača;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podaci iz studije traženja raspona, ukoliko je obavljena;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izbora nivoa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preparatu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primeni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puta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provere da je ispitivani agens dospeo do sistemske cirkulacije ili ciljnog tkiva, ukoliko je primenjivo;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konverzija iz koncentracije ispitivane supstance u hrani/vodi za piće (ppm) do stvarne doze (mg/kg telesna masa/dan), ukoliko je primenjivo;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tretmana i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merenja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pripreme ćelija jetre i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korišćena autoradiografska tehnika;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pripremljenih slajdova i broj prebrojanih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ocenjivanja;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da je ispitivanje pozitivno, negativno ili dvosmisleno.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individualni slajd, srednje vrednosti po životinji i grupi za nuklearna zrnca, citoplazmatska zrnca, ineto nuklearna zrnca;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doza-efekat, ukoliko je dostupan;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statistička ocena, ukoliko postoji;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znaci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istovremenoj negativnoj (rastvarač/vehikulum) i pozitivnoj kontroli;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istorijski podaci o negativnoj (rastvarač/vehikulum) i pozitivnoj kontroli s rasponom, srednjom vrednošću i standardnim devijacijama;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"ćelija u popravci" ako je utvrđen;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ćelija S-faze ako je utvrđen;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vijabilitet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Ashby, J., Lefevre, P.A., Burlinson, B. and Penman, M.G. (1985). An Assessment of the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Rat Hepatocyte DNK Repair Assay. Mutation Res., 156, 1-18.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Butterworth, B.E., Ashby, J., Bermudez, E., Casciano, D., Mirsalis, J., Probst, G. and Williams, G. (1987). A Protocol and Guide for the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Rat Hepatocyte DNA-Repair Assay. Mutation Res. 189, 123-133.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Kennelly, J.C., Waters, R., Ashby, J., Lefevre, P.A., Burlinson, B., Benford, D.J., Dean, S.W. and Mitchell, I. de G. (1993).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Rat Liver UDS Assay. In: Kirkland D.J. and Fox M., (Eds) Supplementary Mutagenicity Tests: UKEM Recommended Procedures. UKEMS Subcommittee on Guidelines for Mutagenicity Testing. Report. Part II revised. Cambridge University Press, Cambridge, New York, Port Chester, Melbourne, Sydney, pp. 52-77.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Madle, S., Dean, S.W., Andrae, U., Brambilla, G., Burlinson, B., Doolittle, D.J., Furihata, C., Hertner, T., McQueen, C.A. and Mori, H. (1993). Recommendations for the Performance of UDS Tests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and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Mutation Res., 312, 263-285.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Fautz, R., Hussain, B., Efstathiou, E. and Hechenberger-Freudl, C. (1993). Assessment of the Relation Between the Initial Viability and the Attachment of Freshly Isolated Rat Hepatocytes Used for the </w:t>
      </w:r>
      <w:r w:rsidRPr="00984859">
        <w:rPr>
          <w:rFonts w:ascii="Arial" w:eastAsia="Times New Roman" w:hAnsi="Arial" w:cs="Arial"/>
          <w:i/>
          <w:iCs/>
          <w:lang w:eastAsia="sr-Latn-RS"/>
        </w:rPr>
        <w:t>In vivo</w:t>
      </w:r>
      <w:r w:rsidRPr="00984859">
        <w:rPr>
          <w:rFonts w:ascii="Arial" w:eastAsia="Times New Roman" w:hAnsi="Arial" w:cs="Arial"/>
          <w:lang w:eastAsia="sr-Latn-RS"/>
        </w:rPr>
        <w:t>/</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DNK Repair Assay (UDS). Mutation Res., 291, 21-27.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Mirsalis, J.C., Tyson, C.K. and Butterworth, B.E. (1982). Detection of Genotoxic Carcinogens in the </w:t>
      </w:r>
      <w:r w:rsidRPr="00984859">
        <w:rPr>
          <w:rFonts w:ascii="Arial" w:eastAsia="Times New Roman" w:hAnsi="Arial" w:cs="Arial"/>
          <w:i/>
          <w:iCs/>
          <w:lang w:eastAsia="sr-Latn-RS"/>
        </w:rPr>
        <w:t>In vivo</w:t>
      </w:r>
      <w:r w:rsidRPr="00984859">
        <w:rPr>
          <w:rFonts w:ascii="Arial" w:eastAsia="Times New Roman" w:hAnsi="Arial" w:cs="Arial"/>
          <w:lang w:eastAsia="sr-Latn-RS"/>
        </w:rPr>
        <w:t>/</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Hepatocyte DNK Repair Assay. Environ. Mutagen, 4, 553-562.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B.40. </w:t>
      </w:r>
      <w:r w:rsidRPr="00984859">
        <w:rPr>
          <w:rFonts w:ascii="Arial" w:eastAsia="Times New Roman" w:hAnsi="Arial" w:cs="Arial"/>
          <w:b/>
          <w:bCs/>
          <w:i/>
          <w:iCs/>
          <w:lang w:eastAsia="sr-Latn-RS"/>
        </w:rPr>
        <w:t xml:space="preserve">IN VITRO </w:t>
      </w:r>
      <w:r w:rsidRPr="00984859">
        <w:rPr>
          <w:rFonts w:ascii="Arial" w:eastAsia="Times New Roman" w:hAnsi="Arial" w:cs="Arial"/>
          <w:b/>
          <w:bCs/>
          <w:lang w:eastAsia="sr-Latn-RS"/>
        </w:rPr>
        <w:t xml:space="preserve">ISPITIVANJE KOROZIVNOG OŠTEĆENJA KOŽE: ISPITIVANJE TRANSKUTANOG ELEKTRIČNOG OTPORA (TER)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430 (2004).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Korozivno oštećenje kože odnosi se na stvaranje ireverzibilnog oštećenja tkiva u koži po nanošenju materijala koji se ispituje (kao što je definisano u GHS)</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Ova metoda obezbeđuje proceduru kojom se procena korozivnosti ne izvodi na živim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 korozivnosti za kožu uključuje upotrebu laboratorijskih životinja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Zabrinutost zbog bola i patnje životinja koje su uključene u ovaj postupak navodi se u reviziji metode V.4. koja je data u ovom prilogu, a koja dozvoljava određivanje korozivnog oštećenja kože upotrebom alternativnih,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metoda, da bi se izbegli bol i patnja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Prvi korak ka definisanju alternativnih ispitivanja koji se mogu koristiti za ispitivanje korozivnosti za kožu u regulatorne svrhe bilo je izvođenje prevalidacionih studija</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Potom je izvedena</w:t>
      </w:r>
      <w:r w:rsidRPr="00984859">
        <w:rPr>
          <w:rFonts w:ascii="Arial" w:eastAsia="Times New Roman" w:hAnsi="Arial" w:cs="Arial"/>
          <w:b/>
          <w:bCs/>
          <w:sz w:val="15"/>
          <w:szCs w:val="15"/>
          <w:vertAlign w:val="superscript"/>
          <w:lang w:eastAsia="sr-Latn-RS"/>
        </w:rPr>
        <w:t xml:space="preserve">6, 7, 8 </w:t>
      </w:r>
      <w:r w:rsidRPr="00984859">
        <w:rPr>
          <w:rFonts w:ascii="Arial" w:eastAsia="Times New Roman" w:hAnsi="Arial" w:cs="Arial"/>
          <w:lang w:eastAsia="sr-Latn-RS"/>
        </w:rPr>
        <w:t xml:space="preserve">formalna validacija studija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metoda za procenu korozivnog oštećenja kože</w:t>
      </w:r>
      <w:r w:rsidRPr="00984859">
        <w:rPr>
          <w:rFonts w:ascii="Arial" w:eastAsia="Times New Roman" w:hAnsi="Arial" w:cs="Arial"/>
          <w:b/>
          <w:bCs/>
          <w:sz w:val="15"/>
          <w:szCs w:val="15"/>
          <w:vertAlign w:val="superscript"/>
          <w:lang w:eastAsia="sr-Latn-RS"/>
        </w:rPr>
        <w:t>4, 5</w:t>
      </w:r>
      <w:r w:rsidRPr="00984859">
        <w:rPr>
          <w:rFonts w:ascii="Arial" w:eastAsia="Times New Roman" w:hAnsi="Arial" w:cs="Arial"/>
          <w:lang w:eastAsia="sr-Latn-RS"/>
        </w:rPr>
        <w:t xml:space="preserve">. Ishod ovih studija i druga objavljena literatura doveli su do preporuke da se sledeća ispitivanja mogu koristiti za procenu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korozivnosti za kožu</w:t>
      </w:r>
      <w:r w:rsidRPr="00984859">
        <w:rPr>
          <w:rFonts w:ascii="Arial" w:eastAsia="Times New Roman" w:hAnsi="Arial" w:cs="Arial"/>
          <w:b/>
          <w:bCs/>
          <w:sz w:val="15"/>
          <w:szCs w:val="15"/>
          <w:vertAlign w:val="superscript"/>
          <w:lang w:eastAsia="sr-Latn-RS"/>
        </w:rPr>
        <w:t>9, 10, 11</w:t>
      </w:r>
      <w:r w:rsidRPr="00984859">
        <w:rPr>
          <w:rFonts w:ascii="Arial" w:eastAsia="Times New Roman" w:hAnsi="Arial" w:cs="Arial"/>
          <w:lang w:eastAsia="sr-Latn-RS"/>
        </w:rPr>
        <w:t xml:space="preserve">: ispitivanje sa modelom humane kože (videti metodu V.40 </w:t>
      </w:r>
      <w:r w:rsidRPr="00984859">
        <w:rPr>
          <w:rFonts w:ascii="Arial" w:eastAsia="Times New Roman" w:hAnsi="Arial" w:cs="Arial"/>
          <w:i/>
          <w:iCs/>
          <w:lang w:eastAsia="sr-Latn-RS"/>
        </w:rPr>
        <w:t>bis</w:t>
      </w:r>
      <w:r w:rsidRPr="00984859">
        <w:rPr>
          <w:rFonts w:ascii="Arial" w:eastAsia="Times New Roman" w:hAnsi="Arial" w:cs="Arial"/>
          <w:lang w:eastAsia="sr-Latn-RS"/>
        </w:rPr>
        <w:t xml:space="preserve"> koja je data u ovom prilogu) i ispitivanje transkutanog električnog otpora (ova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Studija validacije i druge objavljene studije potvrđuju da je ispitivanje transkutanog električnog otpora (TER) kože pacova</w:t>
      </w:r>
      <w:r w:rsidRPr="00984859">
        <w:rPr>
          <w:rFonts w:ascii="Arial" w:eastAsia="Times New Roman" w:hAnsi="Arial" w:cs="Arial"/>
          <w:b/>
          <w:bCs/>
          <w:sz w:val="15"/>
          <w:szCs w:val="15"/>
          <w:vertAlign w:val="superscript"/>
          <w:lang w:eastAsia="sr-Latn-RS"/>
        </w:rPr>
        <w:t xml:space="preserve">12, 13 </w:t>
      </w:r>
      <w:r w:rsidRPr="00984859">
        <w:rPr>
          <w:rFonts w:ascii="Arial" w:eastAsia="Times New Roman" w:hAnsi="Arial" w:cs="Arial"/>
          <w:lang w:eastAsia="sr-Latn-RS"/>
        </w:rPr>
        <w:t>moguće pouzdano napraviti razliku između poznatih koroziva za kožu i nekoroziva</w:t>
      </w:r>
      <w:r w:rsidRPr="00984859">
        <w:rPr>
          <w:rFonts w:ascii="Arial" w:eastAsia="Times New Roman" w:hAnsi="Arial" w:cs="Arial"/>
          <w:b/>
          <w:bCs/>
          <w:sz w:val="15"/>
          <w:szCs w:val="15"/>
          <w:vertAlign w:val="superscript"/>
          <w:lang w:eastAsia="sr-Latn-RS"/>
        </w:rPr>
        <w:t>5, 9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koje se opisuje u ovoj metodi omogućava identifikaciju korozivnih hemijskih supstanci i smeša. To dalje omogućava identifikaciju supstanci i smeša koje nisu korozivne kada je to potkrepljeno određivanjem težine dokaza korišćenjem (na osnovu) postojećih informacija (npr. pH, odnos struktura - aktivnost, humani ili životinjski podaci)</w:t>
      </w:r>
      <w:r w:rsidRPr="00984859">
        <w:rPr>
          <w:rFonts w:ascii="Arial" w:eastAsia="Times New Roman" w:hAnsi="Arial" w:cs="Arial"/>
          <w:b/>
          <w:bCs/>
          <w:sz w:val="15"/>
          <w:szCs w:val="15"/>
          <w:vertAlign w:val="superscript"/>
          <w:lang w:eastAsia="sr-Latn-RS"/>
        </w:rPr>
        <w:t>1, 2, 11, 14</w:t>
      </w:r>
      <w:r w:rsidRPr="00984859">
        <w:rPr>
          <w:rFonts w:ascii="Arial" w:eastAsia="Times New Roman" w:hAnsi="Arial" w:cs="Arial"/>
          <w:lang w:eastAsia="sr-Latn-RS"/>
        </w:rPr>
        <w:t>. To ne daje podatak o iritaciji kože, niti dozvoljava subklasifikaciju korozivne supstance kao što je to dozvoljeno u GHS</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potpunu procenu lokalnih efekata na koži posle jednokratnog izlaganja putem kože, preporučuje se da se prati sledeća strategija ispitivanja kao što je dodato u ispitivanju metodi V.4.</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koja je data u ovom prilogu i kao što je dato u GHS</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Ova strategija ispitivanja uključuje izvođenje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ispitivanje za korozivno oštećenje kože (kao što je opisano u ovoj metodi) i iritacije kože pre razmatranja ispitivanja na živim životinjama.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Korozivno oštećenje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jeste nastanak ireverzibilnih oštećenja kože odnosno vidljive nekroze u epidermisu i dermisu nakon četvoročasovne primene ispitivane supstance. Korozivno oštećenje kože karakteriše se prema tipu izazvanog oštećenja kao:ulkus, krvarenje ili krvave kraste i na kraju perioda posmatranja od 14 dana prema promeni boje kože uslovljene perutanjem i pojavi površina sa alopecijom i ožiljnog tkiva. U cilju procene nejasnih oštećenja obavljaju se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Transkutani električni otpor (u daljem tekstu: TER) jeste mera električne impedance kože, kao vrednost otpora u kilo omima. Jednostavna i snažna metoda procene funkcije barijere snimanjem prolaska jona kroz kožu pomoću aparature Wheatstone bridge.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Referentne hemikalije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290"/>
        <w:gridCol w:w="1599"/>
        <w:gridCol w:w="1450"/>
        <w:gridCol w:w="1793"/>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Naziv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1,2-diaminopropan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201-155-9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78-90-0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jako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akrilna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201-177-9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79-10-7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jako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2-terc- butilfenol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201-807-2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88-18-6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Kalijum-hidroksid (10%)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215-181-3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1310-58-3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sumporna kiselina (10%)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231-639-5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7664-93-9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oktanska kiselina (kaprilna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204-677-5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124-07-02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4-amino-1,2,4-triazol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209-533-5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584-13-4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eugenol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202-589-1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97-53-0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Fenetil-bromid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203-130-8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103-63-9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tetrahloretilen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204-825-9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27-18-4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izostearinska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250-178-0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30399-84-9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4-(metiltio)-benzaldehid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222-365-7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3446-89-7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Većina navedenih hemikalija preuzeta je sa spiska hemikalija izabranih za međunarodnu studiju validacije ECVAM</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Njihov izbor se bazira na sledećim kriterijumima: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jednak broj korozivnih i nekorozivnih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komercijalno dostupne supstance koje pokrivaju većinu relevantnih hemijskih klasa;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obuhvatanje jako korozivnih kao i manje korozivnih supstanci kako bi se omogućilo razlikovanje na osnovu korozivnog potencijala;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izbor hemikalija kojima se može rukovati u laboratoriji bez postavljanja drugih ozbiljnih opasnosti osim korozivnosti.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Hemikalija koja se ispituje primenjuje se do 24 sata na epidermalne površine diskova kože u sistemu za ispitivanje koji se sastoji od dve komore u kome diskovi kože funkcionišu kao pregrada između komora. Diskovi kože su uzeti od humano usmrćenih pacova starosti 28 do 30 dana. Korozivni materijali se identifikuju prema njihovom svojstvu da produkuju gubitak integriteta i zaštitne funkcije stratum corneum-a, što se meri kao smanjenje TER ispod graničnog nivoa</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Za TER pacova, granična vrednost od 5 kΩ izabrana je na osnovu opsežnih podataka za širok opseg hemikalija gde je velika većina vrednosti bila ili jasno dosta iznad (često &gt; 10 kΩ ili dosta ispod (često &lt; 3 kΩ) ove vrednosti</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Materijali koji nisu korozivni kod životinja ali jesu ili nisu iritabilni ne snižavaju TER ispod ove granične vrednosti. Korićenje drugih preparata kože ili druge opreme može da izmeni graničnu vrednost i zahteva dalju validaciju. Korak vezivanja boje uključen je u postupak ispitivanja za potvrdu pozitivnih rezultata TER uključujući vrednosti približne 5kΩ.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Korak vezivanja boje određuje da li je povećanje u propustljivosti jona posledica fizičkog oštećenja stratum corneum-a. Metoda ispitivanja TER koja koristi kožu pacova ukazuje na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korozivnost na kunićima koja se procenjuje u metodi ispitivanja V.4. koja je data u ovom prilogu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na kunićima je visoko konzervativan u pogledu na korozivnost i iritabilnost za kožu u poređenju sa "patch" testom na humanoj koži</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Koriste se pacovi jer je osetljivost njihove kože na hemikalije u ovoj metodi prethodno prikazana</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Starost (u trenutku uzimanja kože) i soj pacova su veoma važni kako bi se obezbedilo da su folikuli dlake u fazi mirovanja pre nego što počne rast krzna odraslih.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Dlaka na leđima i boku mladih, približno 22 dana starih mužjaka ili ženki pacova (izvedenih od Wistar ili sličnog soja) pažljivo se ukloni pomoću malih makaza. Onda se životinje peru pažljivim brisanjem, dok se ograničeni deo potapa u rastvor antibiotika (koji sadrži, npr. streptomicin, penicilin, hloramfenikol i amfotericin, u koncentracijama koje imaju efekat inhibicije rasta bakterija). Životinje se peru antibioticima ponovo trećeg i četvrtog dana posle </w:t>
      </w:r>
      <w:r w:rsidRPr="00984859">
        <w:rPr>
          <w:rFonts w:ascii="Arial" w:eastAsia="Times New Roman" w:hAnsi="Arial" w:cs="Arial"/>
          <w:lang w:eastAsia="sr-Latn-RS"/>
        </w:rPr>
        <w:lastRenderedPageBreak/>
        <w:t xml:space="preserve">prvog pranja i koriste se tokom tri dana posle drugog pranja, kada se stratum corneum oporavio od odstranjivanja dlake.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Priprema diskova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humano lišavaju života kada su 28 do 30 dana stari. Ovo doba je kritično. Dorzalno-lateralna koža svake životinje ukloni se i skine se prekomerna subkutana masnoća pažljivim guljenjem sa kože. Diskovi kože prečnika od oko 20 mm se uklone. Koža se može čuvati pre nego što se diskovi upotrebe kada je pokazano da su podaci pozitivne i negativne kontrole jednaki onima koji se dobiju sa svežom kožom.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Svaki disk kože se postavlja preko jednog od krajeva politetrafluoroetilenske (u daljem tekstu: PTFE) cevi, obezbeđujući da je epidermalna površina u kontaktu sa cevi. Gumeni "O" prsten stavlja se na kraj cevi kako bi držao kožu na mestu i višak tkiva se odstranjuje. Dimenzije cevi i "O" prstena prikazane su na Slici 2. Gumeni "O" prsten se tada pažljivo pečati za kraj PTFE cevi vazelinom. Cev se podupire opružnom podloškom unutar receptorske komore koja sadrži rastvor magnezijum sulfata (154 mM) (Slika 1). Disk kože je potpuno uronjen u rastvor MgSO4. Čak 10 do 15 diskova kože može se dobiti od jedne kože pacova.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nego što počne ispitivanje, meri se električni otpor dva diska kože kao postupak kontrole kvaliteta za svaku kožu životinje. Oba diska daju vrednost otpora veću od 10 kΩ kako bi se preostali diskovi koristili u ispitivanju. Ukoliko je vrednost otpora manja od 10 kΩ, preostali diskovi te kože se odbacuju.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Primena ispitivanih i kontrolnih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Tečne ispitivane supstance (150 μL) ravnomerno se nanose na epidermalnu površinu unutar cevi. Prilikom ispitivanja čvrstih materijala, nanosi se dovoljna količina čvrste materije ujednačeno na disk tako da čitava površina epidermisa bude pokrivena. Preko čvrste materije dodaje se dejonizovana voda (150 μL) i cev se blago prodrma. Kako bi se postigao maksimalan kontakt s kožom, čvrste materije je možda potrebno zagrejati do temperature od 30° C da bi se otopile ili je potrebno omekšati ispitivanu supstancu ili je usitniti da se napravi zrnasti materijal ili prah.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 diska kože koriste se za svaku ispitivanu i kontrolnu supstancu. Ispitivane supstance se primenjuju 24 sata pri temperaturi od 20° C do 23° C. Ispitivana supstanca se uklanja pranjem pod mlazom vode temperature do 30° C sve dok se više supstance ne može odstraniti.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TER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Impedanca kože se meri tako što se meri TER niskovoltažnim uređajem s naizmeničnom strujom Wheatstone databridge</w:t>
      </w:r>
      <w:r w:rsidRPr="00984859">
        <w:rPr>
          <w:rFonts w:ascii="Arial" w:eastAsia="Times New Roman" w:hAnsi="Arial" w:cs="Arial"/>
          <w:b/>
          <w:bCs/>
          <w:sz w:val="15"/>
          <w:szCs w:val="15"/>
          <w:vertAlign w:val="superscript"/>
          <w:lang w:eastAsia="sr-Latn-RS"/>
        </w:rPr>
        <w:t>13</w:t>
      </w:r>
      <w:r w:rsidRPr="00984859">
        <w:rPr>
          <w:rFonts w:ascii="Arial" w:eastAsia="Times New Roman" w:hAnsi="Arial" w:cs="Arial"/>
          <w:lang w:eastAsia="sr-Latn-RS"/>
        </w:rPr>
        <w:t xml:space="preserve">. Opšte karakteristike mosta su radni napon 1-3 Volt-a, naizmenična struja od 50 Hz do 1.000 Hz sinusnog ili četvrtastog oblika i opseg merenja od najmanje 0,1 kΩ do 30 kΩ. "Databridge" koji je korišćen u studiji validacije gde je merio induktivnost, kapacitivnost i otpor do vrednosti od redom 2.000 H, 2.000 μF i 2 MΩ, pri frekvencijama od 100 Hz ili 1 kHz koristeći redne ili paralelne vrednosti. U svrhu TER korozivnosti, merenja u ispitivanju se snimaju u otporu, pri frekvenci od 100 Hz i korišćenjem rednih vrednosti. Pre merenja električnog otpora površinski napon kože se smanjuje dodavanjem dovoljne zapremine 70% etanola da pokrije epiderm. Posle nekoliko sekundi etanol se uklanja iz cevi i tkivo se tada hidrira dodavanjem rastvora 3 mL rastvora magnezijum sulfata (154 mM). "Databridge" elektrode se postavljaju na obe strane diskova kože kako bi se izmerio otpor u kΩ/disk kože (Slika 1). Dimenzije elektroda i dužina elektroda </w:t>
      </w:r>
      <w:r w:rsidRPr="00984859">
        <w:rPr>
          <w:rFonts w:ascii="Arial" w:eastAsia="Times New Roman" w:hAnsi="Arial" w:cs="Arial"/>
          <w:lang w:eastAsia="sr-Latn-RS"/>
        </w:rPr>
        <w:lastRenderedPageBreak/>
        <w:t xml:space="preserve">koja je izložena ispod štipaljki prikazane su na Slici 2. Štipaljka koja je zakačena na unutrašnju elektrodu otvorena je na vrhu PTFE cevi tokom merenja otpora kako bi se obezbedilo da je dužina elektrode koja je uronjena u rastvor MgSO4 stalna. Spoljna elektroda se nalazi unutar receptorske komore tako da naleže na dno komore. Razmak između opružne podloške i dna PTFE cevi održava se konstantnim (Slika 2), budući da ovaj razmak utiče na dobijene vrednosti otpora. Zbog toga, razmak između unutrašnje elektrode i diska kože treba da bude konstantan i minimalan (1 mm do 2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je izmerena vrednost otpora veća od 20kΩ, to može biti zbog toga što ostaci ispitivane supstance prekrivaju epidermalnu površinu diska kože. Može se pokušati sa daljim odstranjivanjem ovog sloja, npr. začepljivanjem PTFE cevi palcem u rukavici i protresanjem približno 10 sekundi. Rastvor magnezijum sulfata se odstranjuje i merenje otpora se ponavlja sa svežim magnezijum sulfatom.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Svojstva i dimenzije aparature za ispitivanje i postupka ispitivanja koji se koriste mogu da utiču na dobijene vrednosti TER. Granična vrednost od 5 kΩ je izvedena iz podataka dobijenih sa specifičnom aparaturom i postupkom koji su opisani u ovoj metodi. Drugačija granična vrednost i vrednosti kontrole mogu se primeniti ukoliko su uslovi ispitivanja izmenjeni ili se koristi drugačija aparatura. Zbog toga je neophodno kalibrisati ovu metodologiju i vrednosti graničnog otpora ispitivanjem serije referentnih standarda koji su izabrani od hemikalija korićenih u studiji validacije</w:t>
      </w:r>
      <w:r w:rsidRPr="00984859">
        <w:rPr>
          <w:rFonts w:ascii="Arial" w:eastAsia="Times New Roman" w:hAnsi="Arial" w:cs="Arial"/>
          <w:b/>
          <w:bCs/>
          <w:sz w:val="15"/>
          <w:szCs w:val="15"/>
          <w:vertAlign w:val="superscript"/>
          <w:lang w:eastAsia="sr-Latn-RS"/>
        </w:rPr>
        <w:t xml:space="preserve">4, 5 </w:t>
      </w:r>
      <w:r w:rsidRPr="00984859">
        <w:rPr>
          <w:rFonts w:ascii="Arial" w:eastAsia="Times New Roman" w:hAnsi="Arial" w:cs="Arial"/>
          <w:lang w:eastAsia="sr-Latn-RS"/>
        </w:rPr>
        <w:t xml:space="preserve">ili od hemijskih klasa sličnih hemikaliji koja se ispituje. Grupa odgovarajućih referentnih hemikalija data je u Tabeli 1.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1.5.5. Metode vezivanja boje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Ekspozicija određenim materijalima koji nisu korozivni može da ima za posledicu smanjenje otpora ispod granice od 5 kΩ dozvoljavajući prolazak jona kroz stratum corneum tako smanjujući električni otpor</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Na primer, neutralne organske i hemikalije koje imaju površinski aktivna svojstva (uključujući detergente, emulgatore i druge surfaktante) mogu da uklone lipide kože čineći barijeru više propustljivom za jone. Ako su TER vrednosti ispitivane supstance manje od ili približno 5 kΩ u odsustvu vidljivog oštećenja, procena prodiranja boje izvodi se na kontrolnim i tretiranim tkivima da bi se odredilo da li su dobijene TER vrednosti rezultat povećane propustljivosti kože ili korozivno oštećenje kože</w:t>
      </w:r>
      <w:r w:rsidRPr="00984859">
        <w:rPr>
          <w:rFonts w:ascii="Arial" w:eastAsia="Times New Roman" w:hAnsi="Arial" w:cs="Arial"/>
          <w:b/>
          <w:bCs/>
          <w:sz w:val="15"/>
          <w:szCs w:val="15"/>
          <w:vertAlign w:val="superscript"/>
          <w:lang w:eastAsia="sr-Latn-RS"/>
        </w:rPr>
        <w:t>3, 5</w:t>
      </w:r>
      <w:r w:rsidRPr="00984859">
        <w:rPr>
          <w:rFonts w:ascii="Arial" w:eastAsia="Times New Roman" w:hAnsi="Arial" w:cs="Arial"/>
          <w:lang w:eastAsia="sr-Latn-RS"/>
        </w:rPr>
        <w:t xml:space="preserve">. U drugom slučaju kada postoji prekid u stratum corneum-u, boja sulforodamin B, kada se nanese na površinu kože brzo prodire i boji potporno tkivo. Ova određena boja je stabilna prema širokom opsegu hemikalija i na rezultate ne utiče proces ekstrakcije koji je opisan ispod.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1.5.5.1. Nanošenje i uklanjanje sulforodamin B boje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Posle procene TER, magnezijum sulfat se odstranjuje iz cevi i koža se pažljivo pregleda kako bi se uočilo oštećenje. Ukoliko nema vidljivog većeg oštećenja, boja sulforodamin B (Acid Red 52; C.I. 45100; EINECS broj 222-529-8; CAS broj 3520-42-1), 150 µL 10% (w/v) rastvor u destilovanoj vodi nanosi se na epidermalnu površinu svakog diska kože na dva sata. Diskovi kože se tada ispiraju sa vodom sa česme pri najviše sobnoj temperaturi približno 10 sekundi kako bi se odstranila sva prekomerna/nevezana boja. Svaki disk kože pažljivo se ukloni sa PTFE cevi i stavlja u bočicu (npr. 20 mL staklena scintilaciona bočica) koja sadrži dejonizovanu vodu (8 mL). Bočice se lagano mešaju pet minuta kako bi se odstranila dodatna nevezana boja. Ovaj postupak ispiranja se zatim ponavlja, posle čega se diskovi kože uklanjaju i stavljaju u bočice koje sadrže 5mL 30% (w/v) natrijum dodecilsulfata (SDS) u destilovanoj vodi i inkubiraju se preko noći na 60°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Posle inkubacije svaki disk kože se odstranjuje i baca, a preostali rastvor se centrifugira osam minuta pri 21° C (relativna centrifugalna sila je oko 175xg). Uzorak od 1mL </w:t>
      </w:r>
      <w:r w:rsidRPr="00984859">
        <w:rPr>
          <w:rFonts w:ascii="Arial" w:eastAsia="Times New Roman" w:hAnsi="Arial" w:cs="Arial"/>
          <w:lang w:eastAsia="sr-Latn-RS"/>
        </w:rPr>
        <w:lastRenderedPageBreak/>
        <w:t xml:space="preserve">supernatanta se razblažuje 1 u 5 (v/v) (tj. 1mL + 4mL) sa 30% (w/v) SDS u destilovanoj vodi. Optička gustina (u daljem tekstu: OD) rastvora meri se na 565 nm.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1.5.5.2. Izračunavanje sadržaja boje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Sadržaj boje sulforodamin B po disku izračunava se iz OD vrednosti</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(koeficijent molarne estinkcije boje sulforodamin B pri 565 nm = 8,7 x 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molekularna masa = 580). Sadržaj boje sulforodamin B određuje se za svaki disk kože korišćenjem odgovarajuće kalibracione krive i zatim se izračunava srednja vrednost sadržaja boje za replikate.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Vrednosti otpora (kΩ) i srednje vrednosti sadržaja boje(μg/disk), kada to odgovara, za ispitivani materijal, kao i za pozitivne i negativne kontrole navode se tabelarno (pojedinačni podaci ispitivanja i srednje vrednosti ± S.D.), uključujući podatke za ponovljene eksperimente, srednje vrednosti i pojedinačne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Srednje vrednosti TER prihvataju se ako su vrednosti istovremene pozitivne i negativne kontrole u prihvatljivim okvirima za metodu u laboratoriji koja vrši ispitivanje. Prihvatljivi opsezi otpora za metodologiju i aparaturu koje su opisane dati su u sledećoj tabeli: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32"/>
        <w:gridCol w:w="4562"/>
        <w:gridCol w:w="2938"/>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kontrola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opseg otpora (kΩ)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pozitivna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10M hlorovodonična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0,5 - 1,0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negativna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destilovana voda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10 - 25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srednje vrednosti sadržaja boje prihvataju se ako se vrednosti istovremene kontrole nalaze u okviru prihvatljivih opsega za metodu. Predloženi prihvatljivi opsezi sadržaja boje za kontrolne supstance za metodologiju i aparaturu koje su opisani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2.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44"/>
        <w:gridCol w:w="4566"/>
        <w:gridCol w:w="2922"/>
      </w:tblGrid>
      <w:tr w:rsidR="00984859" w:rsidRPr="00984859" w:rsidTr="00984859">
        <w:trPr>
          <w:tblCellSpacing w:w="0" w:type="dxa"/>
        </w:trPr>
        <w:tc>
          <w:tcPr>
            <w:tcW w:w="9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kontrola </w:t>
            </w:r>
          </w:p>
        </w:tc>
        <w:tc>
          <w:tcPr>
            <w:tcW w:w="25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16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opseg sadržaja boje (μg/disk)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pozitivna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10M hlorovodonična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40 - 100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negativna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destilovana voda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15 - 35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koja se ispituje ne smatra se korozivnom za kožu: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ako je srednja vrednost TER dobijena za ispitivanu supstancu veća od 5 kΩ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ako je srednja vrednost TER manja ili jednaka 5 kΩ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disk kože ne pokazuje vidljivo oštećenje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srednja vrednost sadržaja boje diska je daleko ispod srednjeg sadržaja boje diska istovremene pozitivne kontrole, 10M HCl.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Ispitivana supstanca se smatra korozivnom za kožu: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ako je srednja vrednost TER manja ili jednaka 5 kΩ i disk kože je vidljivo oštećen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ako je srednja vrednost TER manja ili jednaka 5 kΩ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disk kože ne pokazuje vidljivo oštećenje, ali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srednja vrednost sadržaja boje diska je veća ili jednaka srednjoj vrednosti sadržaja boje diska istovremene pozitivne kontrole, 10M HCl.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Ispitivanim i kontrolnim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hemijsko ime kao što je IUPAC ili CAS ime i CAS broj, ako je poznato;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čistoća i sastav supstance ili smeše (u težinskim procentima) i fizička priroda;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i hemijska svojstva kao što su fizičko stanje, pH, stabilnost, rastvorljivost u vodi, ono što je relevantno za izvođenje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tretman ispitivane/kontrolne supstance pre ispitivanja, ako je primenljivo (npr. zagrevanje, usitnjavanje);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stabilnost, ako je poznata.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 soj i pol;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starost životinja u trenutku kada se koriste kao donorske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uslovi smeštaja,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pripremanja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kalibracione krive za aparaturu na kojoj se vrši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kalibracione krive za izvođenje ispitivanja vezivanja boje;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postupka ispitivanja koji se koristi za merenja TER;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postupka ispitivanja koji se koristi za procenu vezivanja boje, ako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svake izmene postupka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korišćenih kriterijuma za ocenjivanje.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 tabeli dati podaci ispitivanja TER i vezivanja boje (ako je odgovarajuće) za svaku pojedinačnu životinju i uzorak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svakog primećenog efekta.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(2001) Harmonised Integrated Classification System for Human Health and Environmental Hazards of Chemical Substances and Mixtures. OECD Series on Testing and Assessment Number 33. ENV/JM/MONO(2001)6, Paris. http://www.olis.oecd.org/olis/2001doc.nsf/LinkTo/env-jm-mono(2001)6.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Testing Method B.4. Acute Toxicity: Dermal Irritation/Corrosion.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Botham, P.A., Chamberlain, M., Barratt, M.D., Curren, R.D., Esdaile, D.J., Gardner, J.R., Gordon, V.C., Hildebrand, B., Lewis, R.W., Liebsch, M., Logemann, P., Osborne, R., Ponec, M., Regnier, J.F., Steiling, W., Walker, A.P., and Balls, M., (1995) A prevalidation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skin corrosivity testing. The report and recommendations of ECVAM Workshop 6. ATLA 23, p. 219-255.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Barratt, M.D., Brantom, P.G., Fentem, J.H., Gerner, I., Walker, A.P., and Worth, A.P. (1998). The ECVAM international 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tests for skin corrosivity. 1. Selection and distribution of the test chemicals.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12, p. 471-482.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Fentem, J.H., Archer, G.E.B., Balls, M., Botham, P.A., Curren, R.D., Earl, L.K., Esdaile, D.J., Holzhütter, H.- G., and Liebsch, M., (1998) The ECVAM international 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tests for skin corrosivity. 2. Results and evaluation by the Management Team.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12, p. 483- 524.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OECD, (1996) Final Report of the OECD Workshop on Harmonisation of Validation and Acceptance Criteria for Alternative Toxicological Test Methods, p. 62.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Balls, M., Blaauboer, B.J., Fentem. J.H., Bruner. L., Combes, R.D., Ekwall, B., Fielder. R.J., Guillouzo, A., Lewis, R.W., Lovell, D.P., Reinhardt, C.A., Repetto, G., Sladowski. D., Spielmann, H., and Zucco, F., (1995) Practical aspects of the validation of toxicity test procedures. The report and recommendations of ECVAM workshops. ATLA 23, p. 129-147.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ICCVAM, (Interagency Coordinating Committee on the Validation of Alternative Methods)., (1997) Validation and Regulatory Acceptance of Toxicological Test Methods. NIH Publication No 97-3981. National Institute of Environmental Health Sciences, Research Triangle Park, NC, USA. http://iccvam.niehs.nih.gov/docs/guidelines/validate.pdf.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ECVAM, (1998) ECVAM News &amp; Views. ATLA 26, 275-280.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ICCVAM (Interagency Coordinating Committee on the Validation of Alternative Methods)., (2002) ICCVAM evaluation of EpiDermTM, EPISKINTM (EPI-200), and the Rat Skin Transcutaneous Electrical Resistance (TER) assay: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 methods for assessing </w:t>
      </w:r>
      <w:r w:rsidRPr="00984859">
        <w:rPr>
          <w:rFonts w:ascii="Arial" w:eastAsia="Times New Roman" w:hAnsi="Arial" w:cs="Arial"/>
          <w:lang w:eastAsia="sr-Latn-RS"/>
        </w:rPr>
        <w:lastRenderedPageBreak/>
        <w:t xml:space="preserve">dermal corrosivity potential of chemicals. NIH Publication No 02-4502. National Toxicology Program Interagency Center for the Evaluation of Alternative Toxicological Methods, National Institute of Environmental Health Sciences, Research Triangle Park, NC, USA. http://iccvam.niehs.nih.gov/methods/epiddocs/epis_brd.pdf.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OECD (2002) Extended Expert Consultation Meeting on The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Skin Corrosion Test Guideline Proposal, Berlin, 1st-2nd November 2001, Secretariat‘s Final Summary Report, 27th March 2002, OECD ENV/EHS, available upon request from the Secretariat.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Oliver, G.J.A., Pemberton, M.A., and Rhodes, C., (1986) An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skin corrosivity test -modificationsand validation. Fd. Chem. Toxicol. 24, 507-512.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Botham, P.A., Hall, T.J., Dennett, R., McCall, J.C., Basketter, D.A., Whittle, E., Cheeseman, M., Esdaile, D.J., and Gardner, J., (1992) The skin corrosivity test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results of an interlaboratory trial. Toxic.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6, p. 191-194.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Worth A.P., Fentem J.H., Balls, M., Botham, P.A., Curren, R.D., Earl, L.K., Esdaile D.J., Liebsch, M., (1998) An Evaluation of the Proposed OECD Testing Strategy for Skin Corrosion. ATLA 26, p. 709-720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Basketter, D.A., Chamberlain, M., Griffiths, H.A., Rowson, M., Whittle, E., York, M., (1997) The classification of skin irritants by human patch test. Fd. Chem. Toxicol. 35, p. 845-852.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Oliver G.J.A, Pemberton M.A and Rhodes C., (1988) An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model for identifying skin-corrosive chemicals. I. Initial Validation. Toxicology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2, p. 7-17.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Aparatura za ispitivanje kože pacova TEP ogledom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6305875D" wp14:editId="6626D4FF">
            <wp:extent cx="5067300" cy="6362700"/>
            <wp:effectExtent l="0" t="0" r="0" b="0"/>
            <wp:docPr id="82" name="Picture 82" descr="C:\Program Files (x86)\ParagrafLex\browser\Files\Old\t\t2013_12\t12_0570_s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Program Files (x86)\ParagrafLex\browser\Files\Old\t\t2013_12\t12_0570_s075.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67300" cy="63627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Slika 2. Dimenzije politetrafluoroetilenske (PFTE) i receptorske cevi i elektroda koje se koriste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7AC62F26" wp14:editId="200BAFF4">
            <wp:extent cx="4591050" cy="5514975"/>
            <wp:effectExtent l="0" t="0" r="0" b="9525"/>
            <wp:docPr id="81" name="Picture 81" descr="C:\Program Files (x86)\ParagrafLex\browser\Files\Old\t\t2013_12\t12_0570_s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Program Files (x86)\ParagrafLex\browser\Files\Old\t\t2013_12\t12_0570_s07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91050" cy="55149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7B69F3BC" wp14:editId="2AB87A2B">
            <wp:extent cx="5172075" cy="3048000"/>
            <wp:effectExtent l="0" t="0" r="9525" b="0"/>
            <wp:docPr id="80" name="Picture 80" descr="C:\Program Files (x86)\ParagrafLex\browser\Files\Old\t\t2013_12\t12_0570_s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Program Files (x86)\ParagrafLex\browser\Files\Old\t\t2013_12\t12_0570_s077.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72075" cy="30480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Kritični faktori aparature koja je prikazana: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unutrašnji promer PTFE cevi;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dužina elektrode u odnosu na PTFE cev i receptorsku cev, tako da elektroda ne dotiče disk kože i da je standardna dužina elektrode u kontaktu sa rastvorom magnezijum sulfata;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količina rastvora magnezijum sulfata u receptorskoj cevi daje dubinu tečnosti, u odnosu na nivo u PTFE cev, kao što je prikazano na Slici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disk kože je dovoljno dobro pričvršćen za PTFE cev, tako da električni otpor bude prava mera svojstava kože.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B.40. BIS. </w:t>
      </w:r>
      <w:r w:rsidRPr="00984859">
        <w:rPr>
          <w:rFonts w:ascii="Arial" w:eastAsia="Times New Roman" w:hAnsi="Arial" w:cs="Arial"/>
          <w:b/>
          <w:bCs/>
          <w:i/>
          <w:iCs/>
          <w:lang w:eastAsia="sr-Latn-RS"/>
        </w:rPr>
        <w:t xml:space="preserve">IN VITRO </w:t>
      </w:r>
      <w:r w:rsidRPr="00984859">
        <w:rPr>
          <w:rFonts w:ascii="Arial" w:eastAsia="Times New Roman" w:hAnsi="Arial" w:cs="Arial"/>
          <w:b/>
          <w:bCs/>
          <w:lang w:eastAsia="sr-Latn-RS"/>
        </w:rPr>
        <w:t xml:space="preserve">KOROZIVNO OŠTEĆENJE KOŽE: ISPITIVANJE NA MODELU HUMANE KOŽE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431 (2004).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Korozivno oštećenje kože odnosi se na stvaranje ireverzibilnog oštećenja tkiva u koži po nanošenju materijala koji se ispituje (kao što je definisano u GHS)</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Ova metoda ispitivanja ne zahteva upotrebu živih životinja ili životinjskog tkiva za procenu korozivnosti za kožu.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 korozivnosti za kožu uključuje upotrebu laboratorijskih životinja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Zabrinutost zbog bola i patnje životinja koje su uključene u ovaj postupak pominje se u reviziji metode B.4. koja je data u ovom prilogu i koja dozvoljava određivanje korozivnog oštećenja kože upotrebom alternativnih,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metoda, da bi se izbegli bol i patnja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Prvi korak ka definisanju alternativnih ispitivanja koji se mogu koristiti za ispitivanje korozivnosti za kožu u regulatorne svrhe bilo je izvođenje prevalidacionih studija</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Potom je izvedena</w:t>
      </w:r>
      <w:r w:rsidRPr="00984859">
        <w:rPr>
          <w:rFonts w:ascii="Arial" w:eastAsia="Times New Roman" w:hAnsi="Arial" w:cs="Arial"/>
          <w:b/>
          <w:bCs/>
          <w:sz w:val="15"/>
          <w:szCs w:val="15"/>
          <w:vertAlign w:val="superscript"/>
          <w:lang w:eastAsia="sr-Latn-RS"/>
        </w:rPr>
        <w:t xml:space="preserve">6, 7, 8 </w:t>
      </w:r>
      <w:r w:rsidRPr="00984859">
        <w:rPr>
          <w:rFonts w:ascii="Arial" w:eastAsia="Times New Roman" w:hAnsi="Arial" w:cs="Arial"/>
          <w:lang w:eastAsia="sr-Latn-RS"/>
        </w:rPr>
        <w:t xml:space="preserve">formalna validacija studija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metoda za procenu korozivnost oštećenja kože</w:t>
      </w:r>
      <w:r w:rsidRPr="00984859">
        <w:rPr>
          <w:rFonts w:ascii="Arial" w:eastAsia="Times New Roman" w:hAnsi="Arial" w:cs="Arial"/>
          <w:b/>
          <w:bCs/>
          <w:sz w:val="15"/>
          <w:szCs w:val="15"/>
          <w:vertAlign w:val="superscript"/>
          <w:lang w:eastAsia="sr-Latn-RS"/>
        </w:rPr>
        <w:t>4, 5</w:t>
      </w:r>
      <w:r w:rsidRPr="00984859">
        <w:rPr>
          <w:rFonts w:ascii="Arial" w:eastAsia="Times New Roman" w:hAnsi="Arial" w:cs="Arial"/>
          <w:lang w:eastAsia="sr-Latn-RS"/>
        </w:rPr>
        <w:t>. Ishod ovih studija i druga objavljena literatura</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doveli su do preporuke da se sledeća ispitivanja mogu koristiti za procenu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korozivnosti za kožu</w:t>
      </w:r>
      <w:r w:rsidRPr="00984859">
        <w:rPr>
          <w:rFonts w:ascii="Arial" w:eastAsia="Times New Roman" w:hAnsi="Arial" w:cs="Arial"/>
          <w:b/>
          <w:bCs/>
          <w:sz w:val="15"/>
          <w:szCs w:val="15"/>
          <w:vertAlign w:val="superscript"/>
          <w:lang w:eastAsia="sr-Latn-RS"/>
        </w:rPr>
        <w:t>10, 11, 12, 13</w:t>
      </w:r>
      <w:r w:rsidRPr="00984859">
        <w:rPr>
          <w:rFonts w:ascii="Arial" w:eastAsia="Times New Roman" w:hAnsi="Arial" w:cs="Arial"/>
          <w:lang w:eastAsia="sr-Latn-RS"/>
        </w:rPr>
        <w:t xml:space="preserve">: ispitivanje sa modelom humane kože (ova metoda) i ispitivanje transkutanog električnog otpora (videti metodu B.40. koja je data u ovom prilogu).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Studije validacije potvrđuju da je ispitivanjima a koji uključuju modele humane kože</w:t>
      </w:r>
      <w:r w:rsidRPr="00984859">
        <w:rPr>
          <w:rFonts w:ascii="Arial" w:eastAsia="Times New Roman" w:hAnsi="Arial" w:cs="Arial"/>
          <w:b/>
          <w:bCs/>
          <w:sz w:val="15"/>
          <w:szCs w:val="15"/>
          <w:vertAlign w:val="superscript"/>
          <w:lang w:eastAsia="sr-Latn-RS"/>
        </w:rPr>
        <w:t xml:space="preserve">3, 4, 5, 9 </w:t>
      </w:r>
      <w:r w:rsidRPr="00984859">
        <w:rPr>
          <w:rFonts w:ascii="Arial" w:eastAsia="Times New Roman" w:hAnsi="Arial" w:cs="Arial"/>
          <w:lang w:eastAsia="sr-Latn-RS"/>
        </w:rPr>
        <w:t xml:space="preserve">moguće pouzdano napraviti razliku između poznatih korozivnih i nekorozivnih supstanci za kožu. Postupak ispitivanja može da obezbedi naznaku razlike između jakih i manje jakih koroziva za kožu.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koje se opisuje u ovoj metodi omogućava identifikaciju korozivnih hemijskih supstanci i smeša. To dalje omogućava identifikaciju supstanci i smeša koje nisu korozivne kada je to potkrepljeno određivanjem težine dokaza korišćenjem (na osnovu) postojećih podataka (npr. pH, odnos struktura - aktivnost, humani i/ili životinjski podaci)</w:t>
      </w:r>
      <w:r w:rsidRPr="00984859">
        <w:rPr>
          <w:rFonts w:ascii="Arial" w:eastAsia="Times New Roman" w:hAnsi="Arial" w:cs="Arial"/>
          <w:b/>
          <w:bCs/>
          <w:sz w:val="15"/>
          <w:szCs w:val="15"/>
          <w:vertAlign w:val="superscript"/>
          <w:lang w:eastAsia="sr-Latn-RS"/>
        </w:rPr>
        <w:t>1, 2, 13, 14</w:t>
      </w:r>
      <w:r w:rsidRPr="00984859">
        <w:rPr>
          <w:rFonts w:ascii="Arial" w:eastAsia="Times New Roman" w:hAnsi="Arial" w:cs="Arial"/>
          <w:lang w:eastAsia="sr-Latn-RS"/>
        </w:rPr>
        <w:t>. To obično ne daje odgovarajuće podatke o iritaciji kože, niti dozvoljava subklasifikaciju korozivne supstance kao što je to dozvoljeno u GHS</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potpunu procenu lokalnih efekata na koži posle jednokratnog izlaganja putem kože, preporučuje se da se prati sledeća strategija ispitivanja kao što je dato u metodi ispitivanja </w:t>
      </w:r>
      <w:r w:rsidRPr="00984859">
        <w:rPr>
          <w:rFonts w:ascii="Arial" w:eastAsia="Times New Roman" w:hAnsi="Arial" w:cs="Arial"/>
          <w:lang w:eastAsia="sr-Latn-RS"/>
        </w:rPr>
        <w:lastRenderedPageBreak/>
        <w:t>B.4. koja je data u ovom prilogu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i kao što je dato u GHS</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Ova strategija ispitivanja uključuje izvođenje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ispitivanja za korozivno oštećenje kože (kao što je opisano u ovoj metodi) i iritacije kože pre razmatranja ispitivanja na živim životinjama.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Korozivno oštećenje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jeste nastanak ireverzibilnih oštećenja kože odnosno vidljive nekroze u epidermisu i dermisu nakon četvoročasovne primene ispitivane supstance. Korozivno oštećenje kože karakteriše se prema tipu izazvanog oštećenja kao:ulkus, krvarenje ili krvave kraste i na kraju perioda posmatranja od 14 dana prema promeni boje kože uslovljene perutanjem i pojavi površina sa alopecijom i ožiljnog tkiva. U cilju procene nejasnih oštećenja obavljaju se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Vijabilnost ćelija jeste parametar koji meri ukupnu aktivnost ćelijske populacije (npr. sposobnost ćelijske mitohondrijalne dehidrogenaze da smanji vitalnu boju MTT), koja, u zavisnosti od ciljnog pokazatelja ispitivanja koji se meri i korišćenog dizajna ispitivanja korelira sa ukupnim brojem i/ili vitalnosti ćelija.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Referentne hemikalije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290"/>
        <w:gridCol w:w="1599"/>
        <w:gridCol w:w="1450"/>
        <w:gridCol w:w="1793"/>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Naziv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1,2-diaminopropan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201-155-9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78-90-0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jako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akrilna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201-177-9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79-10-7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jako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2-terc-butilfenol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201-807-2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88-18-6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kalijum-hidroksid (10%)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215-181-3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1310-58-3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sumporna kiselina (10%)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231-639-5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7664-93-9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oktanska kiselina (kaprilna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204-677-5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124-07-02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4-amino-1,2,4-triazol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209-533-5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584-13-4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eugenol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202-589-1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97-53-0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fenetil-bromid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203-130-8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103-63-9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tetrahloroetilen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204-825-9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27-18-4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izostearinska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250-178-0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30399-84-9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4-(metiltio)-benzaldehid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222-365-7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3446-89-7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korozivno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Većina navedenih hemikalija preuzeto je sa spiska hemikalija izabranih za međunarodnu studiju validacije ECVAM</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Njihov izbor se bazira na sledećim kriterijumima: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jednak broj korozivnih i nekorozivnih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komercijalno dostupne supstance koje pokrivaju većinu relevantnih hemijskih klasa;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obuhvatanje jako korozivnih kao i manje korozivnih supstanci kako bi se omogućilo razlikovanje na osnovu korozivnog potencijala;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izbor hemikalija kojima se može rukovati u laboratoriji bez postavljanja drugih ozbiljnih opasnosti osim korozivnosti.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Ispitivani materijal nanosi se površinski na trodimenzionalni model ljudske kože, koji se sastoji najmanje od rekonstruisanog epidermisa sa funkcionalnim stratum corneum-om. Korozivni materijali se identifikuju po njihovoj sposobnosti da izazovu smanjenje vijabilnosti ćelija (kao što je određeno npr. korišćenjem eseja smanjenja MTT</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xml:space="preserve">) ispod definisanih granica pri određenim periodima izlaganja. Princip ispitivanja modela humane kože zasniva se na hipotezi da korozivne hemikalije mogu da prodru kroz stratum corneum difuzijom ili erozijom i dovoljno su citotoksične da uzrokuju odumiranje potpornih slojeva ćelija.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Modeli ljudske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Modeli ljudske kože mogu biti sastavljeni ili dobijeni komercijalno (npr. modeli EpiDerm</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and EPISKIN</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w:t>
      </w:r>
      <w:r w:rsidRPr="00984859">
        <w:rPr>
          <w:rFonts w:ascii="Arial" w:eastAsia="Times New Roman" w:hAnsi="Arial" w:cs="Arial"/>
          <w:b/>
          <w:bCs/>
          <w:sz w:val="15"/>
          <w:szCs w:val="15"/>
          <w:vertAlign w:val="superscript"/>
          <w:lang w:eastAsia="sr-Latn-RS"/>
        </w:rPr>
        <w:t>16, 17, 18, 19</w:t>
      </w:r>
      <w:r w:rsidRPr="00984859">
        <w:rPr>
          <w:rFonts w:ascii="Arial" w:eastAsia="Times New Roman" w:hAnsi="Arial" w:cs="Arial"/>
          <w:lang w:eastAsia="sr-Latn-RS"/>
        </w:rPr>
        <w:t xml:space="preserve"> ili mogu biti razvijeni ili sastavljeni u laboratoriji koja vrši ispitivanje</w:t>
      </w:r>
      <w:r w:rsidRPr="00984859">
        <w:rPr>
          <w:rFonts w:ascii="Arial" w:eastAsia="Times New Roman" w:hAnsi="Arial" w:cs="Arial"/>
          <w:b/>
          <w:bCs/>
          <w:sz w:val="15"/>
          <w:szCs w:val="15"/>
          <w:vertAlign w:val="superscript"/>
          <w:lang w:eastAsia="sr-Latn-RS"/>
        </w:rPr>
        <w:t>20, 21</w:t>
      </w:r>
      <w:r w:rsidRPr="00984859">
        <w:rPr>
          <w:rFonts w:ascii="Arial" w:eastAsia="Times New Roman" w:hAnsi="Arial" w:cs="Arial"/>
          <w:lang w:eastAsia="sr-Latn-RS"/>
        </w:rPr>
        <w:t xml:space="preserve">. Upotreba humane kože je predmet domaćih i međunarodnih etičkih razmatranja i uslova. Svaki novi model se validira (najmanje u obimu koji je opisan u odeljku 1.4.1.1.2. ove metode). Modeli humane kože koji se koriste za ovo ispitivanje zadovoljavaju sledeće: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1.4.1.1.1. Opšti uslovi za model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Humani keratinociti se koriste za izradu epitelijuma. Ispod funkcionalnog stratum corneum-a prisutno je više slojeva vijabilnih epitelijalnih ćelija. Model kože može da ima sloj sa stromalnom komponentom. Stratum corneum je višeslojan sa neophodnim lipidnim profilom da stvara funkcionalnu barijeru sa snagom da pruži otpor brzom prodiranju citotoksičnih markera. Svojstva sastava modela sprečavaju prolazak materijala oko stratum corneum-a do vijabilnog tkiva. Prolazak ispitivanih hemikalija oko stratum corneum-a dovodi do lošeg modelovanja ekspozicije kože. Model kože je bez kontaminacije bakterijama (uključujući mikoplazmu) ili gljivicama.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1.4.1.1.2. Uslovi za funkcionalni model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Veličina vijabilnosti obično se kvantifikuje upotrebom MTT ili druge vitalne boje koja se metabolički transformiše. U ovim slučajevima optička gustina (u daljem tekstu: OD) ekstrahovane (rastvorene) boje iz negativnog kontrolnog tkiva je najmanje 20 puta veća od OD samog ekstrakcionog rastvarača (za opšti pregled videti literaturu</w:t>
      </w:r>
      <w:r w:rsidRPr="00984859">
        <w:rPr>
          <w:rFonts w:ascii="Arial" w:eastAsia="Times New Roman" w:hAnsi="Arial" w:cs="Arial"/>
          <w:b/>
          <w:bCs/>
          <w:sz w:val="15"/>
          <w:szCs w:val="15"/>
          <w:vertAlign w:val="superscript"/>
          <w:lang w:eastAsia="sr-Latn-RS"/>
        </w:rPr>
        <w:t>22</w:t>
      </w:r>
      <w:r w:rsidRPr="00984859">
        <w:rPr>
          <w:rFonts w:ascii="Arial" w:eastAsia="Times New Roman" w:hAnsi="Arial" w:cs="Arial"/>
          <w:lang w:eastAsia="sr-Latn-RS"/>
        </w:rPr>
        <w:t>). Negativno kontrolno tkivo je stabilno u kulturi (obezbeđujući slična merenja vijabilnosti) u trajanju perioda ispitivanog izlaganja. Stratum corneum je dovoljno otporan da se odupre brzom prodiranju određenih hemikalija - citotoksičnih markera (tj. 1% Triton X-100). Ovo svojstvo može da bude procenjeno vremenom ekspozicije koje je potrebno da se smanji vijabilnost ćelija za 50% (ET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(npr. za modele EpiDerm</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and EPISKIN</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ono je &gt; 2 sata). Ovo tkivo prikazuje reproduktivnost tokom vremena i najbolje između laboratorija. Sem toga, ono treba da može da predvidi korozivni potencijal referentne hemikalije (videti Tabelu 1) kada se koristi u izabranom protokolu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Primena ispitivanih i kontrolnih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Dva replikata (kopije) tkiva koriste se za svaki tretman (vreme izlaganja), uključujući kontrole. Za tečne materijale, dovoljno ispitivane supstance se nanosi tako da ujednačeno prekrije površinu kože: koristi se najmanje 25 μL/cm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Za čvrste materijale, dovoljno ispitivane supstance se nanosi ujednačeno da pokrije kožu i navlaži se sa dejonizovanom ili destilovanom vodom kako bi se omogućio dobar kontakt sa kožom. Kada je prikladno, čvrste supstance se usitne u prah pre primene. Metoda primene treba da bude odgovarajuća za ispitivanu supstancu (videti literaturu</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Na kraju perioda izlaganja, ispitivani materijal se pažljivo pere sa površine kože sa odgovarajućom puferom ili 0,9% NaCl.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Istovremene pozitivne i negativne kontrole se koriste za svaku studiju kako bi se obezbedila adekvatna performansa eksperimentalnog modela. Predložene supstance za pozitivnu kontrolu su glacijalna sirćetna kiselina ili 8N KOH. Predložene negativne kontrole su 0,9% NaCl ili voda.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Merenja vijabilnosti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Samo kvantitativne, validovane metode mogu se koristiti za merenje vijabilnosti ćelija. Mera vijabilnosti mora da bude kompatibilna sa upotrebom trodimenzionalne konstrukcije tkiva. Nespecifično vezivanje boje ne sme da interferira sa merenjem vijabiliteta. Boje koje se vezuju za protein i one koje ne podležu metaboličkoj tranformaciji (npr. neutral red) zato nisu pogodne. Najčešće korišćeno ispitivanje je smanjenje MTT (3-(4,5-dimetiltiazol-2il)-2,5-difeniltetrazolijum bromid, Tiazol plavo: EINECS broj 206-069-5, CAS broj 298-93-1)), za koji je pokazano da daje tačne i reproduktivne rezultate</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ali mogu se koristiti i druga ispitivanja. Uzorak kože se stavlja u rastvor MTT odgovarajuće koncentracije (npr. 0,3 - 1mg/mL) na odgovarajućoj inkubacionoj temperaturi tokom tri sata. Istaloženi plavi proizvod formazan se zatim ekstrahuje upotrebom rastvarača (izopropanola) i meri se koncentracija formazana se meri određivanjem OD na talasnoj dužini između 540 nm i 595 nm.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Hemijsko dejstvo ispitivanog materijala na vitalnu boju može da liči na metabolizam ćelije vodeći do pogrešne procene vijabilnosti. Ovo se dešava kada takav ispitivani materijal nije potpuno uklonjen sa kože ispiranjem</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Ako ispitivani materijal direktno deluje na vitalnu boju, dodatne kontrole se koriste kako bi se detektovala i korigovala interferencija ispitivane supstance sa merenjem vijabiliteta</w:t>
      </w:r>
      <w:r w:rsidRPr="00984859">
        <w:rPr>
          <w:rFonts w:ascii="Arial" w:eastAsia="Times New Roman" w:hAnsi="Arial" w:cs="Arial"/>
          <w:b/>
          <w:bCs/>
          <w:sz w:val="15"/>
          <w:szCs w:val="15"/>
          <w:vertAlign w:val="superscript"/>
          <w:lang w:eastAsia="sr-Latn-RS"/>
        </w:rPr>
        <w:t>9, 23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svako tkivo navode se OD vrednosti i izračunati procenti vijabilnosti ćelija za svaki ispitivani materijal, pozitivne i negativne kontrole, uključujući podatke od replikata ponovljenih eksperimenata kako odgovara, srednje i pojedinačne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Dobijene OD vrednosti za svaki ispitivani uzorak mogu se koristiti za izračunavanje procenta vijabiliteta u odnosu na negativnu kontrolu, koja je 100%. Granična vrednost procenta vijabiliteta koja pravi razliku između korozivnih i nekorozivnih materijala (ili razliku između različitih klasa koroziva) ili statistička procedura koja se koristi da se ocene rezultati i identifikuju korozivni materijali, jasno se definišu, dokumentuju i prikazuju da su odgovarajući. Ove granične vrednosti utvrđuju se za vreme optimizacije ispitivanja, ispituju se tokom prevalidacione faze i potvrđuju u validacionoj studiji. Kao primer predviđanje korozivnosti koja je u vezi sa modelom EpiDerm</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je</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smatra korozivnom za kožu: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ako je vijabilnost posle tri minuta izlaganja manja od 50%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ako je vijabilnost posle tri minuta izlaganja veća ili jednaka 50% i vijabilnost posle jednog sata izloženosti manja od 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ne smatra korozivnom za kožu: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ako je vijabilnost posle tri minuta izloženosti veća ili jednaka 50% i vijabilnost posle 1 sata izlaganja veća ili jednaka 15%.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Ispitivanim i kontrolnim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hemijsko ime kao što je IUPAC ili CAS ime i CAS broj, ako je poznato;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čistoća i sastav supstance ili smeše (u težinskim procentima);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i hemijska svojstva kao što su fizičko stanje, pH, stabilnost, rastvorljivost u vodi, ono što je relevantno za izvođenje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tretman ispitivane/kontrolne supstance pre ispitivanja, ako je primenljivo (npr. zagrevanje, usitnjavanje);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stabilnost, ako je poznata.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Opravdanju modela kože i korišćenog postupka.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 sistem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kalibraciji za uređaj za merenje koji se koristi za merenje vijabilnosti ćelija (npr. spektrofotometar);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 podaci na koje se oslanjalo za specifični model kože uključujući njegovu validaciju;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postupka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modifikacije postupka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reference prema istorijskim podacima za model;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korišćenih kriterijuma za ocenjivanje.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pojedinačnih ispitivanih uzoraka u tabeli;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drugih primećenih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 OECD (2001) Harmonised Integrated Classification System for Human Health and Environmental Hazards of Chemical Substances and Mixtures. OECD Series on Testing and Assessment Number 33. ENV/JM/MONO(2001)6, Paris. http://www.olis.oecd.org/olis/2001doc.nsf/LinkTo/env-jm-mono(2001)6.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Testing Method B.4. Acute Toxicity: Dermal Irritation/Corrosion.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Botham, P.A., Chamberlain, M., Barratt, M.D., Curren, R.D., Esdaile, D.J., Gardner, J.R., Gordon, V.C., Hildebrand, B., Lewis, R.W., Liebsch, M., Logemann, P., Osborne, R., Ponec, M., Regnier, J.F., Steiling, W., Walker, A.P., and Balls, M., (1995) A prevalidation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skin corrosivity testing. The report recommendations of ECVAM Workshop 6 ATLA 23, p. 219-255.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Barratt, M.D., Brantom, P.G., Fentem, J.H., Gerner, I., Walker, A.P., and Worth, A.P. (1998). The ECVAM international 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tests for skin corrosivity. 1. Selection and distribution of the test chemicals.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12, p. 471-482.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Fentem, J.H., Archer, G.E.B., Balls, M., Botham, P.A., Curren, R.D., Earl, L.K., Esdaile, D.J., Holzhutter, H.G. and Liebsch, M., (1998) The ECVAM international 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tests for skin corrosivity. 2. Results and evaluation by the Management Team.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12, p. 483-524.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OECD, (1996) Final Report of the OECD Workshop on Harmonisation of Validation and Acceptance Criteria for Alternative Toxicological Test Methods, p. 62.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Balls, M., Blaauboer, B.J., Fentem, J.H., Bruner, L., Combes, R.D., Ekwall, B., Fielder, R.J., Guillouzo, A., Lewis, R.W., Lovell, D.P., Reinhardt, C.A., Repetto, G., Sladowski, D., Spielmann, H., and Zucco, F., (1995) Practical aspects of the validation of toxicity test procedures. Test report and recommendations of ECVAM workshops. ATLA 23, p. 129-147.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ICCVAM (Interagency Coordinating Committee on the Validation of Alternative Methods)., (1997) Validation and Regulatory Acceptance of Toxicological Test Methods. NIH Publication No 97-3981. National Institute of Environmental Health Sciences, Research Triangle Park, NC, USA. http://iccvam.niehs.nih.gov/docs/guidelines/validate.pdf.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Liebsch, M., Traue, D., Barrabas, C., Spielmann, H., Uphill, P., Wilkins, S., McPherson, J.P., Wiemann, C., Kaufmann, T., Remmele, M. and Holzhutter, H.G., (2000) The ECVAM prevalidation study on the use of EpiDerm for skin Corrosivity testing. ATLA 28, p. 371-401.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ECVAM, (1998) ECVAM News &amp; Views. ATLA 26, p. 275-280.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ECVAM, (2000) ECVAM News &amp; Views. ATLA 28, p. 365-67.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ICCVAM (Interagency Coordinating Committee on the Validation of Alternative Methods)., (2002) ICCVAM evaluation of EpiDermTM, EPISKINTM (EPI-200), and the Rat Skin Transcutaneous Electrical Resistance (TER) assay: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 methods for assessing dermal corrosivity potential of chemicals. NIH Publication No 02-4502. National Toxicology Program Interagency Center for the Evaluation of Alternative Toxicological Methods, National Institute of Environmental Health Sciences, Research Triangle Park, NC, USA. http://iccvam.niehs.nih.gov/methods/epiddocs/epis_brd.pdf.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OECD, (2002) Extended Expert Consultation Meeting on The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Skin Corrosion Test Guideline Proposal, Berlin, 1st-2nd November 2001, Secretariat‘s Final Summary Report, 27th March 2002, OECD ENV/EHS, available upon request from the Secretariat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14. Worth, A.P., Fentem, J.H., Balls, M., Botham, P.A., Curren, R.D., Earl, L.K., Esdaile, D.J., Liebsch, M., (1998) An Evaluation of the Proposed OECD Testing Strategy for Skin Corrosion. ATLA 26, p. 709-720.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Mosmann, T., (1983) Rapid colorimetric assay for cellular growth and survival: application to proliferation and cytotoxicity asssays. J.Immunol. Meth. 65, p. 55-63.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Cannon, C.L., Neal, P.J., Southee, J.A., Kubilus, J., and Klausner, M., 1994. New epidermal model for dermal irritancy testing.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8, p. 889-891.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Ponec, M., Boelsma, E., Weerheim, A., Mulder, A., Boutwstra, J., and Mommaas, M., 2000. Lipid and ultrastructural characterisation of reconstructed skin models. International Journal of Pharmaceutics. 203, p. 211-225.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Tinois, E., Gaetani, Q., Gayraud, B., Dupont, D., Rougier, A., Pouradier, D.X., (1994) The Episkin model: Successful reconstruction of human epidermis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Skin Toxicology. Edited by A Rougier, AM Goldberg and HI Maibach, p. 133-140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Tinois E, Tiollier J, Gaucherand M, Dumas H, Tardy M, Thivolet J (1991).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and post-transplantation differentiation of human keratinocytes grown on the human type IV collagen film of a bilayered dermal substitute. Experimental Cell Research 193, p. 310-319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Parentau, N.L., Bilbo, P., Molte, C.J., Mason, V.S., and Rosenberg, H., (1992) The organotypic culture of human skin keratinocytes and fibroblasts to achieve form and function. Cytotechnology 9, p. 163-171.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Wilkins, L.M., Watson, S.R., Prosky, S.J., Meunier, S.F., Parentau, N.L., (1994) Development of a bilayered living skin construct for clinical applications. Biotechnology and Bioengineering 43/8, p. 747-756.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Marshall, N.J., Goodwin, C.J., Holt, S.J., (1995) A critical assessment of the use of microculture tetrazolium assays to measure cell growth and function. Growth Regulation 5, p. 69-84.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Fentem, J.H., Briggs, D., Chesne’, C., Elliot, G.R., Harbell, J.W., Heylings, J.R., Portes, P., Rouget, R., and van de Sandt, J.J.M., and Botham, P.A., (2001) A prevalidation study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tests for acute skin irritation: results and evaluation by the Management Team.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15, p. 57-93.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B.41. </w:t>
      </w:r>
      <w:r w:rsidRPr="00984859">
        <w:rPr>
          <w:rFonts w:ascii="Arial" w:eastAsia="Times New Roman" w:hAnsi="Arial" w:cs="Arial"/>
          <w:b/>
          <w:bCs/>
          <w:i/>
          <w:iCs/>
          <w:lang w:eastAsia="sr-Latn-RS"/>
        </w:rPr>
        <w:t xml:space="preserve">IN VITRO </w:t>
      </w:r>
      <w:r w:rsidRPr="00984859">
        <w:rPr>
          <w:rFonts w:ascii="Arial" w:eastAsia="Times New Roman" w:hAnsi="Arial" w:cs="Arial"/>
          <w:b/>
          <w:bCs/>
          <w:lang w:eastAsia="sr-Latn-RS"/>
        </w:rPr>
        <w:t xml:space="preserve">3T3 NRU ISPITIVANJE FOTOTOKSIČNOSTI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432 (2004).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Fototoksičnost se definiše kao toksična reakcija na supstancu primenjenu na organizam koja je ili izazvana ili pojačana (jasna pri nižim doznim nivoima) posle naknadnog izlaganja svetlosti ili koja je uzrokovana zračenjem kože posle sistemske primene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lastRenderedPageBreak/>
        <w:t>In vitro</w:t>
      </w:r>
      <w:r w:rsidRPr="00984859">
        <w:rPr>
          <w:rFonts w:ascii="Arial" w:eastAsia="Times New Roman" w:hAnsi="Arial" w:cs="Arial"/>
          <w:lang w:eastAsia="sr-Latn-RS"/>
        </w:rPr>
        <w:t xml:space="preserve"> 3T3 NRU ispitivanje fototoksičnosti se koristi za identifikovanje fototoksičnog potencijala ispitivane supstance koji je izazvan pobuđenom hemikalijom posle ekspozicije svetlu. Ispitivanje ocenjuje foto-citotoksičnost relativnim smanjenjem u vijabilnosti ćelija koje su izložene hemikaliji u prisustvu svetlosti u odnosu na odsustvo svetlosti. Supstance koje su identifikovane ovim ispitivanjem su verovatno fototoksične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po sistemskoj primeni i distribuciji u kožu ili posle površinske primene (lokalne primene na kožu).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Mnoge vrste hemikalija su prijavljene da izazivaju fototoksične efekte</w:t>
      </w:r>
      <w:r w:rsidRPr="00984859">
        <w:rPr>
          <w:rFonts w:ascii="Arial" w:eastAsia="Times New Roman" w:hAnsi="Arial" w:cs="Arial"/>
          <w:b/>
          <w:bCs/>
          <w:sz w:val="15"/>
          <w:szCs w:val="15"/>
          <w:vertAlign w:val="superscript"/>
          <w:lang w:eastAsia="sr-Latn-RS"/>
        </w:rPr>
        <w:t>1, 2, 3, 4</w:t>
      </w:r>
      <w:r w:rsidRPr="00984859">
        <w:rPr>
          <w:rFonts w:ascii="Arial" w:eastAsia="Times New Roman" w:hAnsi="Arial" w:cs="Arial"/>
          <w:lang w:eastAsia="sr-Latn-RS"/>
        </w:rPr>
        <w:t>. Njihovo zajedničko svojstvo je njihova sposobnost da apsorbuju svetlosnu energiju u opsegu sunčeve svetlosti. Prema prvom zakonu fotohemije (zakon Grotthaus-Draper), fotoreakcija zahteva dovoljnu apsorpciju kvantuma svetlosti. Zbog toga, pre razmatranja biološkog ispitivanja, određuje se UV/vis apsorpcioni spektar ispitivane supstance</w:t>
      </w:r>
      <w:r w:rsidRPr="00984859">
        <w:rPr>
          <w:rFonts w:ascii="Arial" w:eastAsia="Times New Roman" w:hAnsi="Arial" w:cs="Arial"/>
          <w:sz w:val="15"/>
          <w:szCs w:val="15"/>
          <w:vertAlign w:val="superscript"/>
          <w:lang w:eastAsia="sr-Latn-RS"/>
        </w:rPr>
        <w:t>XIV</w:t>
      </w:r>
      <w:r w:rsidRPr="00984859">
        <w:rPr>
          <w:rFonts w:ascii="Arial" w:eastAsia="Times New Roman" w:hAnsi="Arial" w:cs="Arial"/>
          <w:lang w:eastAsia="sr-Latn-RS"/>
        </w:rPr>
        <w:t>. Predloženo je da ako je molarni ekstinkcioni/apsorpcioni koeficijent manji od 10 litre x mol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x cm</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onda supstanca verovatno nije fotoreaktivna. Takvu hemikaliju nije neophodno ispitivati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3T3 NRU ispitivanjem fototoksičnosti ili bilo kojim drugim ispitivanjem za štetne fotohemijske efekte</w:t>
      </w:r>
      <w:r w:rsidRPr="00984859">
        <w:rPr>
          <w:rFonts w:ascii="Arial" w:eastAsia="Times New Roman" w:hAnsi="Arial" w:cs="Arial"/>
          <w:b/>
          <w:bCs/>
          <w:sz w:val="15"/>
          <w:szCs w:val="15"/>
          <w:vertAlign w:val="superscript"/>
          <w:lang w:eastAsia="sr-Latn-RS"/>
        </w:rPr>
        <w:t>1, 5</w:t>
      </w:r>
      <w:r w:rsidRPr="00984859">
        <w:rPr>
          <w:rFonts w:ascii="Arial" w:eastAsia="Times New Roman" w:hAnsi="Arial" w:cs="Arial"/>
          <w:lang w:eastAsia="sr-Latn-RS"/>
        </w:rPr>
        <w:t xml:space="preserve">. Videti Deo drugi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Pouzdanost i relevantnost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3T3 NRU ispitivanja fototoksičnosti je nedavno evaluirana</w:t>
      </w:r>
      <w:r w:rsidRPr="00984859">
        <w:rPr>
          <w:rFonts w:ascii="Arial" w:eastAsia="Times New Roman" w:hAnsi="Arial" w:cs="Arial"/>
          <w:b/>
          <w:bCs/>
          <w:sz w:val="15"/>
          <w:szCs w:val="15"/>
          <w:vertAlign w:val="superscript"/>
          <w:lang w:eastAsia="sr-Latn-RS"/>
        </w:rPr>
        <w:t>6, 7, 8, 9</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3T3 NRU test fototoksičnosti se pokazao predvidivim za akutne fototoksične efekte kod životinja i ljudi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Test nije dizajniran da predvidi druge štetne efekte koji bi se mogli pojaviti iz kombinovanog dejstva hemikalije i svetlosti, npr. ne odnosi se na fotogenotoksičnost, fotoalergiju ili fotokarcinogenost, niti dozvoljava procenu potencijala fototoksičnosti. Test nije dizajniran da se odnosi na indirektne mehanizme fototoksičnosti, efekte metabolita ispitivane supstance ili efekte smeša.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Kako je upotreba metabolišućih sistema opšti zahtev za sve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testove za predviđanje genotoksičnosti i karcinogenog potencijala, do sada, u slučaju fototoksikologije, postoje samo retki primeri kada je potrebna metabolička transformacija za hemikaliju da bi se ponašala kao fotootrov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Zbog toga se ne smatra neophodnim niti naučno opravdanim za ovaj test da se izvodi sa sistemom metaboličke aktivacije.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XIV</w:t>
      </w:r>
      <w:r w:rsidRPr="00984859">
        <w:rPr>
          <w:rFonts w:ascii="Arial" w:eastAsia="Times New Roman" w:hAnsi="Arial" w:cs="Arial"/>
          <w:lang w:eastAsia="sr-Latn-RS"/>
        </w:rPr>
        <w:t xml:space="preserve"> Prema OECD TG 101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Zračenje jeste intenzitet upadnog ultravioletnog (u daljem tekstu: UV) ili vidljivog svetla na površini, meren u W/m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ili mW/cm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Doza svetlosti jeste količina (koja je jednaka proizvodu intenziteta i vremena) UV ili vidljivog upadnog zračenja na površini, izražen u džulima (= W × s) po jedinci površine, npr. J/m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ili J/cm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Talasne dužine UV svetlosti jesu oznake koje je preporučila CIE (Commission Internationale de L'Eclairage), i to su: UVA (315 nm do 400 nm), UVB (280 nm do 315 nm) i UVC (100 nm do 280 nm). Druge oznake su takođe u upotrebi: podela između UVB i UVA se često stavlja na 320 nm, a UVA može biti podeljena u UV-A1 i UV-A2 s podelom napravljenom na oko 340 nm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Viabilitet ćelija jeste parametar koji meri ukupnu aktivnost ćelijske populacije (npr. upijanje vitalne boje Neutral Red u ćelijske lizozome), koja u zavisnosti od ciljnog pokazatelja ispitivanja koji se meri i korišćenog dizajna ispitivanja korelira sa ukupnim brojem i/ili vitalnosti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Relativni viabilitet ćelija jeste ćelijski viabilitet izražen u odnosu na negativne (rastvarač) kontrole koje su prošle celi eksperimentalni postupak (+Irr ili -Irr), ali nisu tretirane sa ispitivanom hemikalijom.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Fotoiritaciioni faktor (u daljem tekstu: PIF) jeste faktor izveden upoređivanjem dve podjednako efikasne citotoksične koncentracije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ispitivane hemikalije dobijene u odsustvu (-Irr) i u prisustvu (+Irr) necitotoksičnog zračenja sa UVA/vis svetlošću.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jeste koncentracija ispitivane hemikalije koja smanjuje viabilnost ćelija za 50%.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Srednji fotoefekat (u daljem tekstu: MPE) jeste mera izvedena iz matematičke analize krivih koncentracija odgovor dobijenih u odsustvu (-Irr) i u prisustvu (+Irr) zračenja sa UVA/vis svetlošću koje nije cititiksično.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Fototoksičnost jeste akutna toksična reakcija koja je izazvana posle prvog izlaganja kože određenim hemikalijama i naknadnom izlaganju svetlu ili koja je slično izazvana zračenjem kože posle sistemske primene hemikalije.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3T3 NRU test fototoksičnosti zasnovan je na poređenju citotoksičnosti hemikalije, kada se ispituje u prisustvu i odsustvu izlaganja necitotoksičnoj dozi simulirane sunčeve svetlosti. Citotoksičnost je u ovom testu izražena kao smanjenje preuzimanja vitalne boje, Neutral Red. Zavisno od koncentracije, kada se meri 24 sata posle tretmana ispitivanom hemikalijom i zračenja</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NR je slaba katjonska boja koja lako prodire kroz membrane ćelija ne-difuzijom, akumulirajući se intracelularno u lizosomima. Promene u površini osetljive lizosomalne membrane vodi do lizosomalne nepostojanosti i drugih promena koje postepeno postaju ireverzibilne. Takve promene koje su nastale dejstvom ksenobiotika imaju za posledicu smanjenje preuzimanja i vezivanja NR. Na ovaj način se može napraviti razlika između viabilnih, oštećenih ili mrtvih ćelija, što je osnova ovog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Balb/c 3T3 ćelije se održavaju u kulturi 24 sata da bi se formirali monoslojevi. Dve posude sa 96 bazenčića po ispitivanoj hemikaliji se pre-inkubiraju sa osam različitih koncentracija ispitivane supstance u trajanju od 1 sata. Potom se jedna od dve posude izlaže najvišoj dozi ne-citotoksičnog zračenja dok se druga posuda drži u mraku. Zatim se u obe posude medijum tretmana zameni medijumom za kultivisanje i posle sledećih 24 sata inkubacije određuje se viabilitet ćelija preuzimanjem Neutral Red boje. Viabilitet ćelija se izražava kao procenat od netretiranih kontrola rastvarača i računa se za svaku ispitivanu koncentraciju. Kako bi se predvideo potencijal fototoksičnosti, porede se koncentracione reakcije dobijene u prisustvu i u odsustvu zračenja, obično pri nivou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tj. pri koncentraciji koja smanjuje viabilitet ćelija do 50% u poređenju sa netretiranim kontrolama.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1.4.1.1. Ćelije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Permanentna ćelijska linija mišjih firoblasta, Balb/c 3T3, klon 31, bilo iz Kolekcije kultura američkog tipa (American Type Culture Collection, ATCC), Manassas, VA, USA ili iz Evropske Kolekcije ćelijskih kultura (The European Collection of Cell Cultures, ECACC, Salisbury, Wiltshire, UK) korišćena je u studiji validacije i zato se preporučuje da se nabave iz dobro kvalifikovanih depoa ćelija. Uz isti postupak ispitivanja mogu se koristiti druge ćelije </w:t>
      </w:r>
      <w:r w:rsidRPr="00984859">
        <w:rPr>
          <w:rFonts w:ascii="Arial" w:eastAsia="Times New Roman" w:hAnsi="Arial" w:cs="Arial"/>
          <w:lang w:eastAsia="sr-Latn-RS"/>
        </w:rPr>
        <w:lastRenderedPageBreak/>
        <w:t xml:space="preserve">ili ćelijske linije ako su uslovi kultivisanja prilagođeni specifičnim potrebama ćelija, ali se pokazuje ekvivalentnost.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Ćelije se redovno proveravaju na odsustvo kontaminacije mikoplazmom i koristiti jedino ako nijedna mikoplazma nije pronađena</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Važno je da se redovno proverava osetljivost ćelija na UV prema postupcima kontrole kvaliteta koje su opisane u ovoj metodi. Zbog toga što se UVA osetljivost ćelija može povećati s brojem prolaza, koristi se Balb/c 3T3 ćelije najnižeg broja prolaza koji se može dobiti, najbolje manje od 100 (videti odeljak 1.4.2.2.2. ove metode i Deo treći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1.4.1.2. Medijum i uslovi kultivisanja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Odgovarajući medijum za kultivisanje i uslovi kultivacije se koriste za rutinske prolaze ćelija i tokom postupka ispitivanja, npr. za ćelije Balb/c 3T3 oni su DMEM (Dulbecco's Modified Eagle's Medium) kome je dodato 10% seruma novorođenog govečeta, 4 mM glutamina, penicilin (100 IU) i streptomicin (100 μg/mL), i vlažna inkubacija na 37° C, 5%-7,5%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zavisnosti od pufera (videti odeljak 1.4.1.4. drugi pasus ove metode). Naročito je važno da uslovi kultivisanja ćelija obezbede da vreme ciklusa ćelija bude u okviru normalnog istorijskog opsega ćelija ili ćelijskih linija koje se koriste.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1.4.1.3. Pripremanje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iz zamrznutih "stock" kultura zaseju se u medijum za kultivisanje pri odgovarajućoj gustini i subkultivišu najmanje jednom pre upotrebe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3T3 NRU testu fototoksičnosti.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Ćelije koje se koriste za test fototoksičnosti poseju se u medijum za kultivisanje pri odgovarajućoj gustini tako da kulture ne dostignu nagomilavanje do kraja testa, tj. kada je viabilitet ćelija određen 48 sati posle zasejavanja ćelija. Za ćelije Balb/c 3T3 koje rastu u posudama od 96 bazenčića, preporučena gustina zasejavanja ćelija je 1 × 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ćelija po bazenčiću.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svaku ispitivanu supstancu ćelije se zaseju identično u dve odvojene posude sa 96 bazenčića, koji zatim istovremeno prolaze postupak ispitivanja pod identičnim uslovima kultivacije osim za vremenski period kada se jedna posuda izlaže zračenju (+Irr) a druga se drži u mraku (-Irr).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1.4.1.4. Priprema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se pripremaju sveže, odmah pre upotrebe osim ukoliko podaci pokazuju njihovu stabilnost pri čuvanju. Preporučuje se da se celokupna priprema hemikalija i inicijalni tretman ćelija izvede pod svetlosnim uslovima koji bi izbegli fotoaktivaciju ili degradaciju ispitivane supstance ispitivane supstance pre zračenja.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Ispitivane hemikalije se rastvore u puferovanim rastvorima soli, npr. Earle's Balanced Salt Solution (EBSS) ili drugom fiziološki izbalansiranom puferskom rastvoru koji ne sadrži proteinske sastojke, sastojke koji apsorbuju svetlost (npr. pH-idikatorke boje ili vitamini) kako bi se izbegla interferencija tokom zračenja. Kako se tokom zračenja ćelije drže oko 50 minuta van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inkubatora, vodi se računa da se izbegne alkalizacija. Ako se koriste slabi puferi kao EBSS, ovo se može postići inkubiranjem ćelija pri 7,5%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Ako se ćelije inkubiraju pri samo 5%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bira se jači pufer.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hemikalije ograničene rastvorljivosti u vodi rastvaraju se u odgovarajućem rastvaraču. Ako se koristi rastvarač, on je prisutan u konstantnoj zapremini u svim kulturama, </w:t>
      </w:r>
      <w:r w:rsidRPr="00984859">
        <w:rPr>
          <w:rFonts w:ascii="Arial" w:eastAsia="Times New Roman" w:hAnsi="Arial" w:cs="Arial"/>
          <w:lang w:eastAsia="sr-Latn-RS"/>
        </w:rPr>
        <w:lastRenderedPageBreak/>
        <w:t xml:space="preserve">tj. u negativnoj kontroli (kontroli rastvarača) kao i u svim koncentracijama ispitivane supstance i da ne bude toksičan pri tim koncentracijama. Koncentracije ispitivane supstance biraju se tako da se izbegne taloženje ili mutnoća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Preporučeni rastvarači su dimetilsulfoksid (u daljem tekstu: DMSO) i etanol (u daljem tekstu: ETOH). Mogu odgovarati i drugi rastvori niske citotoksičnosti. Pre upotrebe procenjuju se svi rastvarači prema specifičnim svojstvima, npr. reakcija sa ispitivanom supstancom, gušenje fototoksičnog efekta, svojstva dejonizacije radikala i/ili hemijska stabilnost u rastvaraču.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Mešanje na vorteksu i/ili zagrevanje do odgovarajućih temperatura može da se koristi kako bi se pomoglo rastvaranje ukoliko ovo ne bi imalo uticaja na stabilnost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1.4.1.5. Uslovi zračenja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1.4.1.5.1. Izvor svetlosti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Izbor odgovarajućeg izvora svetlosti i filtera je kritičan faktor u ispitivanju fototoksičnosti. Svetlost UVA i vidljive oblasti obično se dovodi u vezu sa fototoksičnim odgovorima </w:t>
      </w:r>
      <w:r w:rsidRPr="00984859">
        <w:rPr>
          <w:rFonts w:ascii="Arial" w:eastAsia="Times New Roman" w:hAnsi="Arial" w:cs="Arial"/>
          <w:i/>
          <w:iCs/>
          <w:lang w:eastAsia="sr-Latn-RS"/>
        </w:rPr>
        <w:t>in vivo</w:t>
      </w:r>
      <w:r w:rsidRPr="00984859">
        <w:rPr>
          <w:rFonts w:ascii="Arial" w:eastAsia="Times New Roman" w:hAnsi="Arial" w:cs="Arial"/>
          <w:b/>
          <w:bCs/>
          <w:sz w:val="15"/>
          <w:szCs w:val="15"/>
          <w:vertAlign w:val="superscript"/>
          <w:lang w:eastAsia="sr-Latn-RS"/>
        </w:rPr>
        <w:t>3, 12</w:t>
      </w:r>
      <w:r w:rsidRPr="00984859">
        <w:rPr>
          <w:rFonts w:ascii="Arial" w:eastAsia="Times New Roman" w:hAnsi="Arial" w:cs="Arial"/>
          <w:lang w:eastAsia="sr-Latn-RS"/>
        </w:rPr>
        <w:t>, dok je generalno UVB od manjeg značaja ali je visoko citotoksična. Citotoksičnost se povećava 1.000 puta kako talasna dužina ide od 313 nm do 280 nm</w:t>
      </w:r>
      <w:r w:rsidRPr="00984859">
        <w:rPr>
          <w:rFonts w:ascii="Arial" w:eastAsia="Times New Roman" w:hAnsi="Arial" w:cs="Arial"/>
          <w:b/>
          <w:bCs/>
          <w:sz w:val="15"/>
          <w:szCs w:val="15"/>
          <w:vertAlign w:val="superscript"/>
          <w:lang w:eastAsia="sr-Latn-RS"/>
        </w:rPr>
        <w:t>13</w:t>
      </w:r>
      <w:r w:rsidRPr="00984859">
        <w:rPr>
          <w:rFonts w:ascii="Arial" w:eastAsia="Times New Roman" w:hAnsi="Arial" w:cs="Arial"/>
          <w:lang w:eastAsia="sr-Latn-RS"/>
        </w:rPr>
        <w:t xml:space="preserve">. Kriterijumi za izbor odgovarajućeg izvora svetlosti uključuju zahtev da svetlosni izvor emituje talasne dužine koje apsorbuje ispitivana supstanca (apsorpsioni spektar) i da doza svetlosti (koja se može postići u razumnom vremenu izlaganja) bude dovoljna za detekciju poznatih fotocitotoksičnih hemikalija. Talasne dužine i doze koje se koriste ne treba da prekomerno štete ispitivanom sistemu, npr. oslobađanje toplote (infracrvena oblast).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Simulacija sunčeve svetlosti sa solarnim simulatorima smatra se optimalnim veštačkim izvorom svetlosti. Raspodela snage zračenja filtriranog solarnog simulatora je približna dnevnoj svetlosti spoljašnjeg prostora koja je data u literaturi</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Ksenonski luk i (dopirani) živa-metal halogeni luk se koriste kao solarni simulatori</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Druga ima prednost emitovanja manje toplote i što je jeftinija slaganje sa sunčevom svetlošću je manje idealna u poređenju sa ksenonskim lukovima. Zbog toga što svi solarni simulatori emituju značajne količine UVB one se odgovarajuće filtriraju da bi se prigušile UVB talasne dužine visoke citotoksičnosti. Zbog toga što plastični materijali za kultivisanje ćelija sadrže UV stabilizatore spektar se meri kroz isti tip poklopca posude sa 96 bazenčića kao onaj koji će se koristiti u testu. Nezavisno od mera preduzetih da bi se prigušili delovi spektra filtriranjem ili neizbežnim filterskim efektima opreme, spektar zabeležen ispod ovih filtera ne treba da odstupa od standardizovane spoljašnje dnevne svetlosti</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xml:space="preserve">. Primer distribucije spekralnog zračenja filtriranog solarnog simulatora korišćenog u studiji validacije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3T3 NRU testa fototoksičnosti je dat u literaturi</w:t>
      </w:r>
      <w:r w:rsidRPr="00984859">
        <w:rPr>
          <w:rFonts w:ascii="Arial" w:eastAsia="Times New Roman" w:hAnsi="Arial" w:cs="Arial"/>
          <w:b/>
          <w:bCs/>
          <w:sz w:val="15"/>
          <w:szCs w:val="15"/>
          <w:vertAlign w:val="superscript"/>
          <w:lang w:eastAsia="sr-Latn-RS"/>
        </w:rPr>
        <w:t>8, 16</w:t>
      </w:r>
      <w:r w:rsidRPr="00984859">
        <w:rPr>
          <w:rFonts w:ascii="Arial" w:eastAsia="Times New Roman" w:hAnsi="Arial" w:cs="Arial"/>
          <w:lang w:eastAsia="sr-Latn-RS"/>
        </w:rPr>
        <w:t xml:space="preserve">. Videti Deo treći Slika 1. ove metode.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1.4.1.5.2. Doziranje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Intenzitet svetlosti (zračenja) se redovno proverava pre svakog testa fototoskičnosti koristeći odgovarajući UV-metar širokog opsega. Intenzitet se meri preko istog tipa poklopca posude sa 96 bazenčića kao što će se koristiti u testu. UV-metar je kalibrisan prema izvoru. Proveravaju se karakteristike UV-metra i u ovu svrhu preporučuje se upotreba drugog, referentnog UV-metra iste vrste i ista kalibracija. Idealno, pri većim intervalima koristi se spektroradiometar za merenje spektralnog zračenja filtriranog izvora svetlosti i proveriti kalibraciju UV-metra širokog opsega.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Doza od 5 J/cm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(kao što je merena u UVA opsegu) je određena da ne bude citotoksična za ćelije Balb/c 3T3 i dovoljno jaka da pobudi hemikalije da izazovu fototoksičnu reakciju</w:t>
      </w:r>
      <w:r w:rsidRPr="00984859">
        <w:rPr>
          <w:rFonts w:ascii="Arial" w:eastAsia="Times New Roman" w:hAnsi="Arial" w:cs="Arial"/>
          <w:b/>
          <w:bCs/>
          <w:sz w:val="15"/>
          <w:szCs w:val="15"/>
          <w:vertAlign w:val="superscript"/>
          <w:lang w:eastAsia="sr-Latn-RS"/>
        </w:rPr>
        <w:t xml:space="preserve">6, 7 </w:t>
      </w:r>
      <w:r w:rsidRPr="00984859">
        <w:rPr>
          <w:rFonts w:ascii="Arial" w:eastAsia="Times New Roman" w:hAnsi="Arial" w:cs="Arial"/>
          <w:lang w:eastAsia="sr-Latn-RS"/>
        </w:rPr>
        <w:t>npr. da postigne 5 J/cm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tokom vremenskog perioda od 50 minuta zračenje je bilo podešeno na </w:t>
      </w:r>
      <w:r w:rsidRPr="00984859">
        <w:rPr>
          <w:rFonts w:ascii="Arial" w:eastAsia="Times New Roman" w:hAnsi="Arial" w:cs="Arial"/>
          <w:lang w:eastAsia="sr-Latn-RS"/>
        </w:rPr>
        <w:lastRenderedPageBreak/>
        <w:t>1,7 mW/cm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Videti Deo treći Slika 2. ove metode. Ukoliko se koristi druga ćelijska linija ili drugi svetlosni izvor, doza zračenja možda treba da se kalibriše tako da način doziranja može da bude izabran da nije štetan za ćelije ali da je dovoljan da pobudi standardne fotootrove. Vreme izlaganja svetlosti se računa na sledeći način: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0"/>
        <w:gridCol w:w="3055"/>
        <w:gridCol w:w="5167"/>
      </w:tblGrid>
      <w:tr w:rsidR="00984859" w:rsidRPr="00984859" w:rsidTr="00984859">
        <w:trPr>
          <w:tblCellSpacing w:w="0" w:type="dxa"/>
        </w:trPr>
        <w:tc>
          <w:tcPr>
            <w:tcW w:w="88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lang w:eastAsia="sr-Latn-RS"/>
              </w:rPr>
              <w:t xml:space="preserve">(min) = </w:t>
            </w:r>
          </w:p>
        </w:tc>
        <w:tc>
          <w:tcPr>
            <w:tcW w:w="3045"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doza zračenja (</w:t>
            </w:r>
            <w:r w:rsidRPr="00984859">
              <w:rPr>
                <w:rFonts w:ascii="Arial" w:eastAsia="Times New Roman" w:hAnsi="Arial" w:cs="Arial"/>
                <w:i/>
                <w:iCs/>
                <w:lang w:eastAsia="sr-Latn-RS"/>
              </w:rPr>
              <w:t>J</w:t>
            </w: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)x100</w:t>
            </w:r>
          </w:p>
        </w:tc>
        <w:tc>
          <w:tcPr>
            <w:tcW w:w="1116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04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zračenje (</w:t>
            </w:r>
            <w:r w:rsidRPr="00984859">
              <w:rPr>
                <w:rFonts w:ascii="Arial" w:eastAsia="Times New Roman" w:hAnsi="Arial" w:cs="Arial"/>
                <w:i/>
                <w:iCs/>
                <w:lang w:eastAsia="sr-Latn-RS"/>
              </w:rPr>
              <w:t>mW</w:t>
            </w:r>
            <w:r w:rsidRPr="00984859">
              <w:rPr>
                <w:rFonts w:ascii="Arial" w:eastAsia="Times New Roman" w:hAnsi="Arial" w:cs="Arial"/>
                <w:lang w:eastAsia="sr-Latn-RS"/>
              </w:rPr>
              <w:t xml:space="preserve"> / 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)x60 </w:t>
            </w:r>
          </w:p>
        </w:tc>
        <w:tc>
          <w:tcPr>
            <w:tcW w:w="1116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w:t>
      </w:r>
      <w:r w:rsidRPr="00984859">
        <w:rPr>
          <w:rFonts w:ascii="Arial" w:eastAsia="Times New Roman" w:hAnsi="Arial" w:cs="Arial"/>
          <w:i/>
          <w:iCs/>
          <w:lang w:eastAsia="sr-Latn-RS"/>
        </w:rPr>
        <w:t xml:space="preserve">J </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1 Wsec</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Eksperimentalni uslovi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1.4.2.1. Koncentracije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Opsezi koncentracija ispitivane hemikalije u prisustvu (+Irr) ili u odsustvu (-Irr) svetlosti adekvatno se određuju u eksperimentima koji su osmišljeni za nalaženje opsega. Bilo bi korisno prvo proceniti rastvorljivost i na 60 minuta (ili koje vreme će se koristiti) jer rastvorljivost može da se promeni tokom vremena ili za vreme trajanja ekspozicije. Da bi se izbegla toksičnost koja je uzrokovana neodgovarajućim uslovima kultivisanja ili visokom kiselošću ili alkalnosti hemikalije, pH ćelijskih kultura sa dodatom ispitivanom supstancom je u opsegu 6,5 do 7,8.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Najviša koncentracija ispitivane supstance je u okviru fizioloških uslova ispitivanja, npr. izbegava se osmotski ili pH stres. U zavisnosti od ispitivane hemikalije, možda je neophodno razmotriti druga fizikohemijska svojstva kao ograničavajuće faktore za najvišu ispitivanu koncentraciju. Za relativno nerastvorne supstance koje nisu toksične pri koncentracijama do tačke zasićenja ispituje se najviša koncentracija koja se može postići.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Izbegava se taloženje ispitivane hemikalije pri bilo kojoj ispitivanoj koncentraciji. Maksimalna koncentracija ispitivane supstance ne prelazi 1.000 μg/mL; osmolalnost ne prelazi 10 mmolar. Koristi se serija geometrijskoh razblaženja osam koncentracija ispitivane supstance sa konstantnim faktorom razblaženja (videti odeljak 2.1. drugi pasus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postoje podaci (iz eksperimenta nalaženja opsega) da ispitivana supstanca nije citotoksična do granice koncentracije u eksperimentu u mraku (-Irr), ali je visoko toksična kada je ozračena (+Irr), opseg koncentracija koji se bira za (+Irr) eksperiment može da se razlikuje od onog izabranog za (−Irr) eksperiment da bi ispunio zahtev adekvatnosti kvaliteta podataka.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1.4.2.2. Kontrole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1.4.2.2.1. Osetljivost ćelija na zračenje, uspostavljanje istorijskih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se redovno proveravaju (približno svakog petog prolaza) na osetljivost prema izvoru svetlosti procenom njihove viabilnosti po ekspoziciji rastućim dozama zračenja. U ovoj proceni se koristi nekoliko doza zračenja, uključujući nivoe značajno veće od onih koji se koriste u 3T3 NRU testu fototoksičnosti. Ove doze se najlakše kvantifikuju merenjima UV delova izvora svetlosti. Ćelije se zasade pri gustini koja se koristi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3T3 NRU testu fototoksičnosti i zrače se sledećeg dana. Onda se određuje viabilitet ćelija dan kasnije korišćenjem preuzimanja Neutral Red boje. Pokazuje se da je nastala najveća necitotoksična doza (npr. u studiji validacije: 5 J/cm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(UVA)) bila dovoljna da ispravno klasifikuje referentnu hemikaliju (Tabela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1.4.2.2.2. Osetljivost na zračenje, provera tekućeg testa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zadovoljava kriterijume kvaliteta ako ozračene negativne kontrole/kontrole rastvarača pokažu viabilitet veći od 80% u poređenju sa neozračenom negativnom kontrolom/kontrolom rastvarača.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1.4.2.2.3. Sposobnost rasta kontrola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Apsolutna optička gustina (OD</w:t>
      </w:r>
      <w:r w:rsidRPr="00984859">
        <w:rPr>
          <w:rFonts w:ascii="Arial" w:eastAsia="Times New Roman" w:hAnsi="Arial" w:cs="Arial"/>
          <w:sz w:val="15"/>
          <w:szCs w:val="15"/>
          <w:vertAlign w:val="subscript"/>
          <w:lang w:eastAsia="sr-Latn-RS"/>
        </w:rPr>
        <w:t>540 NRU</w:t>
      </w:r>
      <w:r w:rsidRPr="00984859">
        <w:rPr>
          <w:rFonts w:ascii="Arial" w:eastAsia="Times New Roman" w:hAnsi="Arial" w:cs="Arial"/>
          <w:lang w:eastAsia="sr-Latn-RS"/>
        </w:rPr>
        <w:t>) boje Neutral Red ekstrahovane iz kontrole rastvarača ukazuje na to da li je 1×10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ćelija koje su zasejane po bazenčiću pokazalo rast sa normalnim vremenom udvostručavanja tokom dva dana testa. Ispitivanje zadovoljava kriterijume prihvatanja ako je srednja vrednost OD</w:t>
      </w:r>
      <w:r w:rsidRPr="00984859">
        <w:rPr>
          <w:rFonts w:ascii="Arial" w:eastAsia="Times New Roman" w:hAnsi="Arial" w:cs="Arial"/>
          <w:sz w:val="15"/>
          <w:szCs w:val="15"/>
          <w:vertAlign w:val="subscript"/>
          <w:lang w:eastAsia="sr-Latn-RS"/>
        </w:rPr>
        <w:t>540</w:t>
      </w:r>
      <w:r w:rsidRPr="00984859">
        <w:rPr>
          <w:rFonts w:ascii="Arial" w:eastAsia="Times New Roman" w:hAnsi="Arial" w:cs="Arial"/>
          <w:lang w:eastAsia="sr-Latn-RS"/>
        </w:rPr>
        <w:t xml:space="preserve"> </w:t>
      </w:r>
      <w:r w:rsidRPr="00984859">
        <w:rPr>
          <w:rFonts w:ascii="Arial" w:eastAsia="Times New Roman" w:hAnsi="Arial" w:cs="Arial"/>
          <w:sz w:val="15"/>
          <w:szCs w:val="15"/>
          <w:vertAlign w:val="subscript"/>
          <w:lang w:eastAsia="sr-Latn-RS"/>
        </w:rPr>
        <w:t>NRU</w:t>
      </w:r>
      <w:r w:rsidRPr="00984859">
        <w:rPr>
          <w:rFonts w:ascii="Arial" w:eastAsia="Times New Roman" w:hAnsi="Arial" w:cs="Arial"/>
          <w:lang w:eastAsia="sr-Latn-RS"/>
        </w:rPr>
        <w:t xml:space="preserve"> netretiranih kontrola ≥ 0,4 (tj. približno 20 puta veća od podloge apsorbancije rastvarača).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1.4.2.2.4. Pozitivna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Poznata fototoksična hemikalija se testira istovremeno sa svakim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3T3 NRU testom fototoksičnosti. Preporučuje se hlorpromazin (u daljem tekstu: CPZ). Za CPZ koji se testira sa standardnim postupkom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3T3 NRU testu fototoksičnosti, određeni su kriterijumi za prihvatanje testa: ozračen CPZ (+Irr):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=0,1 do 2,0μg/ml, neozračen CPZ (-Irr):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7,0 do 90,0 μg/mL. Foto iritacioni faktor (Photo Irritation Factor, PIF) je &gt; 6. Prate se istorijske karakteristike pozitivne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da se koriste druge fototoksične hemikalije, koje odgovaraju za hemijsku klasu ili karakteristike rastvorljivosti hemikalije koja se procenjuje, kao istovremena pozitivna kontrola umesto hlorpromazina.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1.4.3. Postupak ispitivanja</w:t>
      </w:r>
      <w:r w:rsidRPr="00984859">
        <w:rPr>
          <w:rFonts w:ascii="Arial" w:eastAsia="Times New Roman" w:hAnsi="Arial" w:cs="Arial"/>
          <w:b/>
          <w:bCs/>
          <w:sz w:val="15"/>
          <w:szCs w:val="15"/>
          <w:vertAlign w:val="superscript"/>
          <w:lang w:eastAsia="sr-Latn-RS"/>
        </w:rPr>
        <w:t>6, 7, 8, 16, 17</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1.4.3.1. Prvi dan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Razdeliti 100 μL medijuma za kultivisanje u periferne bazenčiće posude sa 96 bazenčića za mikrotitraciju tkivnih kultura (= slepe probe). U preostale bazenčiće, razdeliti 100 μL suspenzije ćelija od 1×10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ćelija/mL u medijumu za kultivisanje (= 1×10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ćelija/bazenčić). Dve posude se pripremaju za svaku seriju pojedinačnih koncentracija ispitivane supstance i za kontrolu rastvarača i konpozitivnu kontrolu.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Inkubirati ćelije 24 sata (videti odeljak 1.4.1.2. ove metode) dok ne formiraju polukonfluentan monosloj. Ovaj period inkubacije dozvoljava oporavak ćelija, adherenciju i eksponencijalni rast.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1.4.3.2. Drugi dan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Posle inkubacije dekantovati medijum kulture od ćelija i isprati pažljivo sa 150 μL puferovanog rastvora koji je korišćen za inkubaciju. Dodati 100 μL pufera koji sadrži odgovarajuću koncentraciju ispitivane supstance ili rastvarača (kontrola rastvarača). Primeniti osam različitih koncentracija ispitivane hemikalije. Inkubatori ćelije sa ispitivanom supstancom u mraku 60 minuta (videti odeljak 1.4.1.2. i odeljak 1.4.1.4. drugi pasus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 dve posude pripremljene za svaku seriju koncentracija ispitivane supstance i kontrola, jedna se izabere, obično nasumično, za određivanje citotoksičnosti (-Irr) (t.j. kontrolna posuda) i jedna (tretirana posuda) za određivanje fototoksičnosti (+Irr).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izvođenje +Irr ekspozicije, ozračiti ćelije na sobnoj temperaturi 50 minuta preko poklopca posudice sa 96 bazenčića sa najvišom dozom zračenja koja nije citotoksična (videti Deo treći ove metode). Držati neozračene posude (-Irr) na sobnoj temperaturi u mračnoj kutiji 50 minuta (= vreme izlaganja svetlosti).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Dekantovati ispitivani rastvor i pažljivo isprati dva puta sa 150 μL puferskog rastvora koji je korišćen za inkubaciju, ali koji ne sadrži ispitivani materijal. Zameniti pufer sa medijumom za kultivaciju i inkubirati (videti odeljak 1.4.1.2. ove metode) preko noći (18 sati do 22 sata).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1.4.3.3. Treći dan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1.4.3.3.1. Mikroskopska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Ćelije se pregledaju na rast, morfologiju i integritet monosloja koristeći fazno kontrasni mikroskop. Beleže se promene u morfologiji ćelija i efekti na ćelijski rast.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1.4.3.3.2. Test preuzimanja boje Neutral Red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Isprati ćelije sa 150 μL prethodno zagrejanog pufera. Ukloniti rastvor za ispiranje nežnim lupkanjem. Dodati 100 μL rastvora Neutral Red (u daljem tekstu: NR) (3-amino-7-dimetilamino-2-metilfenazin hidrohlorid, EINECS broj 209-035-8; CAS broj 553-24-2; C.I. 50040) koncentracije 50 μg/mL u medijum bez seruma</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xml:space="preserve"> i inkubirati kao što je opisano u odeljku 1.4.1.2. ove metode tokom tri sata. Posle inkubacije, ukloniti NR medijum i isprati ćelije sa 150 μL pufera. Dekantovati i ukloniti višak pufera upijanjem ili centrifugiranjem.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Dodati tačno 150 μL rastvora za odstranjivanje NR (sveže pripremljen 49 delova vode + 50 delova etanola + 1 deo sirćetne kiseline).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Mešati posudu za mikrotitraciju nežno na mešalici 10 minuta dok se NR ne ekstrahuje iz ćelija i formira homogeni rastvor.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Izmeriti optičku gustinu ekstrakta NR na 540 nm na spektrofotometru prema slepoj probi. Sačuvati podatke u dokumentu odgovarajućeg elektronskog formata za dalju analizu.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KVALITET I KVANTITET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Podaci ispitivanja omogućavaju značajnu analizu koncentracije - odgovora dobijene u prisustvu i u odsustvu zračenja i, ako je moguće, koncentraciju ispitivane hemikalije pri kojoj je viabilnost ćelija smanjena na 50%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Ukoliko se pronađe citotoksičnost i opseg koncentracija i odsečak pojedinačnih koncentracija se postavljaju tako da omoguće podešavanje krive prema eksperimentalnim podacima.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jasno pozitivne i za jasno negativne rezultate (vedeti odeljak 2.3. prvi pasus ove metode), može da bude dovoljan primarni eksperiment koji je podržan jednim ili sa više preliminarnih ispitivanja nalaženja opsega.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Dvosmisleni, granični ili nejasni rezultati se razjašnjavaju daljim ispitivanjima (videti odeljak 2.4. drugi pasus ove metode). U takvim slučajevima razmatra se izmena eksperimentalnih uslova. Eksperimentalni uslovi koji se mogu izmeniti uključuju opseg koncentracija ili razmak između koncentracija, vreme pre-inkubacije i vreme izlaganja zračenju. Kraće vreme izlaganja može da bude pogodno za hemikalije nestabilne u vodi.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2.2. PROCENA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omogućila ocena rezultata, može se računati foto-iritacioni faktor (Photo-Irritation-Factor, PIF) ili srednji foto-efekat (Mean Photo Effect, MPE).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izračunavanje mera fototoksičnosti (videti ispod) potrebno je aproksimovati skup pojedinačnih vrednosti koncentracija - odgovor pomoću odgovarajuće neprekidne (model) krive koncentracija - odgovor. Podešavanje krive prema podacima obično se izvodi ne-linearnom regresivnom metodom</w:t>
      </w:r>
      <w:r w:rsidRPr="00984859">
        <w:rPr>
          <w:rFonts w:ascii="Arial" w:eastAsia="Times New Roman" w:hAnsi="Arial" w:cs="Arial"/>
          <w:b/>
          <w:bCs/>
          <w:sz w:val="15"/>
          <w:szCs w:val="15"/>
          <w:vertAlign w:val="superscript"/>
          <w:lang w:eastAsia="sr-Latn-RS"/>
        </w:rPr>
        <w:t>18</w:t>
      </w:r>
      <w:r w:rsidRPr="00984859">
        <w:rPr>
          <w:rFonts w:ascii="Arial" w:eastAsia="Times New Roman" w:hAnsi="Arial" w:cs="Arial"/>
          <w:lang w:eastAsia="sr-Latn-RS"/>
        </w:rPr>
        <w:t xml:space="preserve">. Da bi se procenio uticaj varijabilnosti podataka na podešavanje krive, preporučuje se postupak bootstrap.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Foto-iritacioni faktor (u daljem tekstu: PIF) izračunava se upotrebom formule: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75"/>
        <w:gridCol w:w="1510"/>
        <w:gridCol w:w="7027"/>
      </w:tblGrid>
      <w:tr w:rsidR="00984859" w:rsidRPr="00984859" w:rsidTr="00984859">
        <w:trPr>
          <w:tblCellSpacing w:w="0" w:type="dxa"/>
        </w:trPr>
        <w:tc>
          <w:tcPr>
            <w:tcW w:w="57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PIF = </w:t>
            </w:r>
          </w:p>
        </w:tc>
        <w:tc>
          <w:tcPr>
            <w:tcW w:w="1500"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IC50(-Irr) </w:t>
            </w:r>
          </w:p>
        </w:tc>
        <w:tc>
          <w:tcPr>
            <w:tcW w:w="131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50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IC50(+Irr) </w:t>
            </w:r>
          </w:p>
        </w:tc>
        <w:tc>
          <w:tcPr>
            <w:tcW w:w="1311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 prisustvu i u odsustvu svetlosti ne može izračunati, PIF se ne može odrediti za ispitivani materijal. Srednji foto-efekat (u daljem tekstu: MPE) određuje se na osnovu upoređivanja završenih koncentracija - odgovor krivih.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02339BAA" wp14:editId="10E78CA5">
            <wp:extent cx="2019300" cy="771525"/>
            <wp:effectExtent l="0" t="0" r="0" b="9525"/>
            <wp:docPr id="79" name="Picture 79" descr="C:\Program Files (x86)\ParagrafLex\browser\Files\Old\t\t2013_12\t12_0570_s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Program Files (x86)\ParagrafLex\browser\Files\Old\t\t2013_12\t12_0570_s078.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9300" cy="7715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Foto-efekat PEc pri bilo kojoj koncentraciji C se definiše kao proizvod odgovora efekta REc i doze efekta DEc tj. PEc = REc × DEc. Odgovor efekta REc je razlika između odgovora primećenog u odsustvu i u prisustvu svetlosti, tj. REc = Rc (-Irr) − Rc (+Irr). Doza-efekat se daje kao: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10"/>
        <w:gridCol w:w="1420"/>
        <w:gridCol w:w="6982"/>
      </w:tblGrid>
      <w:tr w:rsidR="00984859" w:rsidRPr="00984859" w:rsidTr="00984859">
        <w:trPr>
          <w:tblCellSpacing w:w="0" w:type="dxa"/>
        </w:trPr>
        <w:tc>
          <w:tcPr>
            <w:tcW w:w="70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DEc = </w:t>
            </w:r>
          </w:p>
        </w:tc>
        <w:tc>
          <w:tcPr>
            <w:tcW w:w="1410"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sz w:val="20"/>
                <w:szCs w:val="20"/>
                <w:lang w:eastAsia="sr-Latn-RS"/>
              </w:rPr>
              <w:t xml:space="preserve">C/C * - 1 </w:t>
            </w:r>
          </w:p>
        </w:tc>
        <w:tc>
          <w:tcPr>
            <w:tcW w:w="1306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41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sz w:val="20"/>
                <w:szCs w:val="20"/>
                <w:lang w:eastAsia="sr-Latn-RS"/>
              </w:rPr>
              <w:t xml:space="preserve">C/C * +1 </w:t>
            </w:r>
          </w:p>
        </w:tc>
        <w:tc>
          <w:tcPr>
            <w:tcW w:w="1306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 čemu C* jeste ravnotežna koncentracija, odnosno koncentracija pri kojoj je +Irr odgovor jednak -Irr odgovoru pri koncentraciji C. Ako se C* ne može odrediti zato što su vrednosti odgovora +Irr krive sistematski više ili niže nego R</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(-Irr), dozni efekat je 1. Faktori wi su dati po najvišoj vrednosti odgovora, tj. wi = MAX {R</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(+Irr), R</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(-Irr)}. Koncentracija C</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se bira tako da isti broj tačaka pripadne svakom koncentracionom intervalu koji su definisani sa vrednosti koncentracije pri kojoj najmanje jedna ili dve krive i dalje pokazuju vrednost odgovora od najmanje 10%. Ako je ova maksimalna koncentracija viša od najviše koncentracije koja je korišćena u +Irr eksperimentu, onda se rezidualni deo +Irr krive podešava da je vrednost odgovora "0". U zavisnosti od toga da li je MPE vrednost veća od određene cut-off vrednosti (MPE</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 0,15) ili nije, hemikalija se klasifikuje kao fototoksična.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Softverski paket za izračunavanje PIF i MPE je dostupan</w:t>
      </w:r>
      <w:r w:rsidRPr="00984859">
        <w:rPr>
          <w:rFonts w:ascii="Arial" w:eastAsia="Times New Roman" w:hAnsi="Arial" w:cs="Arial"/>
          <w:b/>
          <w:bCs/>
          <w:sz w:val="15"/>
          <w:szCs w:val="15"/>
          <w:vertAlign w:val="superscript"/>
          <w:lang w:eastAsia="sr-Latn-RS"/>
        </w:rPr>
        <w:t>20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2.3.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osnovu studije validacije</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ispitivana supstanca sa PIF &lt; 2 ili sa MPE &lt; 0,1 predviđa: "nije fototoksično". Ako je PIF &gt; 2 i &lt; 5 ili ako je MPE &gt; 0,1 i &lt; 0,15 predviđa: "verovatna fototoskičnost"; i ako je PIF &gt; 5 ili MPE &gt; 0,15 predviđa: "fototoksičnost".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laboratorije koje uvode ovaj test, ispituju se referentni materijali nabrojani u Tabeli 1. pre ispitivanja ispitivane supstance za procenu fototoksičnosti. Vrednosti PIF i MPE su približne vrednostima pomenutim u Tabeli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94"/>
        <w:gridCol w:w="1146"/>
        <w:gridCol w:w="1118"/>
        <w:gridCol w:w="648"/>
        <w:gridCol w:w="828"/>
        <w:gridCol w:w="1909"/>
        <w:gridCol w:w="138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Hemijski naziv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PIF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MPE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Apsorpcioni maksimum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Rastvarač</w:t>
            </w:r>
            <w:r w:rsidRPr="00984859">
              <w:rPr>
                <w:rFonts w:ascii="Arial" w:eastAsia="Times New Roman" w:hAnsi="Arial" w:cs="Arial"/>
                <w:b/>
                <w:bCs/>
                <w:sz w:val="15"/>
                <w:szCs w:val="15"/>
                <w:vertAlign w:val="superscript"/>
                <w:lang w:eastAsia="sr-Latn-RS"/>
              </w:rPr>
              <w:t>XV</w:t>
            </w:r>
            <w:r w:rsidRPr="00984859">
              <w:rPr>
                <w:rFonts w:ascii="Arial" w:eastAsia="Times New Roman" w:hAnsi="Arial" w:cs="Arial"/>
                <w:lang w:eastAsia="sr-Latn-RS"/>
              </w:rPr>
              <w:t xml:space="preserve"> (1)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amiodaron HCL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243-293-2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[19774-82-4]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3,25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0,2-0,54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242 nm 300 nm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etanol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hlorpromazin HCL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200-701-3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[69-09-0]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14,4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0,33-0,63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309 nm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etanol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norfloksacin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274-614-4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[70458-96-7]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71,6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0,34-0,90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316 nm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acetonitril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antracen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204-371-1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[120-12-7]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18,5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0,19-0,81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356 nm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acetonitril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Protoporfirin </w:t>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xml:space="preserve">, dinatrijum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256-815-9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[50865-01-5]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45,3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0,54-0,74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402 nm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etanol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L-histidin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[7006-35-1]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0,05-0,10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211 nm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voda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heksahlorofen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200-733-8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[70-30-4]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299 nm 317 nm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etanol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Natrijum-lauril sulfat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205-788-1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[151-21-3]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1,0-1,9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Nema apsorpcije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voda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XV</w:t>
      </w:r>
      <w:r w:rsidRPr="00984859">
        <w:rPr>
          <w:rFonts w:ascii="Arial" w:eastAsia="Times New Roman" w:hAnsi="Arial" w:cs="Arial"/>
          <w:lang w:eastAsia="sr-Latn-RS"/>
        </w:rPr>
        <w:t xml:space="preserve"> Rastvarač koji se koristi za merenje apsorbancije.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2.4.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Fototoksični efekti se uočavaju samo pri najvišim ispitivanim koncentracijama (naročito za ispitivane hemikalije koje su rastvorne u vodi). Dodatna razmatranja mogu biti neophodna za procenu hazarda. Ovo može uključiti podatke o apsorpciji kože i o akumulaciji hemikalije u koži i/ili podatke iz drugih testova, npr. ispitivanje hemikalije na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životinjskoj ili ljudskoj koži ili modelima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nije pokazana toksičnost (+Irr i -Irr) i ako je slaba rastvorljivost bila ograničavajući faktor za koncentracije koje mogu biti ispitane, može se dovesti u pitanje kompatibilnost ispitivane supstance sa testom i razmatra se potvrdno testiranje upotrebom npr. drugog modela.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identifikaciji, uobičajeni generički nazivi i IUPAC i CAS brojevi, ako su poznati;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priroda i čistoća;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i hemijska svojstva relevantna za izvođenje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UV/vis apsorpcioni spektar;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stabilnost i fotostabilnost, ako je poznata.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Rastvaraču: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opravdanje za izbor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ispitivane hemikalije u rastvaraču;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procenat prisustva rastvarača u medijumu za tretman.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Ćelijama: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i izvor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odsustvo mikoplazme;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ćelijskih prolaza, ako je poznat;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osetljivost ćelija na zračenje, određena opremom za zračenje koja se koristi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3T3 NRU testu fototoksičnosti.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4) Uslovima ispitivanja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inkubaciji pre i posle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i sastav medijuma za kultivisanje;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uslovi inkubacije (koncentracija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temperatura; vlažnost);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trajanje inkubacije (predtretman, post-tretman).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5) Uslovima ispitivanja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tretmanu hemikalijom: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osnova za izbor koncentracija ispitivane hemikalije koje su korišćene u prisustvu i u odsustvu zračenja;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 slučaju ograničene rastvorljivosti ispitivane hemikalije i odsustva citotoksičnosti: osnova za najvišu ispitivanu koncentraciju;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sastava medijuma za tretiranje (puferovani rastvor soli);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trajanje hemijskih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6) Uslovima ispitivanja</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zračenju: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osnova za izbor izvora svetlosti koji je korišćen;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proizvođač i vrsta izvora svetlosti i radiometra;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karakteristike spektralnog zračenja izvora svetlosti;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transmisione i apsorpcione karakteristike korišćenih filtera;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karakteristike radiometra i pojedinosti o kalibraciji;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razmak svetlosnog izvora od ispitivanog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UVA zračenje pri ovom razmaku, izraženo u mW/cm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trajanje izlaganja UV/vis svetlosti;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UVA doza (zračenje × vreme), izražena u J/cm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ćelijskih kultura tokom zračenja i ćelijskih kultura koje se istovremeno drže u mraku.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7) Uslovima ispitivanja</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Neutral Red testu viabilnosti: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sastav Neutral Red medijuma za tretiranje;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trajanje inkubacije sa Neutral Red;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uslovi inkubacije (koncentracija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temperatura; vlažnost);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 ekstrakcije Neutral Red (ekstrakcija; trajanje);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talasna dužina koja je korišćena za spektrofotometrijsko čitanje optičke gustine Neutral Red;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druga talasna dužina (referentna), ako je korišćena;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slepe probe spektrofotometra, ako je korišćena.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viabilnost ćelija dobijena iz svake koncentracije ispitivane hemikalije, izražena u procentu viabilnosti od srednje vrednosti istovremene kontrole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krive koncentracija - odgovor (koncentracija ispitivane supstance prema relativnoj viabilnosti ćelija) dobijene u istovremenim +Irr i -Irr ispitivanjima;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analiza krivih koncentracija - odgovor: ako je moguće, izračunavanje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(+Irr) i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(-Irr);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upoređivanje dve krive koncentracija - odgovor dobijene u prisustvu i u odsustvu zračenja, bilo računanjem foto-iritacionog faktora (PIF), bilo računanjem srednjeg foto-efekta (MPE);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za prihvatanje testa; istovremena kontrola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apsolutna viabilnost (optička gustina ekstrakta Neutral Red) ozračenih i neozračenih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istorijski podaci negativne i kontrole rastvarača; srednje vrednosti i standardne devijacije;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kriterijumi za prihvatanje testa; istovremena pozitivna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(+Irr) i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(-Irr) i PIF/MPE hemikalije koja je korišćena kao pozitivna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istorijski podaci o hemikaliji koja je korišćena kao pozitivna kontrola: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(+Irr) i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(-Irr) i PIF/MPE; srednje vrednosti i standardne devijacije.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Lovell W.W., (1993) A scheme for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screening of substances for photoallergenic potential.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7, p. 95-102.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Santamaria, L. and Prino, G., (1972) List of the photodynamic substances. In ‘Research Progress in Organic, Biological and Medicinal Chemistry’ Vol. 3 part 1. North Holland Publishing Co. Amsterdam. p. XI-XXXV.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Spielmann, H., Lovell, W.W., Hölzle, E., Johnson, B.E., Maurer, T., Miranda, M.A., Pape, W.J.W., Sapora, O., and Sladowski, D., (1994)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phototoxicity testing: The report and recommendations of ECVAM Workshop 2. ATLA, 22, p. 314-348.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Spikes, J.D., (1989) Photosensitisation. In 'The science of Photobiology' Edited by K.C. Smith. Plenum Press, New York. 2nd edition, p. 79-110.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OECD, (1997) Environmental Health and Safety Publications, Series on Testing and Assessment No 7 'Guidance Document On Direct Phototransformation Of Chemicals In Water' Environment Directorate, OECD, Paris.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Spielmann, H., Balls, M., Döring, B., Holzhütter, H.G., Kalweit, S., Klecak, G., L'Eplattenier, H., Liebsch, M., Lovell, W.W., Maurer, T., Moldenhauer. F. Moore. L., Pape, W., Pfannbecker, U., Potthast, J., De Silva, O., Steiling, W., and Willshaw, A., (1994) EEC/COLIPA project 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phototoxicity testing: First results obtained with a Balb/c 3T3 cell phototoxicity assay. Toxic.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8, p. 793-796.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Anon, (1998) Statement on the scientific validity of the 3T3 NRU PT test (an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test for phototoxicity), European Commission, Joint Research Centre: ECVAM and DGXI/E/2, 3 November 1997, ATLA, 26, p. 7-8.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Spielmann, H., Balls, M., Dupuis, J., Pape, W.J.W., Pechovitch, G. De Silva, O., Holzhütter, H.G., Clothier, R., Desolle, P., Gerberick, F., Liebsch, M., Lovell, W.W., Maurer, T., Pfannenbecker, U., Potthast, J. M., Csato, M., Sladowski, D., Steiling, W., and Brantom, P., (1998) The international EU/COLIPA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phototoxicity validation study: results of phase II (blind trial), part 1: the 3T3 NRU phototoxicity test. Toxicology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12, p. 305-327.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OECD, (2002) Extended Expert Consultation Meeting on The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3T3 NRU Phototoxicity Test Guideline Proposal, Berlin, 30th-31th October 2001, Secretariat‘s Final Summary Report, 15th March 2002, OECD ENV/EHS, available upon request from the Secretariat.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Borenfreund, E., and Puerner, J.A., (1985) Toxicity determination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by morphological alterations and neutral red absorption. Toxicology Lett., 24, p. 119-124.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11. Hay, R.J., (1988) The seed stock concept and quality control for cell lines. Analytical Biochemistry 171, p. 225-237.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Lambert L.A, Warner W.G., and Kornhauser A., (1996) Animal models for phototoxicity testing. In ‘Dermatotoxicology’, edited by F.N. Marzulli and H.I. Maibach. Taylor &amp; Francis, Washington DC. 5th Edition, p. 515-530.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Tyrrell R.M., Pidoux M., (1987) Action spectra for human skin cells: estimates of the relative cytotoxicity of the middle ultraviolet, near ultraviolet and violet regions of sunlight on epidermal keratinocytes. Cancer Res., 47, p. 1825-1829.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ISO 10977., (1993) Photography - Processed photographic colour films and paper prints - Methods for measuring image stability.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Sunscreen Testing (UV.B) TECHNICALREPORT, CIE, International Commission on Illumnation, Publication No 90, Vienna, 1993, ISBN 3 900 734 275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ZEBET/ECVAM/COLIPA - Standard Operating Procedure: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3T3 NRU Phototoxicity Test. Final Version, 7 September, 1998. p. 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Spielmann, H., Balls, M., Dupuis, J., Pape, W.J.W., De Silva, O., Holzhütter, H.G., Gerberick, F., Liebsch, M., Lovell, W.W., and Pfannenbecker, U., (1998) A study on UV filter chemicals from Annex VII of the European Union Directive 76/768/EEC, in the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3T3 NRU phototoxicity test. ATLA 26, p. 679-708.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Holzhütter, H.G., and Quedenau, J., (1995) Mathematical modeling of cellular responses to external signals. J. Biol. Systems 3, p. 127-138.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Holzhütter, H.G., (1997) A general measure of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phototoxicity derived from pairs of dose-response curves and its use for predicting the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phototoxicity of chemicals. ATLA, 25, p. 445-462.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http://www.oecd.org/document/55/0,2340,en_2649_34377_2349687_1_1_1_1,00.html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drugi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ULOGA 3T3 NRU PT U PRISTUPU KORAK PO KORAK ZA ISPITIVANJE FOTOTOKSIČNOSTI HEMIKALIJA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1E0B5F27" wp14:editId="354E110B">
            <wp:extent cx="5133975" cy="4762500"/>
            <wp:effectExtent l="0" t="0" r="9525" b="0"/>
            <wp:docPr id="78" name="Picture 78" descr="C:\Program Files (x86)\ParagrafLex\browser\Files\Old\t\t2013_12\t12_0570_s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Program Files (x86)\ParagrafLex\browser\Files\Old\t\t2013_12\t12_0570_s079.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33975" cy="47625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treći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 Raspodela spektralne moći filtriranog solarnog simulatora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Zračenje (mV/cm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0EF09D7A" wp14:editId="3FD619ED">
            <wp:extent cx="5162550" cy="3981450"/>
            <wp:effectExtent l="0" t="0" r="0" b="0"/>
            <wp:docPr id="77" name="Picture 77" descr="C:\Program Files (x86)\ParagrafLex\browser\Files\Old\t\t2013_12\t12_0570_s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Program Files (x86)\ParagrafLex\browser\Files\Old\t\t2013_12\t12_0570_s080.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62550" cy="39814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1.4.1.5. drugi pasus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Slika 1. daje primer prihvatljive raspodele spektralnog zračenja filtriranog solarnog simulatora. On je od punjenog metal halofenog izvora koji je korišćen u probi validacije 3T3 NRU PT</w:t>
      </w:r>
      <w:r w:rsidRPr="00984859">
        <w:rPr>
          <w:rFonts w:ascii="Arial" w:eastAsia="Times New Roman" w:hAnsi="Arial" w:cs="Arial"/>
          <w:b/>
          <w:bCs/>
          <w:sz w:val="15"/>
          <w:szCs w:val="15"/>
          <w:vertAlign w:val="superscript"/>
          <w:lang w:eastAsia="sr-Latn-RS"/>
        </w:rPr>
        <w:t>6, 8, 17</w:t>
      </w:r>
      <w:r w:rsidRPr="00984859">
        <w:rPr>
          <w:rFonts w:ascii="Arial" w:eastAsia="Times New Roman" w:hAnsi="Arial" w:cs="Arial"/>
          <w:lang w:eastAsia="sr-Latn-RS"/>
        </w:rPr>
        <w:t xml:space="preserve">. Prikazani su efekat dva različita filtera i dodatni efekat filtriranja poklopca posude sa 96 bazenčića. Filter H2 je korišćen samo sa test sistemima koji mogu da tolerišu veću količinu UVB (test modela kože i test foto-hemolize eritrocita). U 3T3 NRU PT korišćen je H1 filter. Slika pokazuje da je dodatni efekat filtriranja poklopca posude uglavnom uočen u opsegu UVB, ali i dalje ostavljajući dovoljno UVB spektar zračenja da se pobude hemikalije koje tipično apsorbuju UVB opseg, kao što je amjodaron (videti Tabelu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2: Osetljivost na zračenje Balb/c 3T3 ćelija (izmereno u opsegu UVA)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Viabilnost ćelija (% preuzimanja Neutral Red od strane kontrola u mraku)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13AD7350" wp14:editId="002D9238">
            <wp:extent cx="4857750" cy="2828925"/>
            <wp:effectExtent l="0" t="0" r="0" b="9525"/>
            <wp:docPr id="76" name="Picture 76" descr="C:\Program Files (x86)\ParagrafLex\browser\Files\Old\t\t2013_12\t12_0570_s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Program Files (x86)\ParagrafLex\browser\Files\Old\t\t2013_12\t12_0570_s081.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7750" cy="28289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Vreme ozračivanja (minuti)</w:t>
      </w:r>
      <w:r w:rsidRPr="00984859">
        <w:rPr>
          <w:rFonts w:ascii="Arial" w:eastAsia="Times New Roman" w:hAnsi="Arial" w:cs="Arial"/>
          <w:lang w:eastAsia="sr-Latn-RS"/>
        </w:rPr>
        <w:br/>
        <w:t>10 min= 1 joule UVA/cm</w:t>
      </w:r>
      <w:r w:rsidRPr="00984859">
        <w:rPr>
          <w:rFonts w:ascii="Arial" w:eastAsia="Times New Roman" w:hAnsi="Arial" w:cs="Arial"/>
          <w:sz w:val="15"/>
          <w:szCs w:val="15"/>
          <w:vertAlign w:val="superscript"/>
          <w:lang w:eastAsia="sr-Latn-RS"/>
        </w:rPr>
        <w:t>2</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1.4.1.5.2. drugi pasus i odeljke 1.4.2.2.1. i 1.4.2.2.2.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Osetljivost Balb/c 3T3 ćelija na zračenje sa solarnim simulatorom koji je korišćen u probi validacije 3T3 NRU testa fototoksičnosti, merena u UVA opsegu. Slika pokazuje rezultate dobijene u sedam različitih laboratorija u prevalidacionoj studiji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Zbog toga što su obe krive sa otvorenim znakovima dobijene sa ostarelim ćelijama (veliki broj prolaza), one su morale da budu zamenjene novim sa zadebljanim oznakama koje pokazuju prihvatljivu toleranciju na zračenje, koje su dobijene na novim ćelijama. Iz ovih podataka izvedena je najviša doza zračenja koja nije toksična, od 5 J/cm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Horizontalna isprekidana linija dodatno pokazuje maksimalno prihvatljiv efekat zračenja dat u odeljku 1.4.2.2.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B.42. SENZIBILIZACIJA KOŽE: TEST LOKALNIH LIMFNIH ČVOROVA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eksperimentalna metoda zasniva se na Uputstvu za ispitivanje OECD 429 (2002).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Test lokalnih limfnih čvorova (Local Lymph Node Assay, u daljem tekstu: LLNA) je u dovoljnoj meri proveren i prihvaćen da se opravda njegovo prihvatanje kao nove metode</w:t>
      </w:r>
      <w:r w:rsidRPr="00984859">
        <w:rPr>
          <w:rFonts w:ascii="Arial" w:eastAsia="Times New Roman" w:hAnsi="Arial" w:cs="Arial"/>
          <w:b/>
          <w:bCs/>
          <w:sz w:val="15"/>
          <w:szCs w:val="15"/>
          <w:vertAlign w:val="superscript"/>
          <w:lang w:eastAsia="sr-Latn-RS"/>
        </w:rPr>
        <w:t>1, 2, 3</w:t>
      </w:r>
      <w:r w:rsidRPr="00984859">
        <w:rPr>
          <w:rFonts w:ascii="Arial" w:eastAsia="Times New Roman" w:hAnsi="Arial" w:cs="Arial"/>
          <w:lang w:eastAsia="sr-Latn-RS"/>
        </w:rPr>
        <w:t>. Ovo je druga metoda za ocenjivanje potencijala hemikalije da izazove senzibilizaciju kože kod životinja. Druga metoda (Metoda V.6. koja je data u ovom prilogu) koristi zamorce, pre svega test maksimizacije i Buehlerov test</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LLNA daje alternativnu metodu za identifikaciju hemikalija koje izazivaju senzibilizaciju kože i za potvrđivanje da hemikalije nemaju značajan potencijal da uzrokuju senzibilizaciju kože. Ovo ne znači da se LLNA uvek koristi umesto ispitivanja na zamorcima, već pre da je ovaj test jednako dobar i da može biti primenjen kao alternativa u kojoj pozitivni i negativni rezultati uglavnom ne zahtevaju dalju potvrdu.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LLNA pruža određene prednosti u odnosu na naučni napredak i dobrobit životinja. Test proučava fazu indukcije senzibilizacije kože i daje kvantitativne podatke pogodne za procenu odnosa doza-odgovor. Detalji validacije LLNA i pregled rada u vezi s tim su objavljeni</w:t>
      </w:r>
      <w:r w:rsidRPr="00984859">
        <w:rPr>
          <w:rFonts w:ascii="Arial" w:eastAsia="Times New Roman" w:hAnsi="Arial" w:cs="Arial"/>
          <w:b/>
          <w:bCs/>
          <w:sz w:val="15"/>
          <w:szCs w:val="15"/>
          <w:vertAlign w:val="superscript"/>
          <w:lang w:eastAsia="sr-Latn-RS"/>
        </w:rPr>
        <w:t>5, 6, 7, 8</w:t>
      </w:r>
      <w:r w:rsidRPr="00984859">
        <w:rPr>
          <w:rFonts w:ascii="Arial" w:eastAsia="Times New Roman" w:hAnsi="Arial" w:cs="Arial"/>
          <w:lang w:eastAsia="sr-Latn-RS"/>
        </w:rPr>
        <w:t>. Blagi/umereni senzibilizatori koji su preporučeni kao pogodne supstance za pozitivnu kontrolu za testove na zamorcima takođe su pogodni za korišćenje u LLNA</w:t>
      </w:r>
      <w:r w:rsidRPr="00984859">
        <w:rPr>
          <w:rFonts w:ascii="Arial" w:eastAsia="Times New Roman" w:hAnsi="Arial" w:cs="Arial"/>
          <w:b/>
          <w:bCs/>
          <w:sz w:val="15"/>
          <w:szCs w:val="15"/>
          <w:vertAlign w:val="superscript"/>
          <w:lang w:eastAsia="sr-Latn-RS"/>
        </w:rPr>
        <w:t>6, 8, 9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LLNA je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metoda i ne eliminiše korišćenje životinja u ocenjivanju aktivnosti kontaktne senzibilizacije. Ona ima potencijal da smanji broj životinja koji je potreban za ovu svrhu. LLNA nudi značajno poboljšanje u načinu na koji se životinje koriste za testiranje kontaktne senzibilizacije. LLNA se zasniva na razmatranju imunoloških pojava koje su stimulisane hemikalijama za vreme indukcione faze senzibilizacije. Za razliku od ispitivanja na zamorcima, LLNA ne zahteva primenu osporavanih dermalnih reakcija preosetljivosti. Ova metoda ne zahteva korišćenje adjuvansa, kao što je slučaj kod testa maksimizacije na zamorcima. Zbog toga LLNA smanjuje stres kod životinja. Uprkos prednostima ove metode u odnosu na tradicionalne testove na zamorcima, postoje određena ograničenja koja mogu zahtevati tradicionalna ispitivanja na zamorcima (npr. lažno negativni rezultati LLNA sa nekim metalima, lažno pozitivni rezultati sa nekim iritansima kože)</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princip u LLNA je da senzibilišuće supstance dovode do primarne proliferacije limfocita u limfnom čvoru koji drenira mesto primene hemikalije. Ova proliferacija je proporcionalna primenjenoj dozi (i potenciji alergena) i predstavlja jednostavno sredstvo za dobijanje objektivne, kvantitativne mere senzibilizacije. LLNA procenjuje ovu proliferaciju kao odnos doza-odgovor u kojem se proliferacija u ispitivanim grupama upoređuje sa onom kod kontrola tretiranih rastvaračem. Odnos proliferacije u tretiranim grupama prema onima u kontrolama rastvarača, nazvana "indeks stimulacije", određuje se i mora da bude najmanje tri, pre nego što se ispitivana supstanca dalje ocenjuje kao potencijalno senzibilišuća za kožu. Ovde opisane metode zasnivaju se na korišćenju radioaktivnog obeležavanja kako bi se izmerila proliferacija ćelija. Drugi pokazatelji ispitivanja za ocenjivanje proliferacije mogu se primeniti ukoliko postoji opravdanje i odgovarajuća naučna podrška, uključujući potpune navode i opis metodologije.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1.3.1.1. Uslovi smeštaja i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smeštaju pojedinačno. Temperatura prostorije za eksperimentalne životinje je 22° C (±3° C). Relativna vlažnost je najmanje 30% i ne prelazi 70% osim za vreme čišćenja prostorija. Ciljna vlažnost je 50% do 60%. Svetlo je veštačko sa sekvencama od 12 sati svetla i 12 sati mraka. Može da se koristi konvencionalna laboratorijska ishrana uz slobodan pristup vodi za piće.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1.3.1.2.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biraju nasumce i označavaju da bi se omogućila identifikacija jedinki (ali ne označavanjem ušiju na bilo koji način) i drže se u kavezima najmanje pet dana pre početka doziranja kako bi se aklimatizovale na laboratorijske uslove. Pre početka tretmana sve životinje se pregledaju da se utvrdi da nemaju vidljivih lezija na koži.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1.3.2.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1.3.2.1. Eksperimentalne životinje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ovaj test koristi se miš. Ispitivanje se izvodi na mladim odraslim ženkama miševa soja CBA/Ca ili CBA/J, koje nisu ranije rađale i nisu gravidne. Na početku studije životinje treba da budu između 8 i 12 nedelja stare i varijacija u telesnoj masi životinja treba da bude minimalna i ne sme da prelazi 20% prosečne telesne mase. Drugi sojevi i mužjaci mogu se koristiti kada se prikupi dovoljno podataka da se pokaže da ne postoje značajne razlike u LLNA odgovoru između određenih sojeva i/ili polova.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1.3.2.2. Provera pouzdanosti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Pozitivne kontrole se koriste kako bi se pokazala odgovarajuća svojstva testa i kompetentnost laboratorije da uspešno obavi studiju. Pozitivna kontrola dovodi do pozitivnog LLNA odgovora pri nivou ekspozicije za koji se očekuje da povećanje indeksa stimulacije (SI) &gt; 3 u odnosu na negativnu kontrolnu grupu. Doza pozitivne kontrole bira se tako da indukcija bude jasna ali ne prekomerna. Poželjno je primeniti supstance: heksil cinamin aldehid (CAS broj 101-86-0, EINECS broj 202-983-3) i merkaptobenzotiazol (CAS broj 149-30-4, EINECS broj 205-736-8). Mogu postojati okolnosti u kojima se, uz dovoljno opravdanje, mogu koristiti druge kontrolne supstance koje zadovoljavaju gore navedene kriterijume. Grupa pozitivne kontrole može biti potrebna u svakom testu, mogu postojati situacije u kojima će laboratorije imati istorijske podatke pozitivne kontrole koji pokazuju konzistentnost zadovoljavajućeg efekta tokom šestomesečnog ili dužeg perioda. U tim slučajevima može biti pogodno ređe testiranje s pozitivnim kontrolama u periodima kraćim od 6 meseci. Mada se pozitivna kontrolna supstanca ispituje u vehikulumu za koje je poznato da izaziva konzistentan odgovor (npr. aceton: maslinovo ulje), može doći do nekih propisanih situacija u kojima će biti potrebno testiranje nestandardnog vehikuluma (klinički/hemijski relevantna formulacija). U takvim situacijama se ispituje moguća interakcija pozitivne kontrole sa ovim nekonvencionalnim vehikulumom.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1.3.2.3. Broj životinja, dozni nivoi i izbor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vrši na najmanje četiri životinje po doznoj grupi, sa najmanje tri koncentracije ispitivane supstance, plus grupa negativne kontrole koja se tretira samo vehikulumom za ispitivanu supstancu i, ako odgovara, pozitivna kontrola. U slučajevima u kojima se prikupljaju podaci o pojedinačnim životinjama, koristi se najmanje pet životinja po doznoj grupi. Osim u slučaju odsustva tretmana ispitivanom supstancom, sa životinjama u kontrolnoj grupi se postupa na isti način kao i sa životinjama u tretiranim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Izbor doze i vehikuluma je zasnovan na preporukama iz literature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Doze se biraju iz niza koncentracija: 100%, 50%, 25%, 10%, 5%, 2,5%, 1%, 0,5%, itd. Kada su dostupni, razmatraju se postojeći podaci o akutnoj toksičnosti i iritaciji kože prilikom izbora tri uzastopne koncentracije tako da najveća koncentracija maksimizuje izlaganje uz izbegavanje sistemske toksičnosti i prekomerne lokalne iritacije kože</w:t>
      </w:r>
      <w:r w:rsidRPr="00984859">
        <w:rPr>
          <w:rFonts w:ascii="Arial" w:eastAsia="Times New Roman" w:hAnsi="Arial" w:cs="Arial"/>
          <w:b/>
          <w:bCs/>
          <w:sz w:val="15"/>
          <w:szCs w:val="15"/>
          <w:vertAlign w:val="superscript"/>
          <w:lang w:eastAsia="sr-Latn-RS"/>
        </w:rPr>
        <w:t>2, 11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Vehikulum se bira na osnovu maksimizacije ispitivanih koncentracija i rastvorljivosti uz pravljenje rastvora/suspenzije koja odgovara za primenu ispitivane supstance. Preporučeni vehikulumi (navedeni od više ka manje odgovarajućim) su aceton/maslinovo ulje (4:1 v/v), dimetilformamid, metil etil keton, propilen glikol i dimetil sulfoksid</w:t>
      </w:r>
      <w:r w:rsidRPr="00984859">
        <w:rPr>
          <w:rFonts w:ascii="Arial" w:eastAsia="Times New Roman" w:hAnsi="Arial" w:cs="Arial"/>
          <w:b/>
          <w:bCs/>
          <w:sz w:val="15"/>
          <w:szCs w:val="15"/>
          <w:vertAlign w:val="superscript"/>
          <w:lang w:eastAsia="sr-Latn-RS"/>
        </w:rPr>
        <w:t>2, 10</w:t>
      </w:r>
      <w:r w:rsidRPr="00984859">
        <w:rPr>
          <w:rFonts w:ascii="Arial" w:eastAsia="Times New Roman" w:hAnsi="Arial" w:cs="Arial"/>
          <w:lang w:eastAsia="sr-Latn-RS"/>
        </w:rPr>
        <w:t xml:space="preserve">, ali se mogu koristiti i drugi uz zadovoljavajuće naučno obrazloženje. U određenim situacijama može da bude neophodno da se koristi klinički relevantni rastvarač ili komercijalna formulacija u kojoj se ispitivana supstanca stavlja na tržište kao dodatna kontrola. Posebna pažnja se posvećuje </w:t>
      </w:r>
      <w:r w:rsidRPr="00984859">
        <w:rPr>
          <w:rFonts w:ascii="Arial" w:eastAsia="Times New Roman" w:hAnsi="Arial" w:cs="Arial"/>
          <w:lang w:eastAsia="sr-Latn-RS"/>
        </w:rPr>
        <w:lastRenderedPageBreak/>
        <w:t xml:space="preserve">da se obezbedi da se hidrofilni materijali inkorporiraju u sistem vehikuluma, koji vlaži kožu i ne skida se trenutno. Izbegavaju se potpuno vodeni vehikulumi.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1.3.3. Postupak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1.3.3.1. Eksperimentalni raspored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Eksperimentalni raspored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Pojedinačno se identifikuju životinje i beleži se telesna masa svake životinje. Započinje se aplikaciju 25 µl odgovarajućeg rastvora ispitivane supstance, samog vehikuluma ili pozitivne kontrole (kako je odgovarajuće) na poleđinu svakog 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Dani 2 i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Ponavlja se postupak aplikacije koji je primenjen dana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Dani 4 i 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Bez tretmana.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Beleži se telesna masa svake životinje. Ubrizgava se 250 µl rastvora soli sa fosfatnim puferom (u daljem tekstu: PBS) koja sadrži 20 µCi (7.4e + 8 Bq) 3H - metil timidina svim ispitivanim i kontrolnim miševima putem repne vene. Alternativno se ubrizgava 250 µl PBS koji sadrži 2 µCi (7.4e + 7 Bq) 125I jododeoksiuridina i 10-5 M fluorodeoksiuridina svim miševima putem repne vene.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Posle pet sati životinje se lišavaju života na human način. Iseku se ušni drenažni limfni čvorovi svakog uha i sakupljaju u PBS za svaku eksperimentalnu grupu (pristup zbirne tretirane grupe). Alternativno se mogu iseći parovi limfnih čvorova pojedinačnih životinja i staviti u PBS za svaku životinju (individualni pristup). Detalji i dijagrami identifikacije čvorova i disekcije dati su u literaturi</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1.3.3.2. Priprema suspenzija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Jedna suspenzija ćelija limfnih čvorova (u daljem tekstu: LNC) od zbirnih tretiranih grupa ili obostrano od pojedinačnih životinja priprema se nežnim mehaničkim razdavanjem kroz gazu od nerđajućeg čelika mrežice 200 µm. Ćelije limfnog čvora dva puta se ispiraju s preostalim PBS i talože sa 5% trihlorsirćetnom kiselinom (u daljem tekstu: TCA) na 4° C tokom 18 sati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Zrnca se ponovno suspenduju u 1 ml TCA i prenose u scintilacijske bočice koje sadrže 10 ml scintilacione tečnosti za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H-brojanje ili se direktno prenose u epruvete za gama brojenje za </w:t>
      </w:r>
      <w:r w:rsidRPr="00984859">
        <w:rPr>
          <w:rFonts w:ascii="Arial" w:eastAsia="Times New Roman" w:hAnsi="Arial" w:cs="Arial"/>
          <w:sz w:val="15"/>
          <w:szCs w:val="15"/>
          <w:vertAlign w:val="superscript"/>
          <w:lang w:eastAsia="sr-Latn-RS"/>
        </w:rPr>
        <w:t>125</w:t>
      </w:r>
      <w:r w:rsidRPr="00984859">
        <w:rPr>
          <w:rFonts w:ascii="Arial" w:eastAsia="Times New Roman" w:hAnsi="Arial" w:cs="Arial"/>
          <w:lang w:eastAsia="sr-Latn-RS"/>
        </w:rPr>
        <w:t xml:space="preserve">I-prebrojavanje.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1.3.3.3. Određivanje proliferacije ćelija (inkorporirana radioaktivnost)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Inkorporiranje 3H-metil timidina se meri β-scintilacionim brojanjem kao raspadanje po minuti (u daljem tekstu: DPM). Inkorporiranje </w:t>
      </w:r>
      <w:r w:rsidRPr="00984859">
        <w:rPr>
          <w:rFonts w:ascii="Arial" w:eastAsia="Times New Roman" w:hAnsi="Arial" w:cs="Arial"/>
          <w:sz w:val="15"/>
          <w:szCs w:val="15"/>
          <w:vertAlign w:val="superscript"/>
          <w:lang w:eastAsia="sr-Latn-RS"/>
        </w:rPr>
        <w:t>125</w:t>
      </w:r>
      <w:r w:rsidRPr="00984859">
        <w:rPr>
          <w:rFonts w:ascii="Arial" w:eastAsia="Times New Roman" w:hAnsi="Arial" w:cs="Arial"/>
          <w:lang w:eastAsia="sr-Latn-RS"/>
        </w:rPr>
        <w:t xml:space="preserve">I-jododeoksiuridina se meri </w:t>
      </w:r>
      <w:r w:rsidRPr="00984859">
        <w:rPr>
          <w:rFonts w:ascii="Arial" w:eastAsia="Times New Roman" w:hAnsi="Arial" w:cs="Arial"/>
          <w:sz w:val="15"/>
          <w:szCs w:val="15"/>
          <w:vertAlign w:val="superscript"/>
          <w:lang w:eastAsia="sr-Latn-RS"/>
        </w:rPr>
        <w:t>125</w:t>
      </w:r>
      <w:r w:rsidRPr="00984859">
        <w:rPr>
          <w:rFonts w:ascii="Arial" w:eastAsia="Times New Roman" w:hAnsi="Arial" w:cs="Arial"/>
          <w:lang w:eastAsia="sr-Latn-RS"/>
        </w:rPr>
        <w:t xml:space="preserve">I-brojanjem i izražava kao DPM. Zavisno od pristupa, dodavanje se izražava kao DPM/tretirana grupa (pristup zbirne tretirane grupe) ili DPM/životinja (individualni pristup).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1.3.3.4. Zapažanja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1.3.3.4.1. Klinička zapažanja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pažljivo pregledaju jednom dnevno zbog kliničkih znakova, bilo lokalne iritacije na mestu aplikacije ili zbog sistemske toksičnosti. Sva zapažanja se sistematično beleže u pojedinačnim dokumentima koji se vode za svaku životinju.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1.3.3.4.2. Telesna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Kako je navedeno u odeljku 1.3.3.1. ove metode individualne telesne mase životinja se mere na početku ispitivanja i prilikom planiranog lišavanja života na human način životinja.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1.3.4. Izračunavanje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su izraženi kao indeks stimulacije (u daljem tekstu: SI). Kada se koristi pristup zbirne tretirane grupe, SI se dobija deljenjem zbirne radioaktivne inkorporacije za svaku tretiranu grupu sa inkorporacijom zbirne grupe kontrole vehikuluma. Na ovaj način se dobija srednji SI. Prilikom korišćenja individualnog pristupa, SI se dobija deljenjem srednje DPM/životinja unutar svake grupe ispitivane supstance i grupe pozitivne kontrole srednjom DPM/životinja za kontrolnu grupu rastvarača/vehikuluma. Srednji SI za kontrole tretirane vehikulumom je tada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Korišćenje individualnog pristupa za izračunavanje SI omogućava statističku analizu podataka. Prilikom izbora odgovarajuće metode statističke analize istraživač vodi računa o mogućim nejednakostima varijansi i drugim relevantnim problemima koji mogu da zahtevaju transformaciju podataka ili neparametarske statističke analize. Adekvatni pristup za interpretaciju podataka je da se ocene svi individualni podaci tretiranih i kontrola vehikuluma i da se iz njih izvede najbolja kriva doza - odgovor, uzimajući u obzir granice pouzdanosti</w:t>
      </w:r>
      <w:r w:rsidRPr="00984859">
        <w:rPr>
          <w:rFonts w:ascii="Arial" w:eastAsia="Times New Roman" w:hAnsi="Arial" w:cs="Arial"/>
          <w:b/>
          <w:bCs/>
          <w:sz w:val="15"/>
          <w:szCs w:val="15"/>
          <w:vertAlign w:val="superscript"/>
          <w:lang w:eastAsia="sr-Latn-RS"/>
        </w:rPr>
        <w:t>8, 12, 13</w:t>
      </w:r>
      <w:r w:rsidRPr="00984859">
        <w:rPr>
          <w:rFonts w:ascii="Arial" w:eastAsia="Times New Roman" w:hAnsi="Arial" w:cs="Arial"/>
          <w:lang w:eastAsia="sr-Latn-RS"/>
        </w:rPr>
        <w:t xml:space="preserve">. Istraživač vodi računa o mogućim "nepodobnim" reakcijama kod pojedinih životinja unutar grupe koje mogu zahtevati korišćenje alternativne mere odgovora (npr. mediana, a ne srednja vrednost) ili eliminaciju nepodobnih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Proces donošenja odluka u pogledu pozitivnog odgovora uključuje indeks stimulacije ≥ 3 zajedno sa razmatranjem odnosa doza-odgovor i, kada odgovara, statistički značaj</w:t>
      </w:r>
      <w:r w:rsidRPr="00984859">
        <w:rPr>
          <w:rFonts w:ascii="Arial" w:eastAsia="Times New Roman" w:hAnsi="Arial" w:cs="Arial"/>
          <w:b/>
          <w:bCs/>
          <w:sz w:val="15"/>
          <w:szCs w:val="15"/>
          <w:vertAlign w:val="superscript"/>
          <w:lang w:eastAsia="sr-Latn-RS"/>
        </w:rPr>
        <w:t>3, 6, 8, 12, 14</w:t>
      </w:r>
      <w:r w:rsidRPr="00984859">
        <w:rPr>
          <w:rFonts w:ascii="Arial" w:eastAsia="Times New Roman" w:hAnsi="Arial" w:cs="Arial"/>
          <w:b/>
          <w:bCs/>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Ukoliko je neophodno razjasniti dobijene rezultate, razmatraju se razna svojstva ispitivane supstance, uključujući i to da li ima strukturne sličnosti sa supstancama za koje je poznato da su senzibilišuće za kožu, da li uzrokuje prekomernu iritaciju kože i prirodu opaženog odnosa doze i odgovora. Ova i druga pitanja detaljno su razmatrana na drugom mestu</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se navode tabelarno. Navode se srednje i pojedinačne DPM vrednosti i indeksi stimulacije za svaku doznu grupu (uključujući kontrolu vehikuluma).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ukoliko je moguće,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identifikacioni podaci (npr. CAS broj, ukoliko je dostupan; izvor; čistoću; poznate nečistoće; broj serije);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fizičku prirodu i fizička i hemijska svojstva (npr. isparljivost, stabilnost, rastvorljivost);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 slučaju smeše, sastav i relativna zastupljenost (procenat) sastojaka.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identifikacioni podaci (čistoća; koncentracija, gde odgovara; korišćena zapremina);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opravdanje za izbor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soj korišćenih miševa;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mikrobiološki status životinja, kada je poznat;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životinja, uslovi smeštaja,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pripremi ispitivane supstance i primeni;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opravdanje za izbor doze, uključujući rezultate studije raspona, ukoliko je obavljena; korišćen vehikulum i koncentracije ispitivane supstance i ukupna količina primenjene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kvalitetu hrane i vode (uključujući vrstu ishrane/izvor, izvor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Kontroli pouzdanosti: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sažetak rezultata zadnje provere pouzdanosti uključujući podatke o supstanci, koncentraciji i korišćenom vehikulumu;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istovremenoj i/ili istorijskoj pozitivnoj i negativnoj kontroli za laboratoriju koja vrši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pojedinačna telesna masa životinja na početku doziranja i u vreme planiranog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 srednjih (pristup zbirne tretirane grupe) i individualnih (individualni pristup) DPM vrednosti kao i raspon vrednosti za oba pristupa i stimulacioni indeksi za svaku doznu grupu (uključujući kontrolu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statistička analiza, kad to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vreme pojave i znaci toksičnosti, uključujući iritaciju kože na mestu primene, ukoliko ih ima, za svaku životinju.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kratak komentar rezultata, analiza odnosa doza - odgovor i statističke analize, kada odgovara, sa zaključkom da li se ispitivana supstanca smatra senzibilišućom za kožu.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Kimber, I. and Basketter, D.A. (1992). The murine local lymph node assay; collaborative studies and new directions: A commentary. Food and Chemical Toxicology 30, 165-169.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Kimber, I, Derman, R.J., Scholes E.W, and Basketter, D.A. (1994). The local lymph node assay: developments and applications. Toxicology, 93, 13-31.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Kimber, I., Hilton, J., Dearman, R.J., Gerberick, G.F., Ryan, C.A., Basketter, D.A., Lea, L., House, R.V., Ladies, G.S., Loveless, S.E., Hastings, K.L. (1998). Assessment of the skin sensitisation potential of topical medicaments using the local lymph node assay: An interlaboratory exercise. Journal of Toxicology and Environmental Health, 53, 563-79.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Testing Method B.6.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Chamberlain, M. and Basketter, D.A. (1996). The local lymph node assay: status of validation. Food and Chemical Toxicology, 34, 999-1002.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Basketter, D.A., Gerberick, G.F., Kimber, I. and Loveless, S.E (1996). The local lymph node assay- A viable alternative to currently accepted skin sensitisation tests. Food and Chemical Toxicology, 34, 985- 997.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Basketter, D.A., Gerberick, G.F. and Kimber, I. (1998). Strategies for identifying false positive responses in predictive sensitisation tests. Food and Chemical Toxicology. 36, 327-33.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Van Och, F.M.M, Slob, W., De Jong, W.H., Vandebriel, R.J., Van Loveren, H. (2000). A quantitative method for assessing the sensitising potency of low molecular weight chemicals using a local lymph node assay: employement of a regression method that includes determination of uncertainty margins. Toxicology, 146, 49-59.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Dearman, R.J., Hilton, J., Evans, P., Harvey, P., Basketter, D.A. and Kimber, I. (1998). Temporal stability of local lymph node assay responses to hexyl cinnamic aldehyde. Journal of Applied Toxicology, 18, 281-4.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National Institute of Environmental Health Sciences (1999). The Murine Local Lymph Node Assay: A Test Method for Assessing the Allergic Contact Dermatitis Potential of Chemicals/Compounds: The Results of an Independent Peer Review Evaluation Coordinated by the Interagency Coordinating Committee on the Validation of Alternative Methods (ICCVAM) and the National Toxicology Program Center for the Evaluation of Alternative Toxicological Methods (NICETAM). NIH Publication No: 99-4494, Research Triangle Park, N.C. (http://iccvam.niehs.nih.gov).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Testing method B.4.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12. Basketter, D.A., Selbie, E., Scholes, E.W. Lees, D. Kimber, I. and Botham, P.A. (1993) Results with OECD recommended positive control podraživačs in the maximisation, Buehler and local lymph node assays. Food and Chemical Toxicology, 31, 63-67.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Basketter D.A., Lea L.J., Dickens A., Briggs D., Pate I., Dearman R.J., Kimber I. (1999). A comparison of statistical approaches to the derivation of EC3 values from local lymph node assay dose responses. J. Appl. Toxicology, 19, 261-266.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Basketter DA, Blaikie L, Derman RJ, Kimber I, Ryan CA, Gerberick GF, Harvey P, Evans P, White IR and Rycroft RTG (2000). Use of local lymph node assay for the estimation of relative contact allergenic potency. Contact Dermatitis 42, 344-48.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B.43. STUDIJA NEUROTOKSIČNOSTI KOD GLODARA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424 (1997).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ispitivanja je osmišljena za dobijanje podataka potrebnih za potvrdu ili dalju karakterizaciju potencijalne neurotoksičnosti hemikalija kod odraslih životinja. Može se kombinovati sa postojećim metodama ispitivanja za studije toksičnosti ponovljene doze ili obavljati kao posebna studija. Preporučuje se konsultacija OECD vodiča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oko pomoći pri osmišljavanju studije zasnovane na ovoj metodi ispitivanja. Navedeno je posebno važno kod razmatranja modifikacija opažanja i postupaka ispitivanja kao što se preporučuje za rutinsku primenu ove metode. Pripremljen je dokument sa smernicama kako bi omogućio izbor drugih postupaka ispitivanja za upotrebu u posebnim okolnostima.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 razvojne neurotoksičnosti nije predmet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proceni i evaluaciji toksičnih karakteristika hemikalija važno je uzeti u obzir potencijal za neurotoksične efekte. Metoda za sistemsku toksičnost, ponovljena doza već uključuje posmatranja koja se odnose na potencijalnu neurotoksičnost. Ova metoda ispitivanja može se koristiti pri osmišljavanju studije za dobijanje daljih podataka o ili za potvrdu neurotoksičnih efekata opaženih u studijama za sistemske toksičnost, ponovljena doza. Razmatranje potencijalne neurotoksičnosti određenih grupa hemikalija može ukazati na to da se one mogu odgovarajuće oceniti ovom metodom bez prethodnih indikacija potencijalne neurotoksičnosti iz studija sistemske toksičnosti, ponovljena doza. Takva razmatranja npr. uključuju: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posmatranje neuroloških znakova ili neuropatoloških lezija u studijama toksičnosti različitih od onih iz studija sistemsku toksičnost, ponovljena doza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strukturnu vezu ili druge podatke koji ih povezuju sa poznatim neurotoksikantima.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Može da bude i drugih slučajeva u kojima je korišćenje ove metode ispitivanja prikladno (za detalje videti literaturu</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je razvijena da se prilagodi da zadovolji posebne potrebe za potvrdom specifične histopatološke i bihevioralne neurotoksičnosti hemikalije, kao i da obezbedi karakterizaciju i kvantifikaciju neurotoksičnih reakcija.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prošlosti se neurotoksičnost izjednačavala sa neuropatijom uključujući neuropatološke lezije ili neurološke disfunkcije kao što su napadi, paraliza ili tremor. Iako je neuropatija važna manifestacija neurotoksičnosti, jasno je da postoje mnogi drugi znaci toksičnosti za nervni sistem (npr. gubitak motorne koordinacije, deficiti čula, disfunkcije učenja i pamćenja) koji se ne moraju oslikavati u neuropatiji ili drugim vrstama studija.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ispitivanja neurotoksičnosti je osmišljena da detektuje glavne neurobihevioralne i neuropatološke efekte kod odraslih glodara. Bihevioralni efekti, čak i odsustvu morfoloških promena, mogu da održavaju štetni uticaj na organizam, ali nisu sve bihevioralne promene specifične za nervni sistem. Zbog toga, bilo koje promene koje su opažene ocenjuju se u vezi sa korelativnim histopatološkim, hematološkim ili biohemijskim podacima kao i sa podacima o drugim tipovima sistemske toksičnosti. Ispitivanje koje se obavlja u ovoj metodi je usmereno na davanje karakterizacije i kvantifikacije neurotoksičnih efekata što uključuje specifične histopatološke i bihevioralne postupke koji mogu biti nadalje podržani elektrofiziološkim i/ili biohemijskim istraživanjima</w:t>
      </w:r>
      <w:r w:rsidRPr="00984859">
        <w:rPr>
          <w:rFonts w:ascii="Arial" w:eastAsia="Times New Roman" w:hAnsi="Arial" w:cs="Arial"/>
          <w:b/>
          <w:bCs/>
          <w:sz w:val="15"/>
          <w:szCs w:val="15"/>
          <w:vertAlign w:val="superscript"/>
          <w:lang w:eastAsia="sr-Latn-RS"/>
        </w:rPr>
        <w:t>1, 2, 3, 4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Neurotoksikanti mogu da deluju na brojna ciljna mesta u okviru nervnog sistema i putem različitih mehanizama. Nijedan sistem ispitivanja ne može u potpunosti da proceni neurotoksični potencijal svih supstanci, pa može biti korisno iskoristiti druga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ispitivanja koja su specifična za tip opažene ili predviđene neurotoksičnosti.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ispitivanja može da se koristi zajedno sa smernicama datim u OECD vodiču</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kako bi se osmislile studije čija je namera da dalje karakterišu ili povećaju osetljivost kvantifikacije odnosa doza-odgovor kako bi bolje ocenili dozu bez štetnog efekta ili potvrdili poznatu ili verovatnu opasnost od hemikalije. Mogu se osmisliti studije koje identifikuju i ocenjuju neurotoksični mehanizam (mehanizme) ili potkrepljuju već raspoložive podatke korišćenjem postupaka neurobihevioralne i neuropatološke opservacije. Takve studije ne kopiraju podatke koji bi bili generisani korišćenjem standardnih postupaka preporučenih u ovoj metodi. Podaci su već dostupni i nisu neophodni za tumačenje rezultata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neurotoksičnosti, kad se primenjuje sama ili u kombinaciji, daje rezultate koji mogu: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 identifikuju da li je nervni sistem trajno ili reverzibilno pod uticajem ispitivane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 doprinesu karakterizaciji promena nervnog sistema koje se povezuju sa izlaganjem hemikaliji i razumevanju relevantnog mehanizma;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 odrede odnose doza - odgovor i vreme - odgovor kako bi se procenila doza bez štetnog efekta (koja se može koristiti pri uspostavljanju bezbednosnih kriterijuma za hemikaliju).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eksperimentalna metoda koristi oralnu primenu ispitivane supstance. Drugi putevi primene (npr. dermalni ili inhalacioni) mogu biti prikladniji i mogu zahtevati modifikaciju preporučenih postupaka. Razmatranja o izboru puta primene zavise od profila ljudskog izlaganja i raspoloživih toksikoloških ili kinetičkih informacija.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Štetni efekat jeste bilo koja promena u odnosu na osnovno stanje koja je povezana sa tretmanom i koja umanjuje sposobnost organizma da preživi, razmnožava se ili se prilagodi životnoj sredini.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Doza jeste količina primenjene ispitivane supstance. Doza se izražava kao masa (g, mg) ili kao masa ispitivane supstance po jedinici mase eksperimentalne životinje (npr. mg/kg) ili kao konstantna koncentracija u hrani (ppm).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Doziranje jeste opšti pojam koji se sastoji od doze, njene frekvencije i trajanja doziranja.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Neurotoksičnost jeste štetna promena u strukturi ili funkciji nervnog sistema koja je posledica izlaganja hemijskom, biološkom ili fizičkom agensu.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Neurotoksikant jeste bilo koja hemikalija, biološki ili fizički agens koji ima potencijal da uzrokuje neurotoksičnost.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NOAEL jeste skraćenica za dozu bez štetnog efekta (no-observed-adverse effect level) i predstavlja najviši nivo doze pri kome nisu opaženi štetni efekti povezani sa tretmanom.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primenjuje oralnim putem u rasponu doza na nekoliko grupa laboratorijskih glodara. Obično su potrebne ponovljene doze i režim doziranja može biti 28 dana, subhronično (90 dana) ili hronično (1 godina ili duže). Postupci opisani u ovoj eksperimentalnoj metodi mogu se koristiti i u studiji akutne neurotoksičnosti. Ispitivanje na životinjama vrši se kako bi se omogućila detekcija ili karakterizacija bihevioralnih i/ili neuroloških abnormalnosti. Raspon ponašanja na koje utiču neurotoksikanti procenjuje se tokom perioda posmatranja. Na kraju ispitivanja, podgrupa životinja oba pola iz svake grupe uzorkuje se in situ i pripremaju se i ispituju preseci mozga, kičmene moždine i perifernih nerava.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Tokom izvođenja studije kao samostalne studije za skrining neurotoksičnosti ili za karakterizaciju neurotoksičnih efekata, životinje u svakoj grupi koje se ne koriste za uzorkovanje i kasnija histopatološka ispitivanja (videti Tabelu 1.) mogu biti korišćene za specifične neurobihevioralne, neuropatološke, neurohemijske ili elektrofiziološke postupke koji mogu zameniti podatke dobijene standardnim ispitivanjima koje zahteva ova metoda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Ovi dodatni postupci mogu biti posebno korisni kada empirijska posmatranja ili očekivani efekti ukazuju na specifičnu vrstu ili ciljno mesto neurotoksičnosti hemikalije. Preostale životinje se mogu koristiti za procene kao što su one koja zahtevaju metode ispitivanja za studije toksičnosti, ponovljena doza kod glodara.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postupci iz ove metode ispitivanja kombinuju sa onima iz drugih metoda, potreban je dovoljan broj životinja kako bi se zadovoljili zahtevi za posmatranja iz obe studije.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Preporučena vrsta glodara je pacov, mada se uz opravdanje mogu koristiti i druge vrste. Koriste se uobičajeni laboratorijski sojevi zdravih mladih odraslih životinje. Koriste se ženke koje nisu ranije rađale i koje nisu trudne. Doziranje se uobičajeno počinje što je ranije moguće posle odbijanja od sise, najbolje ne kasnije nego što životinje navrše šest nedelja i u svakom slučaju pre nego životinje navrše devet nedelja. Kada se ova studija kombinuje sa drugim studijama, ova starost se može prilagoditi. Na početku studije varijacija u telesnoj masi životinja ne sme da prelazi ± 20% srednje mase za svaki pol. Kada se obavlja kratkoročna studija ponovljene doze kao preliminarna dugoročnoj studiji, u obe studije se koriste životinje istog soja i iz istog izvora.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1.4.2. Uslovi smeštaja i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prostorija za eksperimentalne životinje je 22° C (± 3 °C). Relativna vlažnost je najmanje 30% i da ne prelazi 70% osim za vreme čišćenja prostorija. Ciljna vlažnost je 50% do 60%. Svetlo je veštačko sa sekvencama od 12 sati svetla i 12 sati mraka. Buka se smanjuje na minimum. Može se koristiti konvencionalna laboratorijska ishrana uz neograničene količine vode za piće.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Izbor ishrane može biti uslovljen potrebom da se obezbedi odgovarajuća smeša ispitivane supstance koja se primenjuje ovom metodom. Životinje se smeštaju pojedinačno ili se drže u malim grupama istog pola.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Zdrave mlade životinje se slučajnim izborom raspoređuju u grupe. Kavezi se raspoređuju na način da se svedu na minimum mogući efekti zbog njihovog rasporeda. Životinje se jedinstveno identifikuju i drže u kavezima najmanje pet dana pre početka ispitivanja kako bi se aklimatizovale na laboratorijske uslove.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1.4.4. Put primene i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posebno se odnosi na oralnu primenu ispitivane supstance. Oralna primena može biti putem prisilnog hranjenja, putem hrane, vode za piće ili kapsulama. Drugi putevi primene (npr. dermalni ili inhalacioni) mogu se koristiti ali zahtevaju modifikaciju preporučenih postupaka. Razmatranja o izboru puta primene zavise od profila izlaganja ljudi i raspoloživih toksikoloških ili kinetičkih podataka. Naznačava se objašnjenje za izbor puta primene kao i modifikacije postupaka ove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je neophodno, ispitivana supstanca se može rastvoriti ili suspendovati u odgovarajućem vehikulumu. Preporučuje se korišćenje vodenog rastvora/suspenzije kao prvi izbor, zatim razmatranje primene rastvora/suspenzije u ulju (npr. kukuruzno ulje) i zatim mogući rastvori/suspenzije u drugom vehikulumu. Toksične karakteristike vehikuluma moraju biti poznate. Razmatraju se i sledeće karakteristike vehikuluma: efekti vehikuluma na apsorpciju, raspodelu, metabolizam ili zadržavanje ispitivane supstance koji mogu izmeniti njene toksične karakteristike; kao i efekte unosa hrane ili vode ili nutritivni status životinja.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POSTUPCI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Broj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studija izvodi kao posebna studija, koristi se najmanje 20 životinja (10 ženki i 10 mužjaka) u svakoj doznoj i kontrolnoj grupi za ocenjivanja detaljnih kliničkih i funkcionalnih opažanja. Od najmanje pet mužjaka i pet ženki odabranih od tih 10 mužjaka i 10 ženki, uzimaju se uzorci in situ i isti se koriste za detaljnu neurohistopatologiju na kraju studije. U slučajevima kada se na znakove neurotoksičnih efekata posmatra samo ograničen broj životinja u datoj doznoj grupi, razmatra se da se te životinje uključe među one odabrane za uzorkovanje. Kada se studija obavlja u kombinaciji sa studijom toksičnosti sa ponovljenom dozom, koristi se odgovarajući broj životinja kako bi se zadovoljili ciljevi obe studije. Minimalni broj životinja po grupi za razne kombinacije ispitivanja je prikazan u Tabeli 1. Ukoliko se planiraju lišavanja života na human način tokom ispitivanja ili ukoliko se planiraju grupe za oporavak za posmatranje reverzibilnosti, perzistencije ili odložene pojave toksičnih efekata posle tretmana ili kada se razmatraju dodatna posmatranja, broj životinja se povećava kako bi se obezbedilo da bude dostupan dovoljan broj životinja potrebnih za posmatranje i histopatologiju.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1.5.2. Tretirana i kontrolna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najmanje tri dozne i jednu kontrolnu grupu, ali ukoliko se iz procene drugih podataka ne očekuju efekti pri ponovljenoj dozi od 1.000 mg/kg telesna masa/dan, može se obaviti ispitivanje granične doze. Ukoliko nema raspoloživih odgovarajućih podataka, može se izvesti studija traženja raspona kao pomoć pri određivanju doza koje bi se koristile. Osim tretiranja ispitivanom supstancom, sa životinjama u kontrolnoj grupi se postupa isto kao sa onima iz ispitivane grupe. Ukoliko se pri primeni ispitivane supstance koristi vehikulum, kontrolna grupa prima vehikulum u najvećoj zapremini koja se koristi.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Provera pouzdanosti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Laboratorija koja obavlja studiju navodi podatke kojima dokazuje svoju mogućnost da izvede ispitivanje i osetljivost korišćenih postupaka. Takvi podaci pružaju dokaze o mogućnosti detekcije i kvantifikacije, kako odgovara, promenama u različitim pokazateljima ispitivanja preporučenim za posmatranje, kao što su autonomni znaci, senzorska reaktivnost, snaga hvatanja i motorna aktivnost. Podaci o hemikalijama koji uzrokuju različite vrste neurotoksičnih efekata i koji se mogu koristiti kao supstance pozitivne kontrole nalaze se u literaturi</w:t>
      </w:r>
      <w:r w:rsidRPr="00984859">
        <w:rPr>
          <w:rFonts w:ascii="Arial" w:eastAsia="Times New Roman" w:hAnsi="Arial" w:cs="Arial"/>
          <w:b/>
          <w:bCs/>
          <w:sz w:val="15"/>
          <w:szCs w:val="15"/>
          <w:vertAlign w:val="superscript"/>
          <w:lang w:eastAsia="sr-Latn-RS"/>
        </w:rPr>
        <w:t>2, 3, 4, 5, 6, 7, 8, 9</w:t>
      </w:r>
      <w:r w:rsidRPr="00984859">
        <w:rPr>
          <w:rFonts w:ascii="Arial" w:eastAsia="Times New Roman" w:hAnsi="Arial" w:cs="Arial"/>
          <w:lang w:eastAsia="sr-Latn-RS"/>
        </w:rPr>
        <w:t xml:space="preserve">. Istorijski podaci mogu se koristiti ukoliko ključni aspekti eksperimentalnih postupaka ostanu isti. Periodično ažuriranje istorijskih podataka se preporučuje. Novi podaci koji pokazuju neprekidnu osetljivost postupaka treba da budu razvijeni kada se promeni neki ključni element izvođenja ispitivanja ili postupka od strane laboratorije.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Izbor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Nivoi doza se biraju uzimajući u obzir bilo koju ranije uočenu toksičnost i raspoložive kinetičke podatke za ispitivano jedinjenje ili slične materijale. Najviša doza se bira sa ciljem izazivanja neurotoksičnih efekata ili jasnih sistemskih toksičnih efekata. Potom se bira opadajući niz doznih nivoa sa ciljem dokazivanja bilo kog odgovora koji je u vezi sa dozom i NOAEL pri najnižem doznom nivou. Doze se određuju tako da primarni toksični efekti na nervni sistem mogu da se razlikuju od efekata koji se povezuju sa sistemskom toksičnošću. Dva do tri intervala su često optimum i pored četvrte ispitivane grupe, često se preporučuje da se koriste vrlo veliki intervali (npr. više od faktora 10) između doza. Kada postoji dobra procena ljudske izloženosti, to se takođe uzima u obzir.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1.5.5. Ispitivanje granične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studija korišćenjem jedne doze od najmanje 1.000 mg/kg TM/dan, korišćenjem opisanih postupaka, ne pokaže nikakve neurotoksične efekte, i ako se toksičnost ne može očekivati na osnovu podataka o strukturno sličnim jedinjenjima, studija u kojoj bi se koristile tri doze ne smatra se neophodnom. Očekivana izloženost ljudi može indikovati potrebu za korišćenjem veće oralne doze u ispitivanju granične doze. Za druge puteve primene kao što su inhalacija ili dermalna primena, fizička i hemijska svojstva ispitivane supstance često mogu diktirati maksimalni nivo izlaganja. Za izvođenje studije akutne oralne toksičnosti, doza za ispitivanje granične doze je najmanje 2.000 mg/kg.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1.5.6.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svakodnevno doziraju ispitivanom supstancom, sedam dana nedeljno, tokom perioda od najmanje 28 dana. Korišćenje petodnevnog režima doziranja ili kraćeg izlaganja treba da bude opravdano. Kad se ispitivana supstanca primenjuje prisilnim hranjenjem, isto se čini u jednoj dozi korišćenjem trbušne cevi ili odgovarajućom intubacionom kanulom. Maksimalna zapremina tečnosti koji može biti primenjena zavisi od veličine eksperimentalne životinje. Zapremina ne sme da prelazi 1 ml/100 g TM. Ipak, u slučaju vodenih rastvora može </w:t>
      </w:r>
      <w:r w:rsidRPr="00984859">
        <w:rPr>
          <w:rFonts w:ascii="Arial" w:eastAsia="Times New Roman" w:hAnsi="Arial" w:cs="Arial"/>
          <w:lang w:eastAsia="sr-Latn-RS"/>
        </w:rPr>
        <w:lastRenderedPageBreak/>
        <w:t xml:space="preserve">se uzeti u obzir korišćenje do 2 ml/100 g TM. Osim kod iritativnih i korozivnih supstanci koje će uobičajeno pokazati intenzivnije efekte pri višim koncentracijama, varijabilnost u ispitivanoj zapremini se minimizuje podešavanjem koncentracije kako bi se osigurao konstantna zapremina pri svim nivoima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supstance koje se primenjuju putem hrane ili vode za piće, važno je osigurati da količine ispitivane supstance ne ometaju normalnu prehranu ili ravnotežu vode. Kada se ispitivana supstanca primenjuje u hrani bilo kao konstantna prehrambena koncentracija (ppm) ili kada se koristi konstanti dozni nivo u smislu telesne mase životinja, alternativa se naznačava. Za supstance koje se primenjuju prisilnim hranjenjem, doza se primenjuje u slično vreme svakog dana i prilagođena je kako bi se zadržao konstantan dozni nivo u smislu telesne mase životinje. Kada se koristi ispitivanje sa ponovljenom dozom kao prethodno ispitivanje za dugoročnu studiju, onda se u obe studije koristi slična prehrana. Za studije akutne toksičnosti ako nije moguće dati jednu dozu, doza se može davati u manjim delovima tokom perioda koji ne prelaze 24 sata.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POSMATRANJA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Učestalost posmatranja 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studija sa ponovljenom dozom, period posmatranja pokriva period doziranja. Kod studija akutne toksičnosti, posmatra se 14-dnevni period posle tretmana. Kod životinja u pratećim grupama koje se drže bez izlaganja za vreme posle tretmana, posmatranja pokriva i ovaj period.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Posmatranja se obavljaju dovoljno često kako bi se povećala verovatnost detekcije bilo kojih bihevioralnih i/ili neuroloških abnormalnosti. Posmatranja se obavljaju po mogućstvu u isto vreme svakog dana uzimajući u obzir period u kome se očekuje pojava efekata posle doziranja. Frekvencija kliničkih posmatranja i funkcionalnih testova je data u Tabeli 2. Ukoliko kinetički ili drugi podaci koji su dobijeni u prethodnim studijama ukazuju na potrebu posmatranja u drugačijim periodima, usvaja se alternativni raspored kako bi se prikupio maksimalan broj informacija. Daje se objašnjenje za promenu rasporeda.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Posmatranja opšteg zdravstvenog stanja i mortaliteta/morbiditeta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Zdravstveno stanje svih životinja pažljivo se posmatra najmanje jednom dnevno, a dva puta dnevno posmatraju se mortalitet i morbiditet.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Detaljna klinička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životinjama koje su izabrane za tu svrhu obavljaju se detaljna klinička opažanja (videti Tabelu 1) jednom pre prvog izlaganja (kako bi se omogućila upoređivanja kod jedne jedinke) i u različitim intervalima u zavisnosti od trajanja studije (videti Tabelu 2). Detaljna klinička posmatranja na pratećim grupama obavljaju se na kraju perioda oporavka. Detaljna klinička opažanja se obavljaju izvan kaveza u standardnoj areni. Opažanja se pažljivo beleže korišćenjem sistema ocenjivanja koji uključuje kriterijume ili skale za svaku meru. Laboratorija jasno definiše kriterijume ili skale. Treba uložiti napor kako bi se obezbedilo da varijacije u uslovima ispitivanja budu minimalne (ne sistematično povezane sa tretmanom) i da posmatranja obavljaju obučeni posmatrači koji nisu upoznati sa tretmanom.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Preporučljivo je struktuirano obavljati posmatranja po dobro definisanim kriterijuma (uključujući definiciju "normalnog raspona") i sistematično ih primeniti na svaku životinju u svakom periodu posmatranja. "Normalni raspon" se adekvatno dokumentuje. Beleže se svi uočeni znakovi. Kad god je moguće beleži se i veličina uočenih znakova. Klinička opažanja </w:t>
      </w:r>
      <w:r w:rsidRPr="00984859">
        <w:rPr>
          <w:rFonts w:ascii="Arial" w:eastAsia="Times New Roman" w:hAnsi="Arial" w:cs="Arial"/>
          <w:lang w:eastAsia="sr-Latn-RS"/>
        </w:rPr>
        <w:lastRenderedPageBreak/>
        <w:t xml:space="preserve">uključuju, ali nisu ograničena na, promene na koži, krznu, očima, sluznicama, pojava sekreta i ekskreta i autonomne aktivnosti (npr. lakrimacija, piloerekcija, veličina zenice, neobičan način disanja i/ili disanje na usta, bilo koje neobične znakove uriniranja ili defekacije i bezbojni urin).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Beleže se i bilo koji neuobičajeni efekti u pogledu položaja tela, nivoa aktivnosti (npr. povećano ili smanjeno istraživanje standardne arene) i koordinacije pokreta. Promene u držanju (npr. klaćenje, ataksija), stavu (npr. pogrbljenost) i reakciji na postupanje, smeštanje ili drugi stimulusi okoline kao i prisustvo kloničnih ili toničnih pokreta, konvulzija ili tremora, stereotipa (npr. preterano timarenje, neobični pokreti glave, ponavljajuće kretnje u krug) ili čudno ponašanje (npr. griženje ili preterano lizanje, samosakaćenje, hod unazad, vokalizacija) ili agresija takođe se beleže.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Funkcionalna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Slično detaljnim kliničkim posmatranjima, funkcionalna ispitivanja se takođe obavljaju pre izlaganja, kao i često posle toga, na svim životinjama koje su izabrane za tu svrhu (videti Tabelu 1). Učestalost funkcionalnih ispitivanja takođe zavisi od trajanja studije (videti Tabelu 2). Pored perioda posmatranja iz Tabele 2, obavljaju se funkcionalna ispitivanja na pratećim grupama sve do usmrćenja. Funkcionalna ispitivanja uključuju senzornu reaktivnost na stimuluse raznih vrsta (npr. zvučni, vizuelni i proprioceptivni stimulusi</w:t>
      </w:r>
      <w:r w:rsidRPr="00984859">
        <w:rPr>
          <w:rFonts w:ascii="Arial" w:eastAsia="Times New Roman" w:hAnsi="Arial" w:cs="Arial"/>
          <w:b/>
          <w:bCs/>
          <w:sz w:val="15"/>
          <w:szCs w:val="15"/>
          <w:vertAlign w:val="superscript"/>
          <w:lang w:eastAsia="sr-Latn-RS"/>
        </w:rPr>
        <w:t xml:space="preserve">5, 6, 7 </w:t>
      </w:r>
      <w:r w:rsidRPr="00984859">
        <w:rPr>
          <w:rFonts w:ascii="Arial" w:eastAsia="Times New Roman" w:hAnsi="Arial" w:cs="Arial"/>
          <w:lang w:eastAsia="sr-Latn-RS"/>
        </w:rPr>
        <w:t>ocenjivanje snage stiska</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i ocenjivanje motorne aktivnosti</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Motorna aktivnost se meri automatskom spravom kojom je moguće detektovati smanjenu i povećanu aktivnost. Ukoliko se koristi drugi definisani sistem, on je kvantitativan i njegovu osetljivost i pouzdanost treba pokazati. Svaki uređaj se testira kako bi se osigurala pouzdanost tokom vremena i konzistentnost između uređaja. Više detalja o postupcima koji se prate nalazi se u literaturi. Ukoliko nema podataka (npr. struktura - aktivnost, epidemiološki podaci, druge studije toksičnosti) koji bi ukazivali na potencijalne neurotoksične efekte, razmatra se uključivanje specijalizovanijih testova senzorne ili motorne funkcije ili učenja i pamćenja kako bi se detaljnije proučili ti mogući efekti. Više podataka o specijalizovanim testovima dato je u literaturi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Izuzetno, životinje koje pokazuju znakove toksičnosti u obimu koji značajno ometa funkcionalno ispitivanje mogu biti izostavljene iz tog ispitivanja. Daje se opravdanje za isključivanje tih životinja iz funkcionalnog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Telesna masa i potrošnja hrane/vode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studije koje traju do 90 dana sve životinje se mere najmanje jednom nedeljno i meri se potrošnja hrane (potrošnju vode kada se ispitivana supstanca unosi tim putem) takođe najmanje jednom nedeljno. Za dugoročne studije sve životinje se mere najmanje jednom nedeljno prvih 13 nedelja, a potom najmanje jednom na svake 4 nedelje. Meri se potrošnja hrane (potrošnju vode kada se ispitivana supstanca unosi tim putem) takođe najmanje jednom nedeljno tokom prvih 13 nedelja, a kasnije u približno tromesečnim intervalima osim ukoliko zdravstveno stanje ili promena telesne mase ne nalažu drugačije.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Oftalmološka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studije koje traju duže od 28 dana obavlja se oftalmološki pregled uz korišćenje oftalmoskopa ili sličnog odgovarajućeg instrumenta, pre primene ispitivane supstance i po završetku studije, najbolje na svim životinjama, ali najmanje na onima iz grupa visoke doze i iz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primete promene u očima ili ukoliko klinički znaci ukazuju na potrebu, pregledaju se sve životinje. Kod dugoročnih studija oftalmološki pregled se obavlja u 13. nedelji. </w:t>
      </w:r>
      <w:r w:rsidRPr="00984859">
        <w:rPr>
          <w:rFonts w:ascii="Arial" w:eastAsia="Times New Roman" w:hAnsi="Arial" w:cs="Arial"/>
          <w:lang w:eastAsia="sr-Latn-RS"/>
        </w:rPr>
        <w:lastRenderedPageBreak/>
        <w:t xml:space="preserve">Oftalmološki pregledi se ne obavljaju ukoliko su ovi podaci već dostupni iz drugih studija sličnog trajanja i sličnih doznih nivoa.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Hematološka i medicinsko-biohemijska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izvodi studija neurotoksičnosti u kombinaciji sa studijom sistemske toksičnosti sa ponovljenom dozom, rade se hematološka ispitivanja i medicinsko-biohemijska određivanja kako je izloženo u metodi ispitivanja sistemske toksičnosti. Prikupljanje uzoraka se obavlja tako da bilo koji potencijalni efekti na neuropatologiju budu svedeni na minimum.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Histopatološka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Neuropatološki pregled je osmišljen tako da dopuni i proširi opažanja iz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faze studije. Tkiva najmanje 5 životinja/pol/grupa (videti Tabelu 1. i sledeći pasus ovog odeljka) se fiksiraju in situ, korišćenjem opštepriznatih tehnika perfuzije i fiksacije (videti literaturu</w:t>
      </w:r>
      <w:r w:rsidRPr="00984859">
        <w:rPr>
          <w:rFonts w:ascii="Arial" w:eastAsia="Times New Roman" w:hAnsi="Arial" w:cs="Arial"/>
          <w:b/>
          <w:bCs/>
          <w:sz w:val="15"/>
          <w:szCs w:val="15"/>
          <w:vertAlign w:val="superscript"/>
          <w:lang w:eastAsia="sr-Latn-RS"/>
        </w:rPr>
        <w:t>3, 4</w:t>
      </w:r>
      <w:r w:rsidRPr="00984859">
        <w:rPr>
          <w:rFonts w:ascii="Arial" w:eastAsia="Times New Roman" w:hAnsi="Arial" w:cs="Arial"/>
          <w:lang w:eastAsia="sr-Latn-RS"/>
        </w:rPr>
        <w:t>). Bilo koje uočljive promene se beleže. Kad se studija izvodi kao samostalna studija za proveru neurotoksičnosti ili za karakterizaciju neurotoksičnih efekata, preostale životinje mogu biti korišćene bilo za specifične neurobihevioralne</w:t>
      </w:r>
      <w:r w:rsidRPr="00984859">
        <w:rPr>
          <w:rFonts w:ascii="Arial" w:eastAsia="Times New Roman" w:hAnsi="Arial" w:cs="Arial"/>
          <w:b/>
          <w:bCs/>
          <w:sz w:val="15"/>
          <w:szCs w:val="15"/>
          <w:vertAlign w:val="superscript"/>
          <w:lang w:eastAsia="sr-Latn-RS"/>
        </w:rPr>
        <w:t>10, 11</w:t>
      </w:r>
      <w:r w:rsidRPr="00984859">
        <w:rPr>
          <w:rFonts w:ascii="Arial" w:eastAsia="Times New Roman" w:hAnsi="Arial" w:cs="Arial"/>
          <w:lang w:eastAsia="sr-Latn-RS"/>
        </w:rPr>
        <w:t>, neuropatološke</w:t>
      </w:r>
      <w:r w:rsidRPr="00984859">
        <w:rPr>
          <w:rFonts w:ascii="Arial" w:eastAsia="Times New Roman" w:hAnsi="Arial" w:cs="Arial"/>
          <w:b/>
          <w:bCs/>
          <w:sz w:val="15"/>
          <w:szCs w:val="15"/>
          <w:vertAlign w:val="superscript"/>
          <w:lang w:eastAsia="sr-Latn-RS"/>
        </w:rPr>
        <w:t>10, 11, 12, 13</w:t>
      </w:r>
      <w:r w:rsidRPr="00984859">
        <w:rPr>
          <w:rFonts w:ascii="Arial" w:eastAsia="Times New Roman" w:hAnsi="Arial" w:cs="Arial"/>
          <w:lang w:eastAsia="sr-Latn-RS"/>
        </w:rPr>
        <w:t>, neurohemijske</w:t>
      </w:r>
      <w:r w:rsidRPr="00984859">
        <w:rPr>
          <w:rFonts w:ascii="Arial" w:eastAsia="Times New Roman" w:hAnsi="Arial" w:cs="Arial"/>
          <w:b/>
          <w:bCs/>
          <w:sz w:val="15"/>
          <w:szCs w:val="15"/>
          <w:vertAlign w:val="superscript"/>
          <w:lang w:eastAsia="sr-Latn-RS"/>
        </w:rPr>
        <w:t xml:space="preserve">10, 11, 14, 15 </w:t>
      </w:r>
      <w:r w:rsidRPr="00984859">
        <w:rPr>
          <w:rFonts w:ascii="Arial" w:eastAsia="Times New Roman" w:hAnsi="Arial" w:cs="Arial"/>
          <w:lang w:eastAsia="sr-Latn-RS"/>
        </w:rPr>
        <w:t>ili elektrofiziološke</w:t>
      </w:r>
      <w:r w:rsidRPr="00984859">
        <w:rPr>
          <w:rFonts w:ascii="Arial" w:eastAsia="Times New Roman" w:hAnsi="Arial" w:cs="Arial"/>
          <w:b/>
          <w:bCs/>
          <w:sz w:val="15"/>
          <w:szCs w:val="15"/>
          <w:vertAlign w:val="superscript"/>
          <w:lang w:eastAsia="sr-Latn-RS"/>
        </w:rPr>
        <w:t xml:space="preserve">10, 11, 16, 17 </w:t>
      </w:r>
      <w:r w:rsidRPr="00984859">
        <w:rPr>
          <w:rFonts w:ascii="Arial" w:eastAsia="Times New Roman" w:hAnsi="Arial" w:cs="Arial"/>
          <w:lang w:eastAsia="sr-Latn-RS"/>
        </w:rPr>
        <w:t>postupke kao dopuna postupcima i ispitivanjima koji su ovde opisani ili za povećanje broja jedinki pregledanih za histopatologiju. Ovi dodatni postupci su od posebne koristi kad empirijska opažanja ili očekivani efekti ukazuju na specifični tip ili ciljno mesto neurotoksičnosti</w:t>
      </w:r>
      <w:r w:rsidRPr="00984859">
        <w:rPr>
          <w:rFonts w:ascii="Arial" w:eastAsia="Times New Roman" w:hAnsi="Arial" w:cs="Arial"/>
          <w:b/>
          <w:bCs/>
          <w:sz w:val="15"/>
          <w:szCs w:val="15"/>
          <w:vertAlign w:val="superscript"/>
          <w:lang w:eastAsia="sr-Latn-RS"/>
        </w:rPr>
        <w:t>2, 3</w:t>
      </w:r>
      <w:r w:rsidRPr="00984859">
        <w:rPr>
          <w:rFonts w:ascii="Arial" w:eastAsia="Times New Roman" w:hAnsi="Arial" w:cs="Arial"/>
          <w:lang w:eastAsia="sr-Latn-RS"/>
        </w:rPr>
        <w:t xml:space="preserve">. Alternativno, preostale životinje mogu da se podvrgnu rutinskom patološkom ocenjivanju kako je opisano u metodi za studije sa ponovljenom dozom.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Opšti postupak bojenja kao što je hematoksilin i eozin (u daljem tekstu: H&amp;E) obavlja se za sve uzroke tkiva u parafinu i izvodi se mikroskopski pregled. Ukoliko se uoče znaci periferne neuropatije ili ako se na iste sumnja, ispituju se uzorci perifernog nervnog tkiva u plastici. Klinički znaci takođe mogu naznačiti dodatna mesta za ispitivanje ili korišćenje posebnih postupaka bojenja. Uputstvo o dodatnim mestima dato je u literaturi</w:t>
      </w:r>
      <w:r w:rsidRPr="00984859">
        <w:rPr>
          <w:rFonts w:ascii="Arial" w:eastAsia="Times New Roman" w:hAnsi="Arial" w:cs="Arial"/>
          <w:b/>
          <w:bCs/>
          <w:sz w:val="15"/>
          <w:szCs w:val="15"/>
          <w:vertAlign w:val="superscript"/>
          <w:lang w:eastAsia="sr-Latn-RS"/>
        </w:rPr>
        <w:t>3, 4</w:t>
      </w:r>
      <w:r w:rsidRPr="00984859">
        <w:rPr>
          <w:rFonts w:ascii="Arial" w:eastAsia="Times New Roman" w:hAnsi="Arial" w:cs="Arial"/>
          <w:lang w:eastAsia="sr-Latn-RS"/>
        </w:rPr>
        <w:t>. Odgovarajuće specijalne boje za pokazivanje specifičnih tipova patoloških promena mogu biti od pomoći</w:t>
      </w:r>
      <w:r w:rsidRPr="00984859">
        <w:rPr>
          <w:rFonts w:ascii="Arial" w:eastAsia="Times New Roman" w:hAnsi="Arial" w:cs="Arial"/>
          <w:b/>
          <w:bCs/>
          <w:sz w:val="15"/>
          <w:szCs w:val="15"/>
          <w:vertAlign w:val="superscript"/>
          <w:lang w:eastAsia="sr-Latn-RS"/>
        </w:rPr>
        <w:t>18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reprezentativnim presecima centralnog i perifernog nervnog sistema vrši se histološki pregled (videti u literaturi</w:t>
      </w:r>
      <w:r w:rsidRPr="00984859">
        <w:rPr>
          <w:rFonts w:ascii="Arial" w:eastAsia="Times New Roman" w:hAnsi="Arial" w:cs="Arial"/>
          <w:b/>
          <w:bCs/>
          <w:sz w:val="15"/>
          <w:szCs w:val="15"/>
          <w:vertAlign w:val="superscript"/>
          <w:lang w:eastAsia="sr-Latn-RS"/>
        </w:rPr>
        <w:t>3,4</w:t>
      </w:r>
      <w:r w:rsidRPr="00984859">
        <w:rPr>
          <w:rFonts w:ascii="Arial" w:eastAsia="Times New Roman" w:hAnsi="Arial" w:cs="Arial"/>
          <w:lang w:eastAsia="sr-Latn-RS"/>
        </w:rPr>
        <w:t xml:space="preserve">). Ispitivana područja obično uključuju: prednji mozak, središte cerebruma, uključujući presek kroz hipokampus, srednji mozak, cerebelum, pons, produžena moždina, oko sa optičkim nervom i retinom, kičmenu moždinu i cervikalna i lumbalna zadebljanja, dorzalni koren ganglia, dorzalna i ventralna vlakna korenova, proksimalni išijasni nerv, proksimalni tibijalni nerv (u kolenu) i grane tibijalnog nerva za mišić lista. Preseci kičmene moždine i perifernih nerava uključuju i poprečne ili transverzalne i uzdužne preseke. Obraća se pažnja na vaskulaturu nervnog sistema. Uzorak skeletnog mišića, posebno mišića lista, takođe se pregleda. Posebna pažnja se obraća mestima sa celularnom ili fibroznom strukturom i uzorak CNS i PNS za koji se zna da je posebno pogođen neurotoksikantima.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Smernice o neuropatološkim promenama koje tipično proizilaze iz izlaganja toksikantu date su u literaturi</w:t>
      </w:r>
      <w:r w:rsidRPr="00984859">
        <w:rPr>
          <w:rFonts w:ascii="Arial" w:eastAsia="Times New Roman" w:hAnsi="Arial" w:cs="Arial"/>
          <w:b/>
          <w:bCs/>
          <w:sz w:val="15"/>
          <w:szCs w:val="15"/>
          <w:vertAlign w:val="superscript"/>
          <w:lang w:eastAsia="sr-Latn-RS"/>
        </w:rPr>
        <w:t>3, 4</w:t>
      </w:r>
      <w:r w:rsidRPr="00984859">
        <w:rPr>
          <w:rFonts w:ascii="Arial" w:eastAsia="Times New Roman" w:hAnsi="Arial" w:cs="Arial"/>
          <w:lang w:eastAsia="sr-Latn-RS"/>
        </w:rPr>
        <w:t xml:space="preserve">. Preporučuje se postepeno ispitivanje uzoraka tkiva u kome se preseci grupe visoke doze prve upoređuju sa onima iz kontrolne grupe. Ukoliko se ne uoče neuropatološke promene u uzorcima iz ovih grupa, dalja analiza nije potrebna. Ukoliko se uoče neuropatološke promene u grupi visoke doze, uzorak svakog potencijalno pogođenog tkiva iz srednjih i nižih doznih grupa kodira se i redom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pronađu bilo kakve neuropatološke promene u kvalitativnoj analizi, obavlja se drugo ispitivanje na svim područjima nervnog sistema koji pokazuju takve promene. Preseci iz svih doznih grupa svih potencijalno zahvaćenih regija se kodiraju i ispituju nasumce bez poznavanja koda. Frekvenca i ozbiljnost svake lezije se beleže. Pošto se ocene sve regije iz </w:t>
      </w:r>
      <w:r w:rsidRPr="00984859">
        <w:rPr>
          <w:rFonts w:ascii="Arial" w:eastAsia="Times New Roman" w:hAnsi="Arial" w:cs="Arial"/>
          <w:lang w:eastAsia="sr-Latn-RS"/>
        </w:rPr>
        <w:lastRenderedPageBreak/>
        <w:t xml:space="preserve">svih grupa kod se može dešifrovati i može se obaviti statistička analiza kako bi se ocenio odnos doza-odgovor. Primeri različitih stepena ozbiljnosti svake lezije se opisuju.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Neuropatološki nalazi se ocenjuju u kontekstu bihejvioralnih posmatranja i merenja, kao i drugih podataka iz prethodnih i istovremenih studija sistemske toksičnosti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Navode se pojedinačni podaci. Svi podaci se navode tabelarno. Za svaku ispitivanu ili kontrolnu grupu navode se: broj životinja na početku ispitivanja, broj životinja koje su pronađene mrtve za vreme ispitivanja ili usmrćene iz humanih razloga, kao i vreme smrti ili humanog lišavanja života na human način, broj koji pokazuje znakove toksičnosti, opis znakova toksičnosti koji su uočeni, uključujući vreme nastanka, trajanje, vrstu i ozbiljnost bilo kojih toksičnih efekata, broj životinja koje pokazuju lezije, uključujući vrstu i ozbiljnost lezija.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Nalazi studije se procenjuju u pogledu incidence, ozbiljnosti i korelacije neurobihevioralnih i neuropatoloških efekata (neurohemijskih ili elektrofizioloških efekata takođe, ukoliko su uključena dodatna ispitivanja) ili bilo kojih drugih uočenih štetnih efekata. Kada je moguće, numerički rezultati se procenjuju odgovarajućom pšteprihvaćenom statističkom metodom. Statističke metode se biraju prilikom osmišljavanja studije.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priroda (uključujući izomeriju, čistoću i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identifikacioni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Vehikulumu (ako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opravdanje za izbor vehikuluma.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korišćena vrsta/soj;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uslovi smeštaja, aklimatizacija, ishrana,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pojedinačne mase životinja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detalji o formulaciji ispitivane supstance/priprema ishrane, postignuta koncentracija, stabilnost i homogenost preparata: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specifikacija primenjenih doza, uključujući detalje o vehikulumu, zapremini i fizičkom obliku primenjenog materijala;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primeni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izabrane nivoe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put primene i trajanje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konverzija koncentracije ispitivane supstance (ppm) iz ishrane/vode za piće u stvarnu dozu (mg/kg telesna masa / dan), ukoliko je primenjivo;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Postupcima ispitivanja i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svrstavanju životinja svake grupe u podgrupe za perfuziju;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sistemu bodovanja, uključujući kriterijume i skale za svako merenje u detaljnim kliničkim posmatranjima;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funkcionalnim ispitivanjima za senzornu reaktivnost na stimuluse različitih vrsta (npr. zvučni, vizuelni i proprioceptivni), za ocenjivanje snage stiska, za ocenjivanje motorne aktivnosti (uključujući detalje o automatskim spravama za detekciju aktivnosti), i drugim korišćenim postupcima;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oftalmološkim pregledima i ako odgovara hematološkim ispitivanjima i medicinsko-biohemijskim ispitivanjima sa relevantnim osnovnim vrednostima;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specifičnih neurobihevioralnih, neuropatoloških, neurohemijskih ili elektrofizioloških postupaka.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telesna masa/promene telesne mase, uključujući telesnu masu pri lišavanju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potrošnja hrane i vode, ukoliko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toksičnim efektima po polu i doznom nivou, uključujući znake toksičnosti ili smrtnost;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priroda, ozbiljnost i trajanje (vreme nastanka i kasniji tok) detaljnih kliničkih nalaza (prolaznih ili 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detaljan opis svih rezultata funkcionalnih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nalazi obdukcije;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detaljan opis svih specifičnih neurobihevioralnih, neuropatoloških, neurohemijskih ili elektrofizioloških nalaza, ukoliko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apsorpciji i metabolizmu, ukoliko su dostupni;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statistička obrada rezultata, kad je primenjivo.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efektu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drugih toksičnih efekata do zaključka o neurotoksičnom potencijalu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doza bez štetnog efekta (NOAEL).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Zaključku: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preporučuje specifičan izveštaj o celokupnoj neurotoksičnosti ispitivane hemikalije.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Giudance Document on Neurotoxicity Testing Strategies and Test Methods. OECD, Paris, InPreparation.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Test Guideline for a Developmental Neurotoxicity Study, OECD Guidelines for the Testing of Chemicals.In preparation.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World Health Organisation (WHO) (1986) Environmental Health Criteria document 60: Principles and Methods for the Assessment of Neurotoxicity associated with Exposure to Chemicals.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Spencer, P.S. and Schaumburg, H.H. (1980) Experimental and Clinical Neurotoxicology. Eds. Spencer, P.S. and Schaumburg, H.H. eds. Williams and Wilkins, Baltimore/London.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Tupper, D.E. and Wallace, R.B., (1980) Utility of the Neurological Examination in Rats. Acta Neurobiol. Exp., 40, p. 999-1003.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Gad, S.C., (1982) A Neuromuscular Screen for Use in Industrial Toxicology. J. Toxicol. Environ. Health, 9, p. 691-704.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Moser, V.C., McDaniel, K.M. and Phillips, P.M., (1991) Rat Strain and Stock Comparisons Using a Functional Observational Battery: Baseline Values and Effects of amitraz. Toxic. Appl. Pharmacol., 108, p. 267-283.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Meyer, O.A., Tilson, H.A., Byrd, W.C. and Riley, M.T., (1979) A Method for the Routine Assessment of Fore- and Hind- limb Grip Strength of Rats and Mice. Neurobehav. Toxicol., 1, p. 233-236.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Crofton, K.M., Haward, J.L., Moser, V.C., Gill, M.W., Reirer, L.W., Tilson, H.A. and MacPhail, R.C. (1991) Interlaboratory Comparison of Motor Activity Experiments: Implication for Neurotoxicological Assessments. Neurotoxicol. Teratol., 13, p. 599-609.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10. Tilson, H.A., and Mitchell, C.L. eds., (1992) Neurotoxicology Target Organ Toxicology Series. Raven Press,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Chang, L.W., ed., (1995) Principles of Neurotoxicology. Marcel Dekker,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Broxup, B., (1991) Neuopathology as a screen for Neurotoxicity Assessment. J. Amer. Coll. Toxicol., 10, p. 689-695.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Moser, V.C., Anthony, D.C., Sette, W.F. and MacPhail, R.C., (1992) Comparison of Subchronic Neurotoxicity of 2-Hydroxyethyl Acrylate and Acrylamide in Rats. Fund. Appl.Toxicol., 18, p. 343-352.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O‘Callaghan, J.P. (1988). Neurotypic and Gliotypic Proteins as Biochemical Markers of Neurotoxicity. Eurotoxicol. Teratol., 10, p. 445-452.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O‘Callaghan J.P. and Miller, D.B., (1988) Acute Exposure of the Neonatal Rat to Triethyltin Results in Persistent Changes in Neurotypic and Gliotypic Proteins. J. Pharmacol. Exp. Ther., 244, p. 368-378. L 142/428 EN Official Journal of the European Union 31.5.2008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Fox. D.A., Lowndes, H.E. and Birkamper, G.G., (1982) Electrophysiological Techniques in Neurotoxicology. In: Nervous System Toxicology. Mitchell, C.L. ed. Raven Press, New York, p. 299-335.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Johnson, B.L., (1980) Electrophysiological Methods in neurotoxicity Testing. In: Experimental and Clinical Neurotoxicology. Spencer, P.S. and Schaumburg, H.H. eds., Williams and Wilkins Co.,. Baltimore/ London, p. 726-742.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Bancroft, J.D. and Steven A., (1990) Theory and Pratice of Histological Techniques. Chapter 17, Neuropathological Techniques. Lowe, James and Cox, Gordon eds. Churchill Livingstone.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Minimalni broj životinja po grupi kada se studija neurotoksičnosti izvodi odvojeno ili u kombinaciji s drugim studijama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602"/>
        <w:gridCol w:w="1002"/>
        <w:gridCol w:w="1468"/>
        <w:gridCol w:w="1468"/>
        <w:gridCol w:w="1592"/>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STUDIJA NEUROTOKSIČNOSTI SPROVEDENA KAO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Posebna studija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Kombinovana </w:t>
            </w:r>
            <w:r w:rsidRPr="00984859">
              <w:rPr>
                <w:rFonts w:ascii="Arial" w:eastAsia="Times New Roman" w:hAnsi="Arial" w:cs="Arial"/>
                <w:lang w:eastAsia="sr-Latn-RS"/>
              </w:rPr>
              <w:br/>
              <w:t xml:space="preserve">sa 28-dnevnom studijom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Kombinovana </w:t>
            </w:r>
            <w:r w:rsidRPr="00984859">
              <w:rPr>
                <w:rFonts w:ascii="Arial" w:eastAsia="Times New Roman" w:hAnsi="Arial" w:cs="Arial"/>
                <w:lang w:eastAsia="sr-Latn-RS"/>
              </w:rPr>
              <w:br/>
              <w:t xml:space="preserve">sa 90-dnevnom studijom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Kombinovana sa studijom hronične toksičnosti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Ukupan broj životinja po grupi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mužjaka i 10 ženki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mužjaka i 10 ženki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mužjaka i 15 ženki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mužjaka i 25 ženki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Broj životinja odabranih za funkcionalna ispitivanja uključujući detaljno kliničko posmatranje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mužjaka i 10 ženki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mužjaka i 10 ženki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mužjaka i 10 ženki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mužjaka i 10 ženki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Broj životinja odabran za uzorkovanje in situ i neurohistopatologiju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mužjaka i 5 ženki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mužjaka i 5 ženki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mužjaka i 5 ženki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mužjaka i 5 ženki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Broj životinja odabran za posmatranja toksičnosti ponovljene doze/subhronične/hronične, hematologiju, medicinsku biohemiju, </w:t>
            </w:r>
            <w:r w:rsidRPr="00984859">
              <w:rPr>
                <w:rFonts w:ascii="Arial" w:eastAsia="Times New Roman" w:hAnsi="Arial" w:cs="Arial"/>
                <w:lang w:eastAsia="sr-Latn-RS"/>
              </w:rPr>
              <w:lastRenderedPageBreak/>
              <w:t xml:space="preserve">histopatologiju, itd. kako je naznačeno u Vodiču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5 mužjaka i 5 ženki</w:t>
            </w:r>
            <w:r w:rsidRPr="00984859">
              <w:rPr>
                <w:rFonts w:ascii="Arial" w:eastAsia="Times New Roman" w:hAnsi="Arial" w:cs="Arial"/>
                <w:b/>
                <w:bCs/>
                <w:sz w:val="15"/>
                <w:szCs w:val="15"/>
                <w:vertAlign w:val="superscript"/>
                <w:lang w:eastAsia="sr-Latn-RS"/>
              </w:rPr>
              <w:t>XVI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 mužjaka</w:t>
            </w:r>
            <w:r w:rsidRPr="00984859">
              <w:rPr>
                <w:rFonts w:ascii="Arial" w:eastAsia="Times New Roman" w:hAnsi="Arial" w:cs="Arial"/>
                <w:b/>
                <w:bCs/>
                <w:sz w:val="15"/>
                <w:szCs w:val="15"/>
                <w:vertAlign w:val="superscript"/>
                <w:lang w:eastAsia="sr-Latn-RS"/>
              </w:rPr>
              <w:t>XVI</w:t>
            </w:r>
            <w:r w:rsidRPr="00984859">
              <w:rPr>
                <w:rFonts w:ascii="Arial" w:eastAsia="Times New Roman" w:hAnsi="Arial" w:cs="Arial"/>
                <w:lang w:eastAsia="sr-Latn-RS"/>
              </w:rPr>
              <w:br/>
              <w:t xml:space="preserve">10 ženki </w:t>
            </w:r>
            <w:r w:rsidRPr="00984859">
              <w:rPr>
                <w:rFonts w:ascii="Arial" w:eastAsia="Times New Roman" w:hAnsi="Arial" w:cs="Arial"/>
                <w:b/>
                <w:bCs/>
                <w:sz w:val="15"/>
                <w:szCs w:val="15"/>
                <w:vertAlign w:val="superscript"/>
                <w:lang w:eastAsia="sr-Latn-RS"/>
              </w:rPr>
              <w:t>XVI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20 mužjaka</w:t>
            </w:r>
            <w:r w:rsidRPr="00984859">
              <w:rPr>
                <w:rFonts w:ascii="Arial" w:eastAsia="Times New Roman" w:hAnsi="Arial" w:cs="Arial"/>
                <w:b/>
                <w:bCs/>
                <w:sz w:val="15"/>
                <w:szCs w:val="15"/>
                <w:vertAlign w:val="superscript"/>
                <w:lang w:eastAsia="sr-Latn-RS"/>
              </w:rPr>
              <w:t>XVI</w:t>
            </w:r>
            <w:r w:rsidRPr="00984859">
              <w:rPr>
                <w:rFonts w:ascii="Arial" w:eastAsia="Times New Roman" w:hAnsi="Arial" w:cs="Arial"/>
                <w:lang w:eastAsia="sr-Latn-RS"/>
              </w:rPr>
              <w:br/>
              <w:t xml:space="preserve">20 ženki </w:t>
            </w:r>
            <w:r w:rsidRPr="00984859">
              <w:rPr>
                <w:rFonts w:ascii="Arial" w:eastAsia="Times New Roman" w:hAnsi="Arial" w:cs="Arial"/>
                <w:b/>
                <w:bCs/>
                <w:sz w:val="15"/>
                <w:szCs w:val="15"/>
                <w:vertAlign w:val="superscript"/>
                <w:lang w:eastAsia="sr-Latn-RS"/>
              </w:rPr>
              <w:t>XVI</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Dodatna posmatranja, kada je odgovarajuće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mužjaka i 5 ženki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XVI</w:t>
      </w:r>
      <w:r w:rsidRPr="00984859">
        <w:rPr>
          <w:rFonts w:ascii="Arial" w:eastAsia="Times New Roman" w:hAnsi="Arial" w:cs="Arial"/>
          <w:lang w:eastAsia="sr-Latn-RS"/>
        </w:rPr>
        <w:t xml:space="preserve"> Uključuje pet životinja odabranih za funkcionalna ispitivanja i detaljno kliničko posmatranje kao deo studije neurotoksičnosti.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2: Frekvenca kliničkog posmatranja i funkcionalnih ispitivanja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716"/>
        <w:gridCol w:w="1536"/>
        <w:gridCol w:w="1558"/>
        <w:gridCol w:w="1660"/>
        <w:gridCol w:w="1378"/>
        <w:gridCol w:w="1284"/>
      </w:tblGrid>
      <w:tr w:rsidR="00984859" w:rsidRPr="00984859" w:rsidTr="00984859">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Vrsta posmatranja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Trajanje studije </w:t>
            </w:r>
          </w:p>
        </w:tc>
      </w:tr>
      <w:tr w:rsidR="00984859" w:rsidRPr="00984859" w:rsidTr="00984859">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Akutno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Hronično </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Kod svih životinja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Opšte zdravstveno stanje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dnevno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dnevno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dnevno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dnevno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Mortalitet /morbiditet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Dva puta dnevno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Dva puta</w:t>
            </w:r>
            <w:r w:rsidRPr="00984859">
              <w:rPr>
                <w:rFonts w:ascii="Arial" w:eastAsia="Times New Roman" w:hAnsi="Arial" w:cs="Arial"/>
                <w:lang w:eastAsia="sr-Latn-RS"/>
              </w:rPr>
              <w:br/>
              <w:t xml:space="preserve">dnevno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Dva puta dnevno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Dva puta dnevno </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Kod životinja odabranih za funkcionalna posmatranja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Detaljna klinička posmatranja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pre prvog izlaganja</w:t>
            </w:r>
            <w:r w:rsidRPr="00984859">
              <w:rPr>
                <w:rFonts w:ascii="Arial" w:eastAsia="Times New Roman" w:hAnsi="Arial" w:cs="Arial"/>
                <w:lang w:eastAsia="sr-Latn-RS"/>
              </w:rPr>
              <w:br/>
              <w:t>- 8 sati posle doziranja u očekivano vreme najvećeg efekta</w:t>
            </w:r>
            <w:r w:rsidRPr="00984859">
              <w:rPr>
                <w:rFonts w:ascii="Arial" w:eastAsia="Times New Roman" w:hAnsi="Arial" w:cs="Arial"/>
                <w:lang w:eastAsia="sr-Latn-RS"/>
              </w:rPr>
              <w:br/>
              <w:t xml:space="preserve">- na dan 7 i 14 posle doziranja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pre prvog izlaganja</w:t>
            </w:r>
            <w:r w:rsidRPr="00984859">
              <w:rPr>
                <w:rFonts w:ascii="Arial" w:eastAsia="Times New Roman" w:hAnsi="Arial" w:cs="Arial"/>
                <w:lang w:eastAsia="sr-Latn-RS"/>
              </w:rPr>
              <w:br/>
              <w:t xml:space="preserve">- posle toga jednom nedeljno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pre prvog izlaganja</w:t>
            </w:r>
            <w:r w:rsidRPr="00984859">
              <w:rPr>
                <w:rFonts w:ascii="Arial" w:eastAsia="Times New Roman" w:hAnsi="Arial" w:cs="Arial"/>
                <w:lang w:eastAsia="sr-Latn-RS"/>
              </w:rPr>
              <w:br/>
              <w:t>- jednom za vreme prve ili druge nedelje izlaganja</w:t>
            </w:r>
            <w:r w:rsidRPr="00984859">
              <w:rPr>
                <w:rFonts w:ascii="Arial" w:eastAsia="Times New Roman" w:hAnsi="Arial" w:cs="Arial"/>
                <w:lang w:eastAsia="sr-Latn-RS"/>
              </w:rPr>
              <w:br/>
              <w:t xml:space="preserve">- posle toga mesečno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pre prvog izlaganja</w:t>
            </w:r>
            <w:r w:rsidRPr="00984859">
              <w:rPr>
                <w:rFonts w:ascii="Arial" w:eastAsia="Times New Roman" w:hAnsi="Arial" w:cs="Arial"/>
                <w:lang w:eastAsia="sr-Latn-RS"/>
              </w:rPr>
              <w:br/>
              <w:t>- jednom na kraju prvog meseca izlaganja</w:t>
            </w:r>
            <w:r w:rsidRPr="00984859">
              <w:rPr>
                <w:rFonts w:ascii="Arial" w:eastAsia="Times New Roman" w:hAnsi="Arial" w:cs="Arial"/>
                <w:lang w:eastAsia="sr-Latn-RS"/>
              </w:rPr>
              <w:br/>
              <w:t xml:space="preserve">- posle toga svaka tri meseca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Funkcionalna ispitivanja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pre prvog izlaganja</w:t>
            </w:r>
            <w:r w:rsidRPr="00984859">
              <w:rPr>
                <w:rFonts w:ascii="Arial" w:eastAsia="Times New Roman" w:hAnsi="Arial" w:cs="Arial"/>
                <w:lang w:eastAsia="sr-Latn-RS"/>
              </w:rPr>
              <w:br/>
              <w:t>- 8 sati posle doziranja u očekivano vreme najvećeg efekta</w:t>
            </w:r>
            <w:r w:rsidRPr="00984859">
              <w:rPr>
                <w:rFonts w:ascii="Arial" w:eastAsia="Times New Roman" w:hAnsi="Arial" w:cs="Arial"/>
                <w:lang w:eastAsia="sr-Latn-RS"/>
              </w:rPr>
              <w:br/>
              <w:t xml:space="preserve">- na dan 7 i 14 posle doziranja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pre prvog izlaganja</w:t>
            </w:r>
            <w:r w:rsidRPr="00984859">
              <w:rPr>
                <w:rFonts w:ascii="Arial" w:eastAsia="Times New Roman" w:hAnsi="Arial" w:cs="Arial"/>
                <w:lang w:eastAsia="sr-Latn-RS"/>
              </w:rPr>
              <w:br/>
              <w:t xml:space="preserve">- za vreme četvrte nedelje tretmana što je moguće bliže kraju perioda izlaganja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pre prvog izlaganja</w:t>
            </w:r>
            <w:r w:rsidRPr="00984859">
              <w:rPr>
                <w:rFonts w:ascii="Arial" w:eastAsia="Times New Roman" w:hAnsi="Arial" w:cs="Arial"/>
                <w:lang w:eastAsia="sr-Latn-RS"/>
              </w:rPr>
              <w:br/>
              <w:t>- jednom za vreme prve ili druge nedelje izlaganja</w:t>
            </w:r>
            <w:r w:rsidRPr="00984859">
              <w:rPr>
                <w:rFonts w:ascii="Arial" w:eastAsia="Times New Roman" w:hAnsi="Arial" w:cs="Arial"/>
                <w:lang w:eastAsia="sr-Latn-RS"/>
              </w:rPr>
              <w:br/>
              <w:t xml:space="preserve">- posle toga mesečno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pre prvog izlaganja</w:t>
            </w:r>
            <w:r w:rsidRPr="00984859">
              <w:rPr>
                <w:rFonts w:ascii="Arial" w:eastAsia="Times New Roman" w:hAnsi="Arial" w:cs="Arial"/>
                <w:lang w:eastAsia="sr-Latn-RS"/>
              </w:rPr>
              <w:br/>
              <w:t>- jednom na kraju prvog meseca izlaganja</w:t>
            </w:r>
            <w:r w:rsidRPr="00984859">
              <w:rPr>
                <w:rFonts w:ascii="Arial" w:eastAsia="Times New Roman" w:hAnsi="Arial" w:cs="Arial"/>
                <w:lang w:eastAsia="sr-Latn-RS"/>
              </w:rPr>
              <w:br/>
              <w:t xml:space="preserve">- posle toga svaka tri meseca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B.44. APSORPCIJA PREKO KOŽE: </w:t>
      </w:r>
      <w:r w:rsidRPr="00984859">
        <w:rPr>
          <w:rFonts w:ascii="Arial" w:eastAsia="Times New Roman" w:hAnsi="Arial" w:cs="Arial"/>
          <w:b/>
          <w:bCs/>
          <w:i/>
          <w:iCs/>
          <w:lang w:eastAsia="sr-Latn-RS"/>
        </w:rPr>
        <w:t xml:space="preserve">IN VIVO </w:t>
      </w:r>
      <w:r w:rsidRPr="00984859">
        <w:rPr>
          <w:rFonts w:ascii="Arial" w:eastAsia="Times New Roman" w:hAnsi="Arial" w:cs="Arial"/>
          <w:b/>
          <w:bCs/>
          <w:lang w:eastAsia="sr-Latn-RS"/>
        </w:rPr>
        <w:t xml:space="preserve">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427 (2004).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Ekspozicija mnogim hemikalijama se dešava uglavnom putem kože dok se većina studija izvodi na laboratorijskim životinjama peroralnom primenom.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perkutane apsorpcije navedeno u ovoj smernici obezbeđuje vezu koja je neophodna za ekstrapolaciju iz studija oralne toksičnosti kada se radi procena bezbednosti posle dermalne ekspozicije.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Supstanca prolazi veliki broj slojeva ćelija kože pre nego što dospe u cirkulaciju. Za većinu supstanci sloj koji ograničava brzinu prolaza kroz kožu je stratum corneum koji se sastoji od mrtvih ćelija. Permeabilnost kroz kožu zavisi kako od lipofilnosti hemikalije tako i od debljine spoljašnjeg sloja epidermisa, kao i od faktora kao što su molekulska masa i koncentracija supstance. Uglavnom je koža pacova i zečeva permeabilnija od ljudske, dok je permeabilonost kože zamorčića i majmuna sličnija ljudskoj.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Metode za merenje perkutane apsorpcije mogu da se podele u dve kategorije: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metoda može da obezbedi dobre podatke o apsorpciji kroz kožu kod različitih vrsta.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Nedavno su razvijene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metode. One koriste transport kroz ceo ili delimični sloj životinjske ili ljudske kože u rezervoar sa tečnošću.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metoda se opisuje u posebnoj metodi ispitivanja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Preporučuje se da se koristi OECD vodič</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kao pomoć u izboru odgovarajuće metode ispitivanja apsorpcije kroz kožu za datu situaciju s obzirom da se u ovom vodiču nalaze detalji o pogodnosti kako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tako 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metoda opisana u ovoj metodi omogućuje određivanje penetracije ispitivane supstance kroz kožu u sistemski odeljak. Ova tehnika se široko koristi tokom više godina</w:t>
      </w:r>
      <w:r w:rsidRPr="00984859">
        <w:rPr>
          <w:rFonts w:ascii="Arial" w:eastAsia="Times New Roman" w:hAnsi="Arial" w:cs="Arial"/>
          <w:b/>
          <w:bCs/>
          <w:sz w:val="15"/>
          <w:szCs w:val="15"/>
          <w:vertAlign w:val="superscript"/>
          <w:lang w:eastAsia="sr-Latn-RS"/>
        </w:rPr>
        <w:t>3, 4, 5, 6, 7</w:t>
      </w:r>
      <w:r w:rsidRPr="00984859">
        <w:rPr>
          <w:rFonts w:ascii="Arial" w:eastAsia="Times New Roman" w:hAnsi="Arial" w:cs="Arial"/>
          <w:lang w:eastAsia="sr-Latn-RS"/>
        </w:rPr>
        <w:t xml:space="preserve">. Iako u mnogim slučajevima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studije perkutane apsorpcije mogu da budu pogodne, postoje mnoge situacije u kojima samo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studije mogu da obezbede neophodne podatke.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Prednost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metode je da koristi fiziološki i metabolički intaktan sistem, koristi vrste uobičajene za mnoge studije toksičnosti i može da se modifikuje za primenu na drugim vrstama. Nedostaci su korišćenje živih životinja, potreba za korišćenjem radioaktivno obeleženog materijala da bi se dobili pouzdani rezultati, teškoće u određivanju rane faze apsorpcije i razlike u permeabilnosti kože vrsta koja se najčešće koristi (pacova) i kože čoveka. Životinjska koža je uglavnom permeabilnija i zbog toga na osnovu ovih ispitivanje može da se preceni apsorpcija kroz kožu čoveka</w:t>
      </w:r>
      <w:r w:rsidRPr="00984859">
        <w:rPr>
          <w:rFonts w:ascii="Arial" w:eastAsia="Times New Roman" w:hAnsi="Arial" w:cs="Arial"/>
          <w:b/>
          <w:bCs/>
          <w:sz w:val="15"/>
          <w:szCs w:val="15"/>
          <w:vertAlign w:val="superscript"/>
          <w:lang w:eastAsia="sr-Latn-RS"/>
        </w:rPr>
        <w:t>6, 8, 9</w:t>
      </w:r>
      <w:r w:rsidRPr="00984859">
        <w:rPr>
          <w:rFonts w:ascii="Arial" w:eastAsia="Times New Roman" w:hAnsi="Arial" w:cs="Arial"/>
          <w:lang w:eastAsia="sr-Latn-RS"/>
        </w:rPr>
        <w:t xml:space="preserve">. Kausitične/korozivne supstance se ne ispituju na živim životinjama.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Neapsorbovana doza predstavlja dozu koja je isprana sa površine kože posle ekspozicije i deo koji je prisutan na neokluzivnom pokrivaču, uključujući i dozu za koju je pokazano da je isparila sa kože tokom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Apsorbovana doza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obuhvata dozu koja se nalazi u urinu, u ispirku kaveza, fecesu, izdahnutom vazduhu (ako je mereno), krvi, tkivima (ako su sakupljana) i u lešu životinje posle uklanjanja dela kože na koju je primenjena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Apsorbabilna doza predstavlja dozu u ili na koži posle ispiranja.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(poželjno je da bude radioaktivno obeležena) primenjuje se na ošišanu kožu životinja u jednom ili više doznih nivoa u obliku reprezentativnih preparata u upotrebi. Ispitivani preparati se mogu ostaviti u kontaktu sa kožom određeno vreme pod odgovarajućim pokrivačem (ne-okluzivni, semi-okluzivni ili okluzivni) da bi se sprečila ingestija ispitivanog preparata. Na kraju ekspozicije pokrivač se uklanja i koža čisti odgovarajućim sredstvom za čišćenje, pokrivač i materijal za čišćenje se čuvaju za analizu, a na kožu se nanosi novi pokrivač. Životinje se smeštaju u pojedinačne metaboličke kaveze i ekskreti i izdahnuti vazduh se skupljaju za analizu, pre, tokom i posle perioda ekspozicije. </w:t>
      </w:r>
      <w:r w:rsidRPr="00984859">
        <w:rPr>
          <w:rFonts w:ascii="Arial" w:eastAsia="Times New Roman" w:hAnsi="Arial" w:cs="Arial"/>
          <w:lang w:eastAsia="sr-Latn-RS"/>
        </w:rPr>
        <w:lastRenderedPageBreak/>
        <w:t>Sakupljanje izdahnutog vazduha može da se izostavi ako postoji dovoljno podataka da je formiranje isparljivih radioaktivnih metabolita minimalno ili se uopšte ne javlja. Svaka studija obično uključuje nekoliko grupa životinja koje će biti izložene ispitivanom preparatu. Jedna grupa će biti lišena života na human način na kraju perioda ekspozicije. Potom će druge grupe biti lišene života na human način u planiranim intervalima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Na kraju perioda sakupljanja uzoraka, ostatak životinja se lišava života, sakuplja se krv za analizu, uklanja se i čuva za analizu deo kože na koju je ispitivana supstanca primenjena, a leševi se analiziraju za svaki neizlučeni materijal. Uzorci se analiziraju na odgovarajuće načine i određuje se stepen perkutane apsorpcije</w:t>
      </w:r>
      <w:r w:rsidRPr="00984859">
        <w:rPr>
          <w:rFonts w:ascii="Arial" w:eastAsia="Times New Roman" w:hAnsi="Arial" w:cs="Arial"/>
          <w:b/>
          <w:bCs/>
          <w:sz w:val="15"/>
          <w:szCs w:val="15"/>
          <w:vertAlign w:val="superscript"/>
          <w:lang w:eastAsia="sr-Latn-RS"/>
        </w:rPr>
        <w:t>6, 8, 9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Obično se koristi pacov, ali sojevi bez dlake i vrste koje imaju brzine apsorpcije sličnije onoj kod ljudi mogu takođe da se koriste</w:t>
      </w:r>
      <w:r w:rsidRPr="00984859">
        <w:rPr>
          <w:rFonts w:ascii="Arial" w:eastAsia="Times New Roman" w:hAnsi="Arial" w:cs="Arial"/>
          <w:b/>
          <w:bCs/>
          <w:sz w:val="15"/>
          <w:szCs w:val="15"/>
          <w:vertAlign w:val="superscript"/>
          <w:lang w:eastAsia="sr-Latn-RS"/>
        </w:rPr>
        <w:t>3, 6, 7, 8, 9</w:t>
      </w:r>
      <w:r w:rsidRPr="00984859">
        <w:rPr>
          <w:rFonts w:ascii="Arial" w:eastAsia="Times New Roman" w:hAnsi="Arial" w:cs="Arial"/>
          <w:lang w:eastAsia="sr-Latn-RS"/>
        </w:rPr>
        <w:t xml:space="preserve">. Uključuju se mlade, odrasle i zdrave životinje istog pola (obično muškog pola) uobičajenih laboratorijskih sojeva. Na početku studije odstupanje u telesnoj masi životinje ne treba da bude veće od ± 20% od prosečne mase. Na primer, mužjaci pacova od 200 g do 250 g, posebno na gornjoj polovini ovog raspona.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Broj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Grupa od najmanje četiri životinje istog pola koristi se za svaki ispitivani preparat i svako planirano vreme lišavanja života na human način. Svaka grupa životinja će biti lišena života na human način posle različitih vremenskih intervala, npr. na kraju perioda ekspozicije (obično 6 ili 24 sata) i u narednim prilikama (npr. 48 i 72 sata). Ako postoje podaci koji pokazuju suštinske razlike u dermalnoj toksičnosti između mužjaka i ženki, koristi se osetljiviji pol. Ako ne postoje takvi podaci, može da se koristi bilo koji od polova.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Uslovi smeštaja i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u prostoru za čuvanje eksperimentalnih životinja je 22° C (± 3° C). Relativna vlažnost je najmanje 30% i da ne premašuje 70% osim za vreme čišćenja prostora. Ciljna vlažnost je 50% do 60%. Osvetljenje je veštačko sa periodom svetlosti od 12 sati i periodom mraka od 12 sati.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ishranu može da se koristi uobičajena hrana za eksperimentalne životinje, koja je slobodno dostupna životinjama uz neograničen pristup vodi za piće. Za vreme studije, a po mogućstvu i za vreme aklimatizacije, životinje se smeštaju u pojedinačne metaboličke kaveze. S obzirom da prosipanje hrane i vode mogu da kompromituju rezultate, verovatnoća za ovakve događaje se minimalizuje.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1.4.4. Priprema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Životinje se označavaju da bi mogle da se pojedinačno identifikuju i čuvaju se u kavezima najmanje pet dana pre početka studije da bi se aklimatizovale na laboratorijske uslove.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Posle aklimatizacije i približno 24 sata pre doziranja, region ramena i leđa svake životinje se ošiša. Propustljivost oštećene kože je različita od one kod intaktne kože i zbog toga se izbegava abrazija kože. Posle šišanja i približno 24 sata pre primene ispitivane supstance na kožu (videti odeljak 1.4.7. ove metode), površina kože se obriše acetonom da bi se uklonio sebum. Dodatno pranje sapunima i vodom se ne preporučuje zbog toga što rezidue sapuna mogu da promovišu apsorpciju ispitivane supstance. Površina kože mora da bude dovoljno velika da obezbedi pouzdano izračunavanje apsorbovane količine ispitivane hemikalije po </w:t>
      </w:r>
      <w:r w:rsidRPr="00984859">
        <w:rPr>
          <w:rFonts w:ascii="Arial" w:eastAsia="Times New Roman" w:hAnsi="Arial" w:cs="Arial"/>
          <w:lang w:eastAsia="sr-Latn-RS"/>
        </w:rPr>
        <w:lastRenderedPageBreak/>
        <w:t>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kože, poželjno je najmanje 10 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Ova površina je praktična za pacove od 200 g do 250 g TM. Posle pripreme životinje se vraćaju u metaboličke kaveze.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1.4.5.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je entitet čije se penetracione ispituju. Idealno, ispitivana supstanca je radioaktivno obeležena.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1.4.6. Ispitivani preparat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Preparat ispitivane supstance (npr. čista, razblažena hemikalija ili formulisani materijal koji sadrži ispitivanu hemikaliju koja se primenjuje na kožu) je isti (ili realni surogat) kao onaj kojem će biti izloženi ljudi ili druga ciljna vrsta. Svako odstupanje od preparata u upotrebi se opravdava. Kada je neophodno, ispitivna supstanca se rastvara ili suspenduje u odgovarajućem vehikulumu. Za vehikulume koji nisu voda treba poznavati apsoprcione karakteristike i moguće interakcije sa ispitivanom supstancom.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1.4.7. Primena na kožu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koži se definiše određeni deo površine za aplikaciju. Poznata količina ispitivanog preparata se ravnomerno nanosi na to mesto. Ova količina obično imitira moguću ekpoziciju kod ljudi, tipično 1 mg/cm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do 5 mg/cm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za čvrste ili do 10 µl/cm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za tečnosti. Sve druge količine se opravdavaju uslovima očekivane primene, ciljevima studije ili fizičkim svojstvima ispitivanog preparata. Posle aplikacije, tretirano mesto se štiti od lizanja. Primer tipične sprave dat je na Slici 1. Obično se mesto primene zaštiti neokluzivnim pokrivačem (npr. pokrivač od permeabilne najlonske gaze). Za dužu primenu mesto primene se pokriva. U slučaju isparavanja poluisparljivih ispitivanih supstanci, dolazi do neprihvatljivog smanjenja recovery vrednosti za ispitivanu supstancu (videti odeljak 1.4.10. prvi pasus ove metode), neophodno je da se isparena supstanca uhvati filterom od medicinskog uglja koji pokriva spravu za primenu (videti Sliku 1). Važno je da ni jedna sprava ne oštećuje kožu, niti da apsorbuje, niti da reaguje sa ispitivanim preparatom. Životinje se vraćaju u pojedinačne metaboličke kaveze da bi se sakupljali ekskreti.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1.4.8. Trajanje ekspozicije i uzorkovanje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Trajanje ekspozicije je vremenski interval između primene i uklanjanja pranjem ispitivanog preparata sa kože. Koristi se odgovarajući period ekspozicije (obično 6 ili 24 sata), što se zasniva na očekivanoj dužini ekspozicije kod ljudi. Posle perioda ekspozicije, životinje se zadržavaju u metaboličkim kavezima sve do unapred planiranog lišavanja života na human način. Životinje se posmatraju u redovnim intervalima tokom studije da bi se utvrdili znaci toksičnih/abnormalnih odgovora. Na kraju perioda ekspozicije, tretirana koža se pregleda da bi se proverilo da li postoje vidljivi znaci iritacije.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Metabolički kavezi omogućavaju odvojeno sakupljanje urina i fecesa tokom studije. Oni obezbeđuju i sakupljanje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C-ugljendioksida i isparljivih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ugljenikovih jedinjenja koja se analiziraju kada su proizvedena u dovoljnoj količini (više od 5%). Urin, feces i tečnost za hvatanje (npr.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ugljendioksida i isparljivih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C-ugljenikovih jedinjenja) se pojedinačno sakupljaju od svake grupe u svako vreme uzimanja uzoraka. Ako postoji dovoljno podataka da se formira malo ili nimalo isparljivog, radioaktivnog metabolita, mogu da se koriste otvoreni kavezi.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Ekskreti se sakupljaju za vreme perioda ekspozicije i do 24 sata posle inicijalnog kontakta sa kožom, a potom svakodnevno do kraja ispitivanja. Mada su tri intervala sakupljanja ekskreta </w:t>
      </w:r>
      <w:r w:rsidRPr="00984859">
        <w:rPr>
          <w:rFonts w:ascii="Arial" w:eastAsia="Times New Roman" w:hAnsi="Arial" w:cs="Arial"/>
          <w:lang w:eastAsia="sr-Latn-RS"/>
        </w:rPr>
        <w:lastRenderedPageBreak/>
        <w:t xml:space="preserve">obično dovoljna, predviđena namena ispitivanog preparata ili postojeći kinetički podaci mogu da ukažu na to da je za studiju pogodnije da se uključi dodatno vreme i intervali.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perioda ekspozicije, zaštitna naprava se uklanja sa svake životinje i odvojeno zadržava za analizu. Tretirana koža svih životinja se pere najmanje tri puta odgovarajućim sredstvom za čišćenje koristeći pogodne ubruse. To se čini pažljivo da bi se izbegla kontaminacija drugih delova tela životinje. Sredstvo za čišćenje je deo uobičajene higijenske prakse, npr. vodeni rastvor sapuna. Na kraju se koža suši. Svi ubrusi i ispirci se čuvaju za analizu. Pre vraćanja u kaveze, primenjuje se nov pokrivač da bi se zaštitilo tretirano mesto kod životinja koje su predviđene za kasnije ispitivanje.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1.4.9. Postupci lišavanja života na human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svaku grupu, pojedinačne životinje se lišavaju života na human način u predviđeno vreme i krv se sakuplja za analizu. Zaštitna naprava ili pokrivač se uklanjaju za analizu. Koža sa mesta aplikacije i sličnog dela nedozirane, ošišane kože se uklanja od svake životinje za odvojenu analizu. Mesto primene može da se razdeli da bi se odvojio stratum corneum od epidermisa kako bi se dobio podatak o dispoziciji ispitivane hemikalije. Određivanje ove raspodele tokom vremena, posle perioda ekspozicije ukazuje na sudbinu ispitivane hemikalije u stratum cornerumu. Da bi se olakšalo razdeljivanje kože (posle završenog pranja kože i lišavanja života na human način), svi zaštitni pokrivači se uklanjaju. Koža mesta aplikacije sa prstenom okolne kože se odvaja od pacova i pričvršćuje iglama za podlogu. Parče adhezivne trake se primenjuje na površinu kože uz blagi pritisak, a potom se traka uklanja zajedno sa delom stratum corneuma. Zatim se primenjuju novi komadi adhezivne trake sve dok se traka više ne lepi za površinu kože, kada je sav stratum corneum uklonjen. Za svaku životinju svi delovi adhezivne trake mogu da se čuvaju u jednom kontejneru kome je dodat tkivni digestant da bi se solubilizovao stratum corneum. Sva potencijalno ciljna tkiva mogu da se uklone za posebna merenja pre nego što se ostaci analiziraju za apsorbovanu lešnu dozu. Leševi pojedinačnih životinja se čuvaju za analizu. Obično je dovoljna analiza ukupnog sadržaja. Ciljni organi mogu da se uklone za odvojene analize (ako su na to ukazale druge studije). Urin koji se nalazi u mokraćnoj bešici pri lišavanju života na human način, dodaje se u prethodno sakupljen urin. Posle skupljanja ekskreta iz metaboličkih kaveza u vreme lišavanja životinja života na human način, kavezi i uređaji za sakupljanje se peru odgovarajućim rastvaračem. Drugi delovi opreme koji mogu biti kontaminirani takođe se analiziraju.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1.4.10.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svim studijama treba postići odgovarajuću recovery vrednost (npr. srednju vrednost od 100% ± 10% radiaoktivnosti). Recovery vrednosti van ovih se opravdavaju. Količina primenjene doze u svakom uzorku se alizira odgovarajućim validovanim postupcima.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Statistička razmatranja uključuju meru varijacije za ponavljanja za svaku primenu.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Sledeća merenja se vrše za svaku životinju, za svako vreme uzorkovanja, za ispitanu hemikaliju i/ili metabolite (uz pojedinačne podatke, podaci grupisani prema vremenu uzorkovanja prikazuju se kao srednje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količina udružena sa zaštitnim napravama;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količina koja može da se ukloni sa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količina u/na koži koja ne može da se ispere sa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količina u uzorcima krvi;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količina u ekskretima i izdahnutom vazduhu (ako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količina koja ostane u lešu ili u organima koji su uklonjeni za odvojenu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Količina ispitivane supstance i/ili metabolita u ekskretima, izdahnutom vazduhu, krvi i lešu omogućava određivanje ukupne apsorbovane količine u svakoj vremenskoj instanci. Može se izračunati i količina ispitivane hemikalije koja je apsorbovana po cm2 izložene kože za vreme perioda ekspozicije.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zahteve predviđene u protokolu, uključujući opravdanost sistema za ispitivanje koji je korišćen, a sadrži 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za identifikaciju (npr. CAS broj ako je dostupan, izvor, čistoća (radiohemijska čistoća), poznate nečistoće, broj serije);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fizička i hemijska svojstva (npr. pH, isparljivost, rastvorljivost, stabilnost, molekulska masa i log Pow).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Ispitivanom preparatu: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formulacija i opravdanost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ispitivanom preparatu, primenjena količina, postignuta koncentracija, vehikulum, stabilnost i homogenost.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Eksperimentalnim životinjama: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korišćena vrsta/soj;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starost i pol životinja;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životinja, smeštaj, ishrana i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Individualne telesne mase životinja na početku testa.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primene ispitivanog preparata (mesto primene, analitičke metode, okluzija/neokluzija, zapremina, ekstrakcija, detekcija);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kvalitetu hrane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 znaci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tabelarni podaci o apsorpciji (izraženi kao brzina, količina ili procenat);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ukupni recovery u eksperimentu;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poređenje sa raspoloživim rezultatima perkutane apsorpcije ispitivanog jedinjenja.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Testing Method B.45. Skin Absorption: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OECD (2002). Guidance Document for the Conduct of Skin Absorption Studies. OECD, Paris.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ECETOC, (1993) Percutaneous Absorption. European Centre for Ecotoxicology and Toxicology of Chemicals, Monograph No 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Zendzian R.P. (1989) Skin Penetration Method suggested for Environmental Protection Agency Requirements. J. Am. Coll. Toxicol. 8(5), p. 829-835.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Kemppainen, B.W., Reifenrath WG (1990) Methods for skin absorption. CRC Press Boca Raton, FL, USA.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EPA, (1992) Dermal Exposure Assessment: Principles and Applications. Exposure Assessment Group, Office of Health and Environmental Assessment.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EPA, (1998) Health Effects Test Guidelines, OPPTS 870-7600, Dermal Penetration. Office of Prevention, Pedsticides and Toxic Substances.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Bronaugh, R.L., Wester, R.C., Bucks, D., Maibach H.I. and Sarason, R., (1990)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percutaneous absorption of fragrance ingredients in reshus monkeys and humans. Fd. Chem. Toxic. 28, p. 369-373.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Feldman, R.J. and Maibach, H.I., (1970) Absorption of some organic compounds through the skin in man. J. Invest Dermatol. 54, p. 399-404.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 Primer dizajna tipične naprave koja se koristi da odredi i zaštiti mesto dermalne primene za vreme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 xml:space="preserve">studija perkutane apsorpcije.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6F4F0CC3" wp14:editId="46A98B4E">
            <wp:extent cx="5172075" cy="3448050"/>
            <wp:effectExtent l="0" t="0" r="9525" b="0"/>
            <wp:docPr id="75" name="Picture 75" descr="C:\Program Files (x86)\ParagrafLex\browser\Files\Old\t\t2013_12\t12_0570_s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Program Files (x86)\ParagrafLex\browser\Files\Old\t\t2013_12\t12_0570_s082.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72075" cy="34480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B.45. APSORPCIJA PREKO KOŽE: </w:t>
      </w:r>
      <w:r w:rsidRPr="00984859">
        <w:rPr>
          <w:rFonts w:ascii="Arial" w:eastAsia="Times New Roman" w:hAnsi="Arial" w:cs="Arial"/>
          <w:b/>
          <w:bCs/>
          <w:i/>
          <w:iCs/>
          <w:lang w:eastAsia="sr-Latn-RS"/>
        </w:rPr>
        <w:t xml:space="preserve">IN VITRO </w:t>
      </w:r>
      <w:r w:rsidRPr="00984859">
        <w:rPr>
          <w:rFonts w:ascii="Arial" w:eastAsia="Times New Roman" w:hAnsi="Arial" w:cs="Arial"/>
          <w:b/>
          <w:bCs/>
          <w:lang w:eastAsia="sr-Latn-RS"/>
        </w:rPr>
        <w:t xml:space="preserve">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zasniva se na Uputstvu za ispitivanje OECD 428 (2004).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je namenjena da obezbedi podatke o apsorpciji ispitivane supstance koja je primenjena na odsečak kože. Ona može da se kombinuje sa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metodom za apsorpciju kroz kožu</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ili da se izvodi odvojeno. Preporučuje se da se koristi OECD vodič za izvođenje ispitivanja apsorpcije kroz kožu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kao pomoć u dizajniranju studije zasnovane na ovoj metodi. Vodič je pripremljen da olakša izbor odgovarajućih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postupaka za korišćenje u specifičnim okolnostima, da bi se obezbedila pouzdanost rezultata dobijenih ovom metodom.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Metode za merenje apsorpcije kroz kožu i dermalnog transporta mogu da se podele u dve kategorije: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metode mogu da obezbede dobar farmakokinetički podatak o apsorpciji kroz kožu kod različitih vrsta životinja.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metoda je opisana u posebnoj metodi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metode se godinama koriste za merenje apsorpcije kroz kožu. Mada formalne validacione studije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metoda koje se nalaze u ovoj metodi ispitivanja nisu izvedene, OECD eksperti su se složili 1999 godine da postoji dovoljno evaluiranih podataka koji opravdavaju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metodu</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Dalji podaci koji potvrđuju ovo, uključujući i značajan broj poređenja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metoda navedeni su u vodiču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Postoje brojne monografije koje razmatraju ovu temu i obezbeđuju detaljnu pozadinu primene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metode</w:t>
      </w:r>
      <w:r w:rsidRPr="00984859">
        <w:rPr>
          <w:rFonts w:ascii="Arial" w:eastAsia="Times New Roman" w:hAnsi="Arial" w:cs="Arial"/>
          <w:b/>
          <w:bCs/>
          <w:sz w:val="15"/>
          <w:szCs w:val="15"/>
          <w:vertAlign w:val="superscript"/>
          <w:lang w:eastAsia="sr-Latn-RS"/>
        </w:rPr>
        <w:t>4, 5, 6, 7, 8, 9, 10, 11, 12</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metode mere difuziju hemikalija u i kroz kožu do rezervoara tečnosti i mogu da koriste neživu kožu za merenje difuzije ili svežu, metabolički aktivnu kožu za istovremeno merenje difuzije i metabolizma kože. Ove metode su posebno pogodne kao skrining za poređenje transporta hemikalija u i kroz kožu iz različitih formulacija i mogu da obezbede korisne modele za procenu perkutane apsorpcije kod ljudi.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metoda nije primenjiva u svim situacijama i za sve klase hemikalija. Moguće je koristiti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metodu ispitivanja za inicijalnu kvalitativnu evaluaciju penetracije kroz kožu. U </w:t>
      </w:r>
      <w:r w:rsidRPr="00984859">
        <w:rPr>
          <w:rFonts w:ascii="Arial" w:eastAsia="Times New Roman" w:hAnsi="Arial" w:cs="Arial"/>
          <w:lang w:eastAsia="sr-Latn-RS"/>
        </w:rPr>
        <w:lastRenderedPageBreak/>
        <w:t xml:space="preserve">određenim slučajevima može biti neophodno da se ovo isprati podacima dobijenim u </w:t>
      </w:r>
      <w:r w:rsidRPr="00984859">
        <w:rPr>
          <w:rFonts w:ascii="Arial" w:eastAsia="Times New Roman" w:hAnsi="Arial" w:cs="Arial"/>
          <w:i/>
          <w:iCs/>
          <w:lang w:eastAsia="sr-Latn-RS"/>
        </w:rPr>
        <w:t xml:space="preserve">in vivo </w:t>
      </w:r>
      <w:r w:rsidRPr="00984859">
        <w:rPr>
          <w:rFonts w:ascii="Arial" w:eastAsia="Times New Roman" w:hAnsi="Arial" w:cs="Arial"/>
          <w:lang w:eastAsia="sr-Latn-RS"/>
        </w:rPr>
        <w:t>ispitivanjima. Pogledati vodič</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za razjašnjenje situacija u kojima bi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metoda bila pogodna. Dodatni detaljni podaci obezbeđeni su u literaturi</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prikazuje opšte principe za merenje dermalne apsorpcije i transporta ispitivane supstance uz upotrebu isečka kože. Može da se koristi koža mnogih vrsta sisara uključujući i ljudsku. Karakteristika permeabilnosti kože se zadržava i posle isecanja zato što je glavna difuziona barijera mrtvi stratum corneum, a aktivni transport hemikalija kroz kožu nije do sada identifikovan. Za kožu je pokazano da može da metaboliše neke hemikalije tokom perkutane apsorpcije6, ali ovaj proces nije ograničavajući u smislu apsorbovane doze, mada može da utiče na prirodu materijala koji ulazi u cirkulaciju.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Neapsorbovana doza jeste doza koja je isprana sa površine kože posle ekspozicije i deo koji je prisutan na neokluzivnom pokrivaču, uključujući i dozu za koju je pokazano da je isparila sa kože tokom ekspozicije.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Apsorbovana doza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jeste količina ispitivane supstance koja je dospela u prijemnu tečnost ili sistemsku cirkulaciju tokom navedenog vremenskog perioda.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Apsorbabilna doza jeste doza na ili u koži posle ispiranja.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najbolje radioaktivno obeležena, primenjuje se na površinu uzorka kože koja razdvaja dve komore difuzione ćelije. Hemikalija ostaje na koži određeno vreme sa kožom pod određenim uslovima, pre uklanjanja odgovarajućim postupkom čišćenja. Uzorci prijemne tečnosti se uzimaju u određenim vremenskim instancama tokom eksperimenta i analiziraju se na ispitivanu hemikaliju i/ili metabolite.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koriste metabolički aktivni sistemi, mogu da se analiziraju metaboliti ispitivane hemikalije pomoću odgovarajućih metoda. Na kraju eksperimenta kvantifikuje se distribucija ispitivane hemikalije i njenih metabolita kada to odgovara.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Koristeći odgovarajuće uslove, koji su opisani u ovoj metodi i u vodiču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apsorpcija ispitivane supstance tokom datog perioda se meri analizom prijemne tečnosti i tretirane kože. Ispitivana supstanca koja ostaje u koži smatra se apsorbovanom, osim ako može da se pokaže da apsorpcija može da se odredi samo iz vrednosti u prijemnoj tečnosti. Analiza drugih komponenti (materijal ispran sa kože i onaj koji je ostao u slojevima kože) omogućuje dalju evaluaciju podataka, uključujući ukupnu dispoziciju supstance i recovery u procentima.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pokazali mogućnosti i pouzdanost test sistema u laboratoriji u kojoj se izvodi ispitivanje, rezultati za relevantne referentne hemikalije treba da budu dostupni i da budu u skladu sa podacima datim u literaturi za metodu koja se koristi. Ovaj zahtev može da se ispuni ispitivanjem odgovarajuće referentne supstance (poželjno je da lipofilnost bude bliska lipofilnosti ispitivane supstance), istovremeno sa ispitivanom supstancom ili obezbeđivanjem odgovarajućih istorijskih podataka o većem broju referntnih supstanci različite lipofilnosti (nrp. kofein, benzoeva kiselina i testosteron).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Difuziona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Difuziona ćelija se sastoji od donorske komore i prijemne komore između kojih se postavlja koža (primer tipičnog dizajna je dat na Slici 1). Ćelije treba da obezbede dobro zaptivanje oko kože, omoguće jednostavno uzorkovanje i dobro mešanje prijemnog rastvora u kontaktu sa donjom stranom kože kao i dobru kontrolu temperature ćelije i njenog sadržaja. Statične i protočne difuzione ćelije su jednako prihvatljive.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donorske ćelije ostavljaju neokludirana za vreme ekspozicije određenoj dozi ispitivanog preparata. Za neodređene aplikacije i pojedina scenarija za određene doze, donorske komore mogu da se okludiraju.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Prijemna tečnost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korišćenje fiziološki pogodne prijemne tečnosti, mada mogu da se koriste i druge ako je to opravdano. Navodi se precizni sastav prijemne tečnosti. Pokazuje se odgovarajuća rastvorljivost ispitivane hemikalije u prijemnoj tečnosti tako da tečnost ne predstavlja barijeru za apsorpciju. Uz to, prijemna tečnost ne treba da utiče na integritet preparata kože. U protočnom sistemu brzina protoka ne sme da utiče na difuziju ispitivane supstance u prijemnu tečnost. U statičnom ćelijskom sistemu, prijemna tečnost se neprekidno meša i redovno uzorkuje. Ako se ispituje metabolizam, prijemna tečnost obezbeđuje da koža ostane živa tokom celokupnog eksperimenta.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Preparati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Može da se koristi koža ljudi ili životinja. Poznato je da je korišćenje ljudske kože predmet domaćih i međunarodnih etičkih razmatranja i uslovljavanja. Mada je živa koža bolja, neživa koža može da se koristi ako može da se pokaže integritet kože. Prihvatljive su epidermalne membrane (enzimski, toplotno ili hemijski odvojene), ili odvojeni slojevi kože (obično debljine 200-400 µm) pripremljeni sa dermatomom. Puna debljina kože može da se koristi ali prekomerna debljina (približno više od 1 mm) se izbegava osim u slučaju specifičnog zahteva da se odredi ispitivana hemikalija u slojevima kože. Izbor vrste, anatomskog mesta i tehnika pripreme se opravdava. Potrebni su prihvatljivi podaci od najmanje četiri ponavljanja po ispitivanom preparatu.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1.4.4. Integritet preparata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Suštinsko je da se koža dobro pripremi. Neodgovarajuće rukovanje može da ima za posledicu oštećenje stratus corneuma i zbog toga integritet pripremljene kože se proverava. Kada se ispituje metabolizam kože, svež isečak kože se koristi što je pre moguće u uslovima za koje se zna da održavaju metabolizam kože. Kao opšte pravilo, svež isečak kože se koristi u okviru 24 sata, ali prihvatljiv period čuvanja može da varira zavisno od enzimskog sistema koji je uključen u metabolizam i temperature čuvanja</w:t>
      </w:r>
      <w:r w:rsidRPr="00984859">
        <w:rPr>
          <w:rFonts w:ascii="Arial" w:eastAsia="Times New Roman" w:hAnsi="Arial" w:cs="Arial"/>
          <w:b/>
          <w:bCs/>
          <w:sz w:val="15"/>
          <w:szCs w:val="15"/>
          <w:vertAlign w:val="superscript"/>
          <w:lang w:eastAsia="sr-Latn-RS"/>
        </w:rPr>
        <w:t>13</w:t>
      </w:r>
      <w:r w:rsidRPr="00984859">
        <w:rPr>
          <w:rFonts w:ascii="Arial" w:eastAsia="Times New Roman" w:hAnsi="Arial" w:cs="Arial"/>
          <w:lang w:eastAsia="sr-Latn-RS"/>
        </w:rPr>
        <w:t xml:space="preserve">. Kada se preparati kože čuvaju pre upotrebe, mora da postoji dokaz da je funkcija barijere očuvana.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1.4.5.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je entitet čije se penetracione karakteristike ispituju. Idealno, ispitivana supstanca je radioaktivno obeležena.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1.4.6. Ispitivani preparat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Preparat ispitivane supstance (npr. čista, razblažena ili formulisani materijal koji sadrži ispitivanu hemikaliju koja se primenjuje na kožu), je jednak (ili realna zamena) kao onaj kojem će biti eksponirani ljudi ili druga moguća ciljna vrsta. Svaka varijacija od preparata u upotrebi se opravdava.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1.4.7. Koncentracije ispitivane supstance i formulacije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više od jedne koncentracije ispitivane supstance koristi odražavajući gornju ili potencijalnu ekspoziciju ljudi. Razmatra se ispitivanje različitih tipičnih formulacija.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1.4.8. Primena na kožu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uobičajenim uslovima ljudske ekspozicije hemikalijama sreću se određene doze. Količina koja se primenjuje imitira moguću ekspoziciju kod ljudi, tipično 1 mg/cm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do 5 mg/cm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kože za čvrste ili 10 µl/cm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za tečnosti.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Količine se opravdavaju očekivanim uslovima primene, ciljevima studije ili fizičkim svojstvima ispitivanog preparata. Na primer, primene na površinu kože mogu biti neodređene u slučajevima gde se nanose velike zapremine po jedinici površine.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1.4.9.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pasivnu difuziju hemikalija (i apsorpciju kroz kožu) utiče temperatura. Difuziona komora i koža se održavaju na konstantnoj temperaturi koja je bliska temperaturi kože od 32° C ± 1° C. Različiti dizajn ćelija ima različite uslove vodenog kupatila ili temperaturnog bloka za obezbeđivanje održavanja temperature prijemnika i kože u fiziološkim granicama. Vlažnost je između 30% i 70%.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1.4.10. Trajanje ekspozicije i uzorkovanje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Ekspozicija kože ispitivanom preparatu može biti tokom celokupnog eksperimenta ili kraćeg perioda (tj. da bi se imitirala specifična vrsta ekspozicije ljudi). Koža se ispere od viška ispitivanog preparata odgovarajućim sredstvom za čišćenje, a ispirak se sakupi za analizu. Postupak uklanjanja ispitivanog preparata zavisi od očekivanog uslova kod primene i opravdava se. Period uzorkovanja od 24 sata je uobičajen da bi se obezbedila adekvatna karakterizacija profila apsorpcije. S obzirom da se integritet kože posle 24 sata narušava, vremena uzorkovanja ne treba da budu duža od 24 sata. Za ispitivane supstance koje prodiru u kožu brzo, ovo možda nije neophodno, ali za supstance koje prodiru sporo može da bude potrebno duže vreme. Učestalost uzimanja uzoraka prijemne tečnosti obezbeđuje grafičko prikazivanje apsorpcionog profila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1.4.11. Završni postupci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 delovi ispitivanog sistema se analiziraju i određuje se recovery. Ovo uključuje donorsku komoru, ispirak površine kože, preparat kože i prijemnu tečnost/komoru. U nekim slučajevima koža može da se razdvoji na izloženi deo i deo kože ispod ćelijskog oboda i na stratum corneum, epidermis i dermis radi zasebnih analiza.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1.4.12.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svim studijama treba postići odgovarajući recovery (npr. 100% ± 10% radiaoktivnosti i svako odstupanje se opravdava). Količina ispitivane supstance u prijemnoj tečnosti, preparatu kože, ispicima površine kože i ispirak aparature se analiziraju korišćenjem odgovarajuće tehnike.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Navode se: analiza prijemne tečnosti, distribucija ispitivane hemikalije u test sistemu i apsorpcioni profil u vremenu. Kada se koriste uslovi određene doze, izračunava se: količina isprana sa kože, količina združena sa kožom (i u različitim slojevima kože, ako se analizira) i količina prisutna u prijemnoj tečnosti (brzina, i količina ili procenat od primenjene doze). Apsorpcija kroz kožu može ponekad da se izrazi korišćenjem podataka dobijenih samo analizom prijemne tečnosti. Kada ispitivana supstanca ostane u koži na kraju studije, može da bude potrebno da se ta količina uključi u ukupnu apsorbovanu količinu (videti literaturu</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Kada se u ekspoziciji koriste uslovi neodređene doze, podaci će omogućiti izračunavanje konstante permeabilnosti (u daljem tekstu: Kp). Pod ovim uslovima, procenat koji je apsorbovan nije relevantan.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zahteve navedene u protokolu uključujući opravdanost sistema za testiranje koji je korišćen, a sadrži 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fizička i hemijska svojstva (najmanje molekulska masa i log Pow), čistoća (radiohemijska čistoća);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identifikaciji (npr. broj serije);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prijemnoj tečnosti.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Ispitivanom preparatu: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formulacija i opravdanost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homogenost.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izvori i predeo kože, metod pripreme, uslovi čuvanja pre upotrebe, pretretman (čišćenje, tretman antibioticima, itd.), merenja integriteta kože, metabolički status, opravdanost upotrebe;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dizajn ćelije, sastav prijemne tečnosti, brzina protoka prijemne tečnosti ili vremena uzorkovanja i postupci;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primene ispitivanog preparata i kvantifikacija primenjene doze;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trajanje ekspozicije;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uklanjanja ispitivanog preparata sa kože, tj. ispiranje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analize kože i tehnika frakcionisanja koje su korišćene da pokažu distribuciju u koži;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postupci za pranje ćelija i opreme;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za analizu, tehnike ekstrakcije, limiti detekcije i validacija analitičke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ukupan recovery eksperimenta (primenjena doza = ispirci kože + koža + prijemna tečnost + ispirci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tabeliranje individualnih recovery vrednosti ćelija za svaki kompartman;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apsorpcioni profil;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tabelirani podaci o apsorpciji (izraženi kao brzina, količina ili procenat).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Testing Method B.44. Skin Absorption: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OECD, (2002) Guidance Document for the Conduct of Skin Absorption Studies. OECD, Paris.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OECD, (2000) Report of the Meeting of the OECD Extended Steering Committee for Percutaneous Absorption Testing, Annex 1 to ENV/JM/TG(2000)5. OECD, Paris.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Kemppainen B.W. and Reifenrath W.G., (1990) Methods for skin absorption. CRC Press, Boca Raton.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Bronaugh R.L. and Collier, S.W., (1991) Protocol for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Percutaneous Absorption Studies, in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Percutaneous Absorption: Principles, Fundamentals and Applications, RL Bronaugh and HI Maibach, Eds., CRC Press, Boca Raton, p. 237-241.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Bronaugh R.L. and Maibach H.I., (1991)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Percutaneous Absorption: Principles, Fundamentals and Applications. CRC Press, Boca Raton.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European Centre for Ecotoxicology and Toxicology of Chemicals, (1993) Monograph No 20, Percutaneous Absorption, ECETOC, Brussels.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Diembeck W, Beck H, Benech-Kieffer F, Courtellemont P, Dupuis J, Lovell W, Paye M, Spengler J, Steiling W., (1999) Test Guidelines for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Assessment of Dermal Absorption and Percutaneous Penetration of Cosmetic Ingredients, Fd Chem Tox, 37, p. 191-205.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Recommended Protocol for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Percutaneous Absorption Rate Studies (1996). US Federal Register, Vol. 61, No 65.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Howes, D., Guy, R., Hadgraft, J., Heylings, J.R. et al. (1996). Methods for assessing Percutaneous absorption. ECVAM Workshop Report ATLA 24, 81 R10.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Schaefer, H. and Redelmeier, T.E., (1996). Skin barrier: principles of percutaneous absorption. Karger, Basel. (12) Roberts, M.S. and Walters, K.A., (1998). Dermal absorption and toxicity assessment. Marcel Dekker,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Jewell, C., Heylings, J.R., Clowes, H.M. and Williams, F.M. (2000). Percutaneous absorption and metabolism of dinitrochlorobenzene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Arch Toxicol 74, p. 356-365.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Slika 1: Primer tipičnog dizajna stičke difuzione ćelije za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studije perkutane apsorpcije.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7151F7CA" wp14:editId="709BF305">
            <wp:extent cx="5743575" cy="2552700"/>
            <wp:effectExtent l="0" t="0" r="9525" b="0"/>
            <wp:docPr id="86" name="Picture 86" descr="C:\Program Files (x86)\ParagrafLex\browser\Files\Old\t\t2013_12\t12_0570_s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Program Files (x86)\ParagrafLex\browser\Files\Old\t\t2013_12\t12_0570_s084.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3575" cy="25527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V.46. </w:t>
      </w:r>
      <w:r w:rsidRPr="00984859">
        <w:rPr>
          <w:rFonts w:ascii="Arial" w:eastAsia="Times New Roman" w:hAnsi="Arial" w:cs="Arial"/>
          <w:b/>
          <w:bCs/>
          <w:i/>
          <w:iCs/>
          <w:lang w:eastAsia="sr-Latn-RS"/>
        </w:rPr>
        <w:t>IN VITRO</w:t>
      </w:r>
      <w:r w:rsidRPr="00984859">
        <w:rPr>
          <w:rFonts w:ascii="Arial" w:eastAsia="Times New Roman" w:hAnsi="Arial" w:cs="Arial"/>
          <w:b/>
          <w:bCs/>
          <w:lang w:eastAsia="sr-Latn-RS"/>
        </w:rPr>
        <w:t xml:space="preserve"> IRITACIJA KOŽE: ISPITIVANJE NA MODELU REKONSTRUISANOG HUMANOG EPIDERMA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Iritacija kože jeste izazivanje reverzibilnog oštećenja kože nakon primene ispitivane supstance u trajanju do najviše 4 sata (prema definiciji datoj u Globalno harmonizovanom sistemu za klasifikaciju i obeležavanje hemikalija (u daljem tekstu: GHS) Ujedinjenih nacija (u daljem tekstu: UN), u daljem tekstu: UN GHS)</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Ova metoda ispitivanja predviđa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postupak koji u zavisnosti od zahtevanih podataka omogućava da se iritativno delovanje supstanci na kožu odredi nezavisnom zamenom za ispitivanje u okviru strategije ispitivanja, u skladu sa pristupom procene kvaliteta podataka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 iritacije kože do sada je uglavnom zahtevala korišćenje laboratorijskih životinja (videti metodu ispitivanja V.4. koja je data u ovom pravilniku)</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Vodeći računa o dobrobiti životinja metoda ispitivanja V.4. omogućava da se kod određivanja korozivnosti/iritacije kože primeni strategija višestepenog ispitivanja i koriste validirane metode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ex vivo</w:t>
      </w:r>
      <w:r w:rsidRPr="00984859">
        <w:rPr>
          <w:rFonts w:ascii="Arial" w:eastAsia="Times New Roman" w:hAnsi="Arial" w:cs="Arial"/>
          <w:lang w:eastAsia="sr-Latn-RS"/>
        </w:rPr>
        <w:t xml:space="preserve">, kako bi se izbegli bol i patnja životinja. Za ispitivanje korozivnosti u okviru strategije višestepenog ispitivanja iz metode V.4. korisne su tri validirane in vitro metode ispitivanja, odnosno smernice - V.40.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ispitivanje korozivnog oštećenja kože: ispitivanje transkutanog električnog otpora (TER), V.40.bis.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korozivno oštećenje kože: ispitivanje na modelu humane kože i metoda OECD: 435</w:t>
      </w:r>
      <w:r w:rsidRPr="00984859">
        <w:rPr>
          <w:rFonts w:ascii="Arial" w:eastAsia="Times New Roman" w:hAnsi="Arial" w:cs="Arial"/>
          <w:b/>
          <w:bCs/>
          <w:sz w:val="15"/>
          <w:szCs w:val="15"/>
          <w:vertAlign w:val="superscript"/>
          <w:lang w:eastAsia="sr-Latn-RS"/>
        </w:rPr>
        <w:t>4,5,6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zasniva se na modelima rekonstruisanog humanog epiderma koji u potpunosti (korišćenje keratinocita iz humanog epiderma kao izvora ćelija, reprezentativnog tkiva i citoarhitektura) imaju veoma slična biohemijska i fiziološka svojstva kao gornji delovi humane kože tj. epiderma. Postupak opisan u okviru ove metode ispitivanja omogućava da se utvrdi opasnost od iritativnih supstanci u skladu sa kategorijom 2 UN GHS.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ispitivanja obuhvata i niz referentnih standarda koji se koriste za procenu sličnih i modifikovanih metoda ispitivanja na osnovu rekonstruisanog humanog epiderma</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dve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metode ispitivanja</w:t>
      </w:r>
      <w:r w:rsidRPr="00984859">
        <w:rPr>
          <w:rFonts w:ascii="Arial" w:eastAsia="Times New Roman" w:hAnsi="Arial" w:cs="Arial"/>
          <w:b/>
          <w:bCs/>
          <w:sz w:val="15"/>
          <w:szCs w:val="15"/>
          <w:vertAlign w:val="superscript"/>
          <w:lang w:eastAsia="sr-Latn-RS"/>
        </w:rPr>
        <w:t>8,9,10,11,12,13,14,15,16,17</w:t>
      </w:r>
      <w:r w:rsidRPr="00984859">
        <w:rPr>
          <w:rFonts w:ascii="Arial" w:eastAsia="Times New Roman" w:hAnsi="Arial" w:cs="Arial"/>
          <w:lang w:eastAsia="sr-Latn-RS"/>
        </w:rPr>
        <w:t xml:space="preserve"> u kojima se koriste modeli rekonstruisanog humanog epiderma, koji su dostupni na tržištu kao EpiSkin</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i EpiDerm</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završene su studije predvalidacije, optimizacije i validacije. Gore pomenuta literatura zasniva se na obeležavanju R 38. Za potrebe GHS obrađeni su i određeni aspekti preračunavanja</w:t>
      </w:r>
      <w:r w:rsidRPr="00984859">
        <w:rPr>
          <w:rFonts w:ascii="Arial" w:eastAsia="Times New Roman" w:hAnsi="Arial" w:cs="Arial"/>
          <w:b/>
          <w:bCs/>
          <w:sz w:val="15"/>
          <w:szCs w:val="15"/>
          <w:vertAlign w:val="superscript"/>
          <w:lang w:eastAsia="sr-Latn-RS"/>
        </w:rPr>
        <w:t>25</w:t>
      </w:r>
      <w:r w:rsidRPr="00984859">
        <w:rPr>
          <w:rFonts w:ascii="Arial" w:eastAsia="Times New Roman" w:hAnsi="Arial" w:cs="Arial"/>
          <w:lang w:eastAsia="sr-Latn-RS"/>
        </w:rPr>
        <w:t>. Metode čije karakteristike odgovaraju metodi ispitivanja EpiSkin</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(validirana referentna metoda 1) preporučuju se kao nezavisna zamena za ispitivanje 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na kunićima za potrebe klasifikacije iritativnih supstanci u kategoriju 2 GHS. Metode čije su karakteristike jednake sa metodom EpiDerm</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(validirana referentna metoda 2), u odnosu na klasifikaciju iritativnih supstanci u kategoriju 2 GHS preporučuju se samo kao skrining test ili kao deo strategije višestepenog ispitivanja u okviru pristupa procene kvaliteta podataka. Da bi se predloženo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ispitivanje iritacije kože na modelu rekonstruisanog humanog epiderma moglo koristiti u svrhu sprovođenja propisa, potrebno je odrediti njegovu pouzdanost, relevantnost (tačnost) i ograničenja u odnosu na predloženi način korišćenja i uporediti ga sa validiranom referentnom metodom 1, u skladu sa standardima izvođenja utvrđenim u ovoj metodi ispitivanja (videti Dodatak koji je dat u ovoj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Još dve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metode ispitivanja na modelu rekonstruisanog humanog epiderma validirana su u skladu sa zahtevima ove metode ispitivanja i daju slične rezultate kao validirana referentna metoda 1</w:t>
      </w:r>
      <w:r w:rsidRPr="00984859">
        <w:rPr>
          <w:rFonts w:ascii="Arial" w:eastAsia="Times New Roman" w:hAnsi="Arial" w:cs="Arial"/>
          <w:b/>
          <w:bCs/>
          <w:sz w:val="15"/>
          <w:szCs w:val="15"/>
          <w:vertAlign w:val="superscript"/>
          <w:lang w:eastAsia="sr-Latn-RS"/>
        </w:rPr>
        <w:t>18</w:t>
      </w:r>
      <w:r w:rsidRPr="00984859">
        <w:rPr>
          <w:rFonts w:ascii="Arial" w:eastAsia="Times New Roman" w:hAnsi="Arial" w:cs="Arial"/>
          <w:lang w:eastAsia="sr-Latn-RS"/>
        </w:rPr>
        <w:t>. To su modifikovane metode ispitivanja EpiDerm</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(varijanta referentne metode 2) i metode ispitivanja SkinEthic RHE</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("me-too" metoda 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Pojedini izrazi upotrebljeni u ovoj metodi ispitivanja imaju sledeće značenje: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Tačnost jeste stepen ujednačenosti između rezultata metode ispitivanja i prihvaćenih referentnih vrednosti. Ona je merilo radnih karakteristika metode ispitivanja i jedan od aspekata relevantnosti. Ovaj termin se često koristi u istom značenju kao termin "usklađenost" kako bi se označio udeo tačnih rezultata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za kontrolu lota jeste referentna supstanca kod koje ćelije tkiva pokazuju srednji stepen vijabilnosti.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Vijabilnost ćelija jeste parametar za merenje ukupne aktivnosti populacije ćelija, npr. sposobnost ćelijskih mitohondrijalnih dehidrogenaza da redukuju vitalnu boju MTT (3 - (4,5 - dimetiltiazol-2-il) - 2,5 - difeniltetrazolijum bromid, tiazolil plavo;), koji je, u zavisnosti od efekta koji se meri i postavke ispitivanja, u korelaciji sa ukupnim brojem i/ili vitalnošću živih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jeste vreme izlaganja u kojem se vijabilnost ćelija smanjuje za 50% nakon primene marker supstance u unapred određenoj fiksnoj koncentraciji, videti takođe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Udeo lažno negativnih jeste udeo svih pozitivnih supstanci koje su metodom ispitivanja pogrešno identifikovane kao negativne. Ona je jedan od pokazatelja radnih karakteristika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Udeo lažno pozitivnih jeste udeo svih negativnih (neaktivnih) supstanci koje su metodom ispitivanja pogrešno identifikovane kao pozitivne. Ona je jedan od pokazatelja radnih karakteristika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Beskonačna doza jeste količina ispitivane supstance nanesena na kožu koja prelazi količinu koja je potrebna da se potpuno i ravnomerno prekrije površina kože.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Globalno harmonizovani sistem za klasifikaciju i obeležavanje hemikalija (u daljem tekstu: GHS) jeste sistem koji predlaže klasifikaciju hemikalija (supstanci i smeša) prema standardizovanim vrstama i nivoima fizičkih opasnosti i opasnosti po zdravlje ljudi i životnu sredinu, koji obuhvata i odgovarajuće elemente komunikacije kao što su piktogrami, reči upozorenja, obaveštenja o opasnosti, obaveštenja o merama predostrožnosti i bezbednosni listovi, da bi se prenela informacija o njihovim štetnim efektima sa ciljem da se zaštiti zdravlje ljudi (uključujući poslodavce, radnike, prevoznike, potrošače i pružaoce pomoći u vanrednim situacijama) i životna sredina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a koji je transponovan u domaće zakonodavstvo pravilnikom kojim se uređuju klasifikacija, pakovanje i obeležavanje hemikalija u skladu sa Globalno harmonizovanim sistemom za klasifikaciju i obeležavanje UN.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jeste koncentracija pri kojoj marker supstanca smanjuje vijabilnost tkiva za 50%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nakon fiksnog vremena izlaganja, videti takođe 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Standardi izvođenja jesu standardi na osnovu validirane referentne metode koji čine osnovu za ocenjivanje uporedivosti predložene metode ispitivanja koja je po mehanizmu i funkcionalno slična proverenoj referentnoj metodi. Oni obuhvataju: 1) važne elemente metode ispitivanja, 2) minimalni spisak referentnih supstanci izabranih među supstancama koje su korišćene za dokazivanje prihvatljivih karakteristika validirane referentne metode i 3) uporedive nivoe tačnosti i pouzdanosti koje pokazuje predložena metoda ispitivanja kod ocenjivanja primenom minimalnog spiska referentnih supstanci u odnosu na validiranu referentnu metodu.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Pouzdanost pokazuje u kojoj meri metoda ispitivanja može ponovo da se primeni unutar jedne laboratorije i između više laboratorija u određenom vremenu uz primenu iste procedure. Ona se ocenjuje izračunavanjem ponovljivosti unutar jedne laboratorije i između više laboratorija.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Osetljivost jeste udeo svih pozitivnih/aktivnih supstanci koje su pravilno klasifikovane primenom ispitivanja. To je mera tačnosti metode ispitivanja koja daje precizne rezultate po kategorijama i predstavlja važan faktor za ocenu relevantnosti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Specifičnost jeste udeo svih negativnih/neaktivnih supstanci koje su pravilno klasifikovane primenom ispitivanja. To je mera tačnosti metode ispitivanja koja daje precizne rezultate i predstavlja važan faktor za ocenu relevantnosti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Iritacija kože predstavlja nastanak reverzibilnog oštećenja kože nakon primene ispitivane supstance u trajanju do najviše 4 sata. Iritacija kože je lokalna neimunogena reakcija koja se javlja ubrzo nakon stimulacije</w:t>
      </w:r>
      <w:r w:rsidRPr="00984859">
        <w:rPr>
          <w:rFonts w:ascii="Arial" w:eastAsia="Times New Roman" w:hAnsi="Arial" w:cs="Arial"/>
          <w:b/>
          <w:bCs/>
          <w:sz w:val="15"/>
          <w:szCs w:val="15"/>
          <w:vertAlign w:val="superscript"/>
          <w:lang w:eastAsia="sr-Latn-RS"/>
        </w:rPr>
        <w:t>24</w:t>
      </w:r>
      <w:r w:rsidRPr="00984859">
        <w:rPr>
          <w:rFonts w:ascii="Arial" w:eastAsia="Times New Roman" w:hAnsi="Arial" w:cs="Arial"/>
          <w:lang w:eastAsia="sr-Latn-RS"/>
        </w:rPr>
        <w:t xml:space="preserve">. Njena glavna karakteristika je reverzibilan proces koji uključuje inflamatorne reakcije i većinu karakterističnih kliničkih znakova iritacije (eritem, edem, svrab i bol) koji se povezuju sa upalnim procesom.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PODRUČJE PRIMENE I OGRANIČENJA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Ograničenje ispitivanja sa rekonstruisanim humanim epidermom u skladu sa ovom metodom ispitivanja sastoji se u tome što se pomoću njih supstance mogu klasifikovati samo u kategoriju 2 iritacija kože u okviru sistema UN GHS. Budući da ova ispitivanja ne omogućavaju klasifikaciju supstanci u moguću kategoriju 3 prema definiciji UN GHS, sve ostale supstance će ostati neklasifikovane (izvan kategorije). Ova metoda ispitivanja se revidira u zavisnosti od propisanih zahteva i mogućeg uključivanja novih efekata, poboljšanja ili razvoja novih alternativnih "me-too"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Ova metoda ispitivanja omogućava da se utvrdi opasnost monokonstituentnih iritativnih supstanci</w:t>
      </w:r>
      <w:r w:rsidRPr="00984859">
        <w:rPr>
          <w:rFonts w:ascii="Arial" w:eastAsia="Times New Roman" w:hAnsi="Arial" w:cs="Arial"/>
          <w:b/>
          <w:bCs/>
          <w:sz w:val="15"/>
          <w:szCs w:val="15"/>
          <w:vertAlign w:val="superscript"/>
          <w:lang w:eastAsia="sr-Latn-RS"/>
        </w:rPr>
        <w:t>19</w:t>
      </w:r>
      <w:r w:rsidRPr="00984859">
        <w:rPr>
          <w:rFonts w:ascii="Arial" w:eastAsia="Times New Roman" w:hAnsi="Arial" w:cs="Arial"/>
          <w:lang w:eastAsia="sr-Latn-RS"/>
        </w:rPr>
        <w:t xml:space="preserve">, ali ne pruža odgovarajuće informacije o iritaciji kože. Gasovi i aerosoli ne mogu se ispitivati, a smeše još nisu procenjene u studiji validacije.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topikalno nanosi na trodimenzionalni model rekonstruisanog humanog epiderma, koji čine obični humani epidermalni keratinociti uzgojeni radi dobijanja visoko izdiferenciranog modela humanog epiderma. Sastoji se od organizovanih bazalnih, nazubljenih i zrnastih slojeva i višeslojnog rožnatog sloja (stratum corneum) koji sadrži međućelijske lamelarne masne slojeve raspoređene analogno obrascu koji se nalazi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Princip ispitivanja na modelu rekonstruisanog humanog epiderma zasniva se na pretpostavci da iritativne supstance mogu da difuzijom prodru u rožnati sloj i da su citotoksične za ćelije u nižim slojevima. Vijabilnost ćelija meri se pretvaranjem vitalne boje MTT [3-(4,5-dimetiltiazol-2-il)-2,5-difeniltetrazolijum bromid, tiazolil plava; EINECS broj 206-069-5, CAS broj 298-93-1)] u plavu so formazana delovanjem dehidrogenaze, koja se kvantitativno meri nakon ekstrakcije iz tkiva</w:t>
      </w:r>
      <w:r w:rsidRPr="00984859">
        <w:rPr>
          <w:rFonts w:ascii="Arial" w:eastAsia="Times New Roman" w:hAnsi="Arial" w:cs="Arial"/>
          <w:b/>
          <w:bCs/>
          <w:sz w:val="15"/>
          <w:szCs w:val="15"/>
          <w:vertAlign w:val="superscript"/>
          <w:lang w:eastAsia="sr-Latn-RS"/>
        </w:rPr>
        <w:t>20</w:t>
      </w:r>
      <w:r w:rsidRPr="00984859">
        <w:rPr>
          <w:rFonts w:ascii="Arial" w:eastAsia="Times New Roman" w:hAnsi="Arial" w:cs="Arial"/>
          <w:lang w:eastAsia="sr-Latn-RS"/>
        </w:rPr>
        <w:t xml:space="preserve">. Iritativne supstance prepoznaju se po tome što snižavaju vijabilnost ćelija ispod definisanih pragova (tj. £ 50% za kategoriju 2 iritativnih supstanci UN GHS). Supstance koje prouzrokuju vijabilnost ćelija iznad definisanog praga se ne klasifikuju (tj. &gt; 50%, izvan kategorije).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Sistemi koji se zasnivaju na modelu rekonstruisanog humanog epiderma mogu se koristiti za ispitivanje čvrstih supstanci, tečnosti, polučvrstih supstanci i voskova. Tečnosti mogu biti vodene i bezvodne; čvrste supstance mogu biti rastvorljive ili nerastvorljive u vodi. Kad god je moguće čvrste supstance se ispituju u obliku sitnog praha. Budući da je validacijom sistema ispitivanja na modelu rekonstruisanog humanog epiderma obuhvaćeno 58 pažljivo odabranih supstanci koje predstavljaju širok spektar hemijskih klasa, očekuje se da će metode biti opšte primenjljive u svim hemijskim klasama</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xml:space="preserve">. Validacijom je obuhvaćeno 13 iritativnih supstanci iz kategorije 2 u skladu sa GHS. U validaciju nisu uključene kiseline koje nisu korozivne, baze, soli i druge neorganske supstance kao i neke poznate klase organskih iritativnih supstanci, kao što su hidroperoksidi, fenoli i surfaktanti, ili su uključeni samo u ograničenoj meri.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DOKAZIVANJE OSPOSOBLJENOSTI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Poželjno je da laboratorije pre rutinske primene validiranog metoda koji ispunjava zahteve ove metode ispitivanja dokažu tehničku osposobljenost na deset preporučenih supstanci koje su navedene u Tabeli 1. U okviru ove metode ispitivanja, opciona kategorija 3 UN GHS ne smatra se kategorijom. Da bi se nove istovetne ("me-too") metode ispitivanja razvijene iz ove metode ispitivanja, pošto su strukturno i funkcionalno slične validiranim referentnim metodama, kao i modifikovane validirane metode, mogle koristiti u ispitivanjima za ispunjavanje propisanih zahteva, potrebno je dokazati uporedivu pouzdanost i tačnost nove metode primenom referentnih standarda navedenih u Dodatku koji je dat u Delu drugom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Supstance za proveru tehničke osposobljenosti, koje predstavljaju podskup referentnih supstanci iz Dodatka koji je dat u ovoj metodi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870"/>
        <w:gridCol w:w="1194"/>
        <w:gridCol w:w="1346"/>
        <w:gridCol w:w="1937"/>
        <w:gridCol w:w="1785"/>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broj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Skor </w:t>
            </w:r>
            <w:r w:rsidRPr="00984859">
              <w:rPr>
                <w:rFonts w:ascii="Arial" w:eastAsia="Times New Roman" w:hAnsi="Arial" w:cs="Arial"/>
                <w:i/>
                <w:iCs/>
                <w:lang w:eastAsia="sr-Latn-RS"/>
              </w:rPr>
              <w:t>in vivo</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Agregatno stanje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GHS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naftalen-sirćetna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86-87-3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izopropanol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67-63-0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metil-stearat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112-61-8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heptil-butirat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5870-93-9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Opciona kat. 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heksil-salicilat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6259-76-3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Opciona kat. 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ciklamen-aldehid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103-95-7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1-bromheksan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111-25-1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butil-metakrilat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97-88-1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1-metil-3-fenil-1-piperazin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5271-27-2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heptanal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111-71-7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bl>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Dat je opis elemenata i postupaka u vezi sa ispitivanjem na modelu rekonstruisanog humanog epiderma za potrebe ocenjivanja iritacije kože. Model rekonstruisanog humanog epiderma može se izraditi, preparirati ili nabaviti na tržištu (npr. EpiSkin</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EpiDerm</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i SkinEthic RHE</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Standardni protokoli ispitivanja za EpiSkin</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EpiDerm</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i SkinEthic RHE</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mogu se preuzeti sa interneta (http://ecvam.jrc.ec.europa.eu</w:t>
      </w:r>
      <w:r w:rsidRPr="00984859">
        <w:rPr>
          <w:rFonts w:ascii="Arial" w:eastAsia="Times New Roman" w:hAnsi="Arial" w:cs="Arial"/>
          <w:b/>
          <w:bCs/>
          <w:sz w:val="15"/>
          <w:szCs w:val="15"/>
          <w:vertAlign w:val="superscript"/>
          <w:lang w:eastAsia="sr-Latn-RS"/>
        </w:rPr>
        <w:t>21,22,23</w:t>
      </w:r>
      <w:r w:rsidRPr="00984859">
        <w:rPr>
          <w:rFonts w:ascii="Arial" w:eastAsia="Times New Roman" w:hAnsi="Arial" w:cs="Arial"/>
          <w:lang w:eastAsia="sr-Latn-RS"/>
        </w:rPr>
        <w:t xml:space="preserve">). Ispitivanje se izvodi na sledeći način: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Elementi modela rekonstruisanog humanog epiderma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Opšti uslovi koje ispunjava model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izgradnju epitela koriste se normalni tipovi humanih keratinocita. Ispod funkcionalnog rožnatog sloja </w:t>
      </w:r>
      <w:r w:rsidRPr="00984859">
        <w:rPr>
          <w:rFonts w:ascii="Arial" w:eastAsia="Times New Roman" w:hAnsi="Arial" w:cs="Arial"/>
          <w:i/>
          <w:iCs/>
          <w:lang w:eastAsia="sr-Latn-RS"/>
        </w:rPr>
        <w:t>(stratum corneum)</w:t>
      </w:r>
      <w:r w:rsidRPr="00984859">
        <w:rPr>
          <w:rFonts w:ascii="Arial" w:eastAsia="Times New Roman" w:hAnsi="Arial" w:cs="Arial"/>
          <w:lang w:eastAsia="sr-Latn-RS"/>
        </w:rPr>
        <w:t xml:space="preserve"> nalaze se višestruki slojevi vitalnih epitelnih ćelija (bazalni sloj, nazubljen sloj, zrnasti sloj). Rožnati sloj je višeslojan i sadrži esencijalni profil lipida da bi proizveo čvrstu funkcionalnu barijeru sposobnu da zaustavi brzi prodor citotoksičnih marker supstanci, npr. natrijum dodecil sulfat (SDS) ili Triton X-100. Funkcija barijere može se oceniti određivanjem koncentracije marker supstance koja smanjuje vijabilnost tkiva za 50%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nakon fiksnog vremena izlaganja ili određivanjem vremena izlaganja koje je potrebno da se vijabilnosti tkiva smanji za 50% (ET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nakon primene marker supstance u unapred određenoj fiksnoj koncentraciji. Model mora biti dovoljno nepropustan da spreči prolazak materijala oko rožnatog sloja do vitalnog tkiva, jer bi to značilo loše modeliranje izlaganja kože. Model kože ne sme biti kontaminiran bakterijama, virusima, mikoplazmama ili gljivicama.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Funkcionalni uslovi koje ispunjava model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1.6.1.2.1. Vijabilnost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Poželjna analiza za određivanje stepena vijabilnosti je MTT ispitivanje</w:t>
      </w:r>
      <w:r w:rsidRPr="00984859">
        <w:rPr>
          <w:rFonts w:ascii="Arial" w:eastAsia="Times New Roman" w:hAnsi="Arial" w:cs="Arial"/>
          <w:b/>
          <w:bCs/>
          <w:sz w:val="15"/>
          <w:szCs w:val="15"/>
          <w:vertAlign w:val="superscript"/>
          <w:lang w:eastAsia="sr-Latn-RS"/>
        </w:rPr>
        <w:t>20</w:t>
      </w:r>
      <w:r w:rsidRPr="00984859">
        <w:rPr>
          <w:rFonts w:ascii="Arial" w:eastAsia="Times New Roman" w:hAnsi="Arial" w:cs="Arial"/>
          <w:lang w:eastAsia="sr-Latn-RS"/>
        </w:rPr>
        <w:t xml:space="preserve">. Optička gustina (u daljem tekstu: OD) ekstrahovane (rastvorene) boje iz tkiva obrađivanog negativnom kontrolom (u daljem tekstu: NC) je najmanje 20 puta veća od vrednosti OD samog ekstrakcionog rastvarača. Potrebno je dokumentovati da je tkivo obrađivano negativnom kontrolom stabilno u kulturi (tj. daje slična merenja vijabilnosti) za vreme trajanja ispitivanog izlaganja.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1.6.1.2.2. Funkcija barijere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Rožnati sloj i njegov sastav lipida mora biti sposoban da zaustavi brzi prodor citotoksičnih marker supstanci, npr. SDS ili Triton X-100, procenjeno na osnovu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ili 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1.6.1.2.3. Morfologija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Histološki pregled rekonstruisane kože/epiderma vrše osposobljena lica, pri čemu ovaj pregled dokazuje da je struktura rekonstruisane kože/epiderma slična strukturi humane kože/epiderma (uključujući višeslojni rožnati sloj).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1.6.1.2.4. Ponovljivost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Dokazuje se da su rezultati metode kod primene određenog modela ponovljivi u vremenu, po mogućnosti pomoću odgovarajuće supstance za kontrolu lota (referentne supstance) (videti Dodatak koji je dat u ovoj metodi).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1.6.1.2.5. Kontrole kvaliteta (KK) modela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Svaka serija modela epiderma ispunjava definisane kriterijume za odobrenje proizvoda, među kojima su najvažniji vijabilnost (odeljak 1.6.1.2.1. ove metode) i funkcija barijere (odeljak 1.6.1.2.2. ove metode). Opseg prihvatljivosti (gornja i donja granica prihvatljivosti) za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odnosno 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određuje snabdevač modela kože (ili istraživač, ako se koristi sopstveni model). Svojstvo barijere tkiva proverava laboratorija po prijemu tkiva. Za pouzdano predviđanje iritativnih efekata prihvatljivi su isključivo rezultati dobijeni sa tkivima koja ispunjavaju zadate kriterijume. Kao primer u daljem tekstu navedeni su opsezi prihvatljivosti za validirane referentne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2. Primeri kriterijuma za odobrenje lota u okviru kontrole kvaliteta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89"/>
        <w:gridCol w:w="1951"/>
        <w:gridCol w:w="1903"/>
        <w:gridCol w:w="198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Donja granica prihvatljivosti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vrednost područja </w:t>
            </w:r>
            <w:r w:rsidRPr="00984859">
              <w:rPr>
                <w:rFonts w:ascii="Arial" w:eastAsia="Times New Roman" w:hAnsi="Arial" w:cs="Arial"/>
                <w:lang w:eastAsia="sr-Latn-RS"/>
              </w:rPr>
              <w:br/>
              <w:t xml:space="preserve">prihvatljivosti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Gornja granica prihvatljivosti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Validirana referentna metoda 1 (18-časovna obrada SDS-om)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1,0 mg/ml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2,32 mg/ml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3,0 mg/ml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Validirana referentna metoda 2 (1% triton X-100)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4,8 hr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6,7 hr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8,7 hr </w:t>
            </w:r>
          </w:p>
        </w:tc>
      </w:tr>
    </w:tbl>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Primena ispitivanih i kontrolnih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svakoj obradi i kontrolama upotrebljava se dovoljan broj replika tkiva (najmanje tri po ispitivanju). Bilo da se radi o tečnostima ili o čvrstim supstancama, nanosi se dovoljna količina ispitivane supstance da površina kože bude ravnomerno prekrivena, ali pazi se da se izbegne beskonačna doza (videti odeljak 1.2. ove metode), tj. najmanje 25 μL/cm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ili 25 mg/cm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U slučaju čvrstih supstanci površina epiderma se pre nanošenja navlaži dejonizovanom ili destilovanom vodom kako bi se obezbedilo dobro prijanjanje uz kožu. Kad god je to moguće čvrste supstance se ispituju u obliku sitnog praha. Na kraju perioda izlaganja, ispitivana supstanca se pažljivo opere sa površine kože vodenim pufer rastvorom ili 0,9%-tnom NaCl. Zavisno od modela rekonstruisanog humanog epiderma koji se koristi, period izlaganja može biti između 15 i 60 minuta, a temperatura inkubacije između 20° C i 37°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svakoj studiji se paralelno koriste negativne kontrole (u daljem tekstu: NC) i pozitivne kontrole (u daljem tekstu: PC) kako bi se dokazalo da se vijabilnost (NC), funkcija barijere i rezultujuća osetljivost tkiva (PC) kreću u okvirima opsega prihvatljivosti ranijih ispitivanja. Predlaže se da se kao PC supstanca koristi 5%-tni vodeni rastvor SDS. Predložene NC supstance su voda ili rastvor soli puferisan fosfatom (PBS).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Merenja vijabilnosti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Najvažniji element postupka ispitivanja je da se merenja vijabilnosti ne vrše neposredno nakon izlaganja ispitivanoj supstanci, već nakon dovoljno dugog perioda inkubacije nakon obrade tokom koje se oprana tkiva drže u svežem medijumu. Ovaj period ostavlja dovoljno vremena da se tkivo oporavi od slabih iritativnih efekata, ali i da se pojave jasni znakovi citotoksičnih efekata. U fazi opitimizacije ispitivanja</w:t>
      </w:r>
      <w:r w:rsidRPr="00984859">
        <w:rPr>
          <w:rFonts w:ascii="Arial" w:eastAsia="Times New Roman" w:hAnsi="Arial" w:cs="Arial"/>
          <w:b/>
          <w:bCs/>
          <w:sz w:val="15"/>
          <w:szCs w:val="15"/>
          <w:vertAlign w:val="superscript"/>
          <w:lang w:eastAsia="sr-Latn-RS"/>
        </w:rPr>
        <w:t xml:space="preserve">9,10,11,12,13 </w:t>
      </w:r>
      <w:r w:rsidRPr="00984859">
        <w:rPr>
          <w:rFonts w:ascii="Arial" w:eastAsia="Times New Roman" w:hAnsi="Arial" w:cs="Arial"/>
          <w:lang w:eastAsia="sr-Latn-RS"/>
        </w:rPr>
        <w:t xml:space="preserve">pokazalo se da je optimalni period inkubacije nakon obrade 42 sata i to je korišćeno i kod validacije referentnih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Test konverzije MTT je kvantitativni validirani metod za merenje vijabilnosti ćelija. Taj test odgovara za trodimenzionalni model tkiva. Uzorak kože se stavi u rastvor MTT odgovarajuće koncentracije (npr. 0,3 mg/mL - 1 mg/mL) i ostavi tri sata. Nataloženi plavi formazan se zatim ekstrahuje iz tkiva pomoću rastvarača (npr izopropanol, kiseli izopropanol) pa se koncentracija formazana izmeri određivanjem vrednosti OD na 570 nm uz propusnik opsega do najviše ± 30 nm.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Optička svojstva ispitivane supstance, odnosno njeno hemijsko delovanje na MTT mogu ometati analizu i dovesti do pogrešne procene vijabilnosti (budući da ispitivana supstanca može da spreči ili okrene proces nastajanja boje, ali i da ga izazove). To se može dogoditi kad se određena ispitivana supstanca ne spere u potpunosti s kože ili prodre u epiderm. Ako ispitivana supstanca direktno deluje na MTT ili je prirodno obojena ili se oboji tokom obrade tkiva, upotrebljavaju se dodatne kontrole kako bi se utvrdio i ispravio uticaj ispitivane supstance na mernu tehniku koja se koristi za merenje vijabilnosti. Detaljan opis ispitivanja direktne redukcije MTT može se naći u protokolu ispitivanja za validirane referentne metode</w:t>
      </w:r>
      <w:r w:rsidRPr="00984859">
        <w:rPr>
          <w:rFonts w:ascii="Arial" w:eastAsia="Times New Roman" w:hAnsi="Arial" w:cs="Arial"/>
          <w:b/>
          <w:bCs/>
          <w:sz w:val="15"/>
          <w:szCs w:val="15"/>
          <w:vertAlign w:val="superscript"/>
          <w:lang w:eastAsia="sr-Latn-RS"/>
        </w:rPr>
        <w:t>21,22,23</w:t>
      </w:r>
      <w:r w:rsidRPr="00984859">
        <w:rPr>
          <w:rFonts w:ascii="Arial" w:eastAsia="Times New Roman" w:hAnsi="Arial" w:cs="Arial"/>
          <w:lang w:eastAsia="sr-Latn-RS"/>
        </w:rPr>
        <w:t xml:space="preserve">. Nespecifična boja (Non-specific colour - NSC) usled tih uticaja ne sme da pređe 30% NC (za ispravke). Ako je NSC &gt; 30% smatra se da ispitivana supstanca nije odgovarajuća za ovu metodu.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1.6.1.5. Kriterijumi za prihvatanje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svakom istraživanju sa dobrim serijama (videti odeljak 1.6.1.2.5. ove metode) vrednost OD tkiva obrađenih negativnom kontrolom ukazuje na kvalitet tkiva nakon što su završeni svi koraci isporuke i preuzimanja i čitav postupak u skladu s protokolom za ispitivanje iritacije. Vrednosti OD kontrola ne smeju biti ispod propisanih donjih granica. Isto tako, tkiva obrađena pozitivnom kontrolom tj. 5%-tnim vodenim rastvorom SDS pokazuju zadržanu osetljivost tkiva i sposobnost da reaguju na iritativne supstance u uslovima svakog pojedinačnog ogleda (npr. vijabilnost £ 40% za proverenu referentnu metodu 1 i £ 20% za validiranu referentnu metodu 2). Potrebno je definisati odgovarajuće mere varijabilnosti između uzoraka tkiva u ponavljanjima (npr. ako se koriste standardne devijacije, one su £ 18%).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pojedinačnih uzoraka ponavljanja ispitivanja u svakoj obradi (npr. vrednosti OD i izračunati procenti vijabilnosti ćelija za svaku ispitivanu supstancu, zajedno sa klasifikacijom) prikazuju se u tabelarnom obliku, uključujući eventualne podatke iz ponovljenih ogleda. Osim toga, za svaki ogled se navode srednje vrednosti ± standardna devijacija. Za svaku ispitivanu supstancu se navode zapažene interakcije s MTT reagensom i obojenim ispitivanim supstancama.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osnovu vrednosti OD za pojedinačne ispitivane uzorke može se izračunati procenat vijabilnosti u odnosu na NC, koja je određena kao 100%. Potrebno je jasno utvrditi i </w:t>
      </w:r>
      <w:r w:rsidRPr="00984859">
        <w:rPr>
          <w:rFonts w:ascii="Arial" w:eastAsia="Times New Roman" w:hAnsi="Arial" w:cs="Arial"/>
          <w:lang w:eastAsia="sr-Latn-RS"/>
        </w:rPr>
        <w:lastRenderedPageBreak/>
        <w:t xml:space="preserve">dokumentovati prelomnu vrednost procenta vijabilnosti ćelije koja se koristi za razlikovanje iritativne supstance od neklasifikovanih ispitivanih supstanci i statistički postupak ili postupke koji su korišćeni za vrednovanje rezultata i identifikaciju iritativnih supstanci i dokazati da su one odgovarajuće. Prelomne vrednosti za predviđanje iritacije u vezi s validiranim referentnim metodama: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Smatra se da je ispitivana supstanca iritativna za kožu kategorija 2 UN GHS ako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vijabilnost tkiva nakon izlaganja i inkubacije nakon obrade manja ili jednaka (≤) 50%.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Smatra se da je ispitivana supstanca van kategorije: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ako je vijabilnost tkiva nakon izlaganja i inkubacije nakon obrade viša od (&gt;) 50%.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Ispitivanim i kontrolnim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hemijski naziv, npr. naziv iz nomenklature IUPAC ili CAS naziv i CAS broj, ako su poznati;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čistoća i sastav supstance (u masenom procentu/tima);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i hemijska svojstva važna za sprovođenje istraživanja (npr. agregatno stanje, stabilnost i isparljivost, pH, rastvorljivost u vodi, ako su poznati);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obrada ispitivanih/kontrolnih supstanci pre ispitivanja, prema potrebi (npr. zagrevanje, usitnjavanje);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 skladištenja.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Obrazloženju modela kože i protokolu koji je primenjen.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ćelijski sistem koji je upotrebljen;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informacije o kalibraciji mernog uređaja i talasnoj dužini koja je upotrebljena kod merenja vijabilnosti ćelija (npr. spektrofotometar);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potpune propratne informacije o konkretnom kožnom modelu koji je korišćen, uključujući njegove performanse. To naročito uključuje podatke: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vijabilnost;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funkcija barijere;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morfologija;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ponovljivost i predvidljivost;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(5) kontrole kvaliteta (KK) modela;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postupka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doze ispitivanja, trajanje izlaganja i period inkubacije nakon obrade;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mogućih izmena postupka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upućivanje na postojeće podatke o modelu; što naročito uključuje: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prihvatljivost podataka o kontroli kvaliteta sa upućivanjem na postojeće podatke o seriji;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prihvatljivost vrednosti pozitivnih i negativnih kontrola sa upućivanjem na srednje vrednosti i opsega za pozitivne i negativne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primenjenih kriterijuma vrednovanja, uključujući obrazloženje odabrane(ih) granične(ih) vrednosti modela predviđanja.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prikaz podataka za pojedinačne uzorke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drugih uočenih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Obrazloženju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United Nations (UN) (2007). Globally Harmonized System of Classification and Labelling of Chemicals (GHS), Second revised edition, UN New York and Geneva, 2007. Available at: http://www.unece.org/trans/danger/publi/ghs/ghs_rev02/02files_e.html.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REACH: Guidance on Information Requirements and Chemical Safety Assessment. Available at: http://guidance.echa.europa.eu/docs/guidance_document/information_requirements_en.htm?time=1232447649.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Test Method B.4. ACUTE TOXICITY; DERMAL IRRITATION/CORROSION.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Test Method B.40. IN VITRO SKIN CORROSION: TRANSCUTANEOUS ELECTRICAL RESISTANCE TEST TER.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Test Method B.40 BIS. IN VITRO SKIN CORROSION: HUMAN SKIN MODEL TEST.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OECD (2006). Test Guideline 435. OECD Guideline for the Testing of Chemicals. In Vitro Membrane Barrier Test Method. Adopted July 19, 2006. Available at: http://www.oecd.org/document/22/0,2340,en_2649_34377_1916054_1_1_1_1,00.html.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ECVAM (2009) Performance Standards for applying human skin models to in vitro skin irritation. Available under Download Study Documents, at: http://ecvam.jrc.ec.europa.eu.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8. Fentem, J.H., Briggs, D., Chesné, C., Elliot, G.R., Harbell, J.W., Heylings, J.R., Portes, P., Roguet, R., van de Sandt, J.J.M. &amp; Botham, P. (2001). A prevalidation study on in vitro tests for acute skin irritation. Results and evaluation by the Management Team. Toxicology in Vitro 15, 57-93.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Portes, P., Grandidier, M.H., Cohen, C. &amp; Roguet, R.(2002). Refinement of the EPISKIN protocol for the assessment of acute skin irritation of chemicals: follow-up to the ECVAM prevalidation study. Toxicology in Vitro 16, 765-770.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Kandárová, H., Liebsch, M., Genschow, E., Gerner, I., Traue, D., Slawik, B. &amp; Spielmann, H. (2004). Optimisation of the EpiDerm test protocol for the upcoming ECVAM validation study on in vitro skin irritation tests. ALTEX 21, 107-114.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Kandárová, H., Liebsch, M., Gerner, I., Schmidt, E., Genschow, E., Traue, D. &amp; Spielmann H. (2005) The EpiDerm Test Protocol fort the Upcoming ECVAM Validation Study on In Vitro Skin Irritation Tests - An Assessment of the Performance of the Optimised Test. ATLA 33, 351-367.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Cotovio, J., Grandidier, M.-H., Portes, P., Roguet, R. &amp; G. Rubinsteen. (2005). The In Vitro Acute Skin Irritation of Chemicals: Optimisation of the EPISKIN Prediction Model within the Framework of the ECVAM Validation Process. ATLA 33, 329-249.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Zuang, V., Balls, M., Botham, P.A., Coquette, A., Corsini, E., Curren, R.D., Elliot, G.R., Fentem, J.H., Heylings, J.R., Liebsch, M., Medina, J., Roguet, R., van De Sandt, J.J.M., Wiemann, C. &amp; Worth, A.(2002). Follow-up to the ECVAM prevalidation study on in vitro tests for acute skin irritation. ECVAM Skin Irritation Task Force Report 2. ATLA 30,109-129.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Spielmann, H., Hoffmann, S., Liebsch, M., Botham, P., Fentem, J., Eskes, C., Roguet, R., Cotovió, J., Cole, T., Worth, A., Heylings, J., Jones, P., Robles, C., Kandárová, H., Gamer, A., Remmele, M., Curren, R., Raabe, H., Cockshott, A., Gerner, I. and Zuang, V. (2007) The ECVAM International Validation Study on In Vitro Tests for Acute Skin Irritation: Report on the Validity of the EPISKIN and EpiDerm Assays and on the Skin Integrity Function Test. ATLA 35, 559-601.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Hoffmann, S. (2006). ECVAM Skin Irritation Validation Study Phase II: Analysis of the Primary Endpoint MTT and the Secondary Endpoint IL1-α. 135 pp. + annexes. Available under Download Study Documents, at: http://ecvam.jrc.ec.europa.eu.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Eskes, C., Cole, T., Hoffmann, S., Worth, A., Cockshott, A., Gerner, I. &amp; Zuang. V (2007) ECVAM International Validation Study on In Vitro Tests for Acute Skin Irritation: Selection of Test Chemicals. ATLA 35, 603-619.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J. Cotovio, M.-H. Grandidier, D. Lelièvre, R. Roguet, E. Tinois-Tessonneaud, J. Leclaire (2007). In vitro acute skin irritancy of chemicals using the validated EPISKIN model in a tiered strategy - Results and performances with 184 cosmetic ingredients, AATEX, Special Issue-proceedings from WC6. Vol.14, 351-358.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ESAC statement on updated EpiDerm and similar SkinEthic assays. 5 November 2008.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EC (2006).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w:t>
      </w:r>
      <w:r w:rsidRPr="00984859">
        <w:rPr>
          <w:rFonts w:ascii="Arial" w:eastAsia="Times New Roman" w:hAnsi="Arial" w:cs="Arial"/>
          <w:lang w:eastAsia="sr-Latn-RS"/>
        </w:rPr>
        <w:lastRenderedPageBreak/>
        <w:t xml:space="preserve">Directives 91/155/EEC, 93/67/EEC, 93/105/EC and 2000/21/EC. Official Journal of the European Union L 396 of 30 December 2006, p. 1. OPOCE, Luxembourg.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Mosman, T. (1983) Rapid colorimetric assay for cellular growth and survival: application to proliferation and cytotoxicity assays. Journal of Immunological Methods 65, 55-63.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21. EpiSkin</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SOP, Version 1.6 (January 2005). Validation of the EpiSkin Skin Irritation Test - 42 Hours Assay For The Prediction of Acute Skin Irritation of Chemicals. Available under Download Study Documents, at: http://ecvam.jrc.ec.europa.eu.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22. EpiDerm</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SOP, Version 5.0 (October 2004). Draft Standard Operating Procedure. In Vitro Skin Irritation Test: Human Skin Model. Model: EpiDerm™- 200. Available under Download Study Documents, at: http://ecvam.jrc.ec.europa.eu.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23. SkinEthic RHE</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xml:space="preserve"> SOP. Will be available under Download Study Documents, at: http://ecvam.jrc.ec.europa.eu.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Harvell, J.D., Lammintausta, K., Maibach H.I. (1995) Irritant contact dermatitis IN: Guin J.D. Practical Contact Dermatitis Mc Graw-Hill New York, pp 7-18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 Griesinger C, Barroso J &amp; Zuang V: ECVAM background document on the recent adaptations of the ECVAM performance standards for in vitro skin irritation testing in the context of the drafting process of an EU test method and an OECD draft test guideline. Ispra, November 13, 2008.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Procena karakteristika predloženih </w:t>
      </w:r>
      <w:r w:rsidRPr="00984859">
        <w:rPr>
          <w:rFonts w:ascii="Arial" w:eastAsia="Times New Roman" w:hAnsi="Arial" w:cs="Arial"/>
          <w:b/>
          <w:bCs/>
          <w:i/>
          <w:iCs/>
          <w:lang w:eastAsia="sr-Latn-RS"/>
        </w:rPr>
        <w:t>in vitro</w:t>
      </w:r>
      <w:r w:rsidRPr="00984859">
        <w:rPr>
          <w:rFonts w:ascii="Arial" w:eastAsia="Times New Roman" w:hAnsi="Arial" w:cs="Arial"/>
          <w:b/>
          <w:bCs/>
          <w:lang w:eastAsia="sr-Latn-RS"/>
        </w:rPr>
        <w:t xml:space="preserve"> modela rekonstruisanog humanog epiderma za ispitivanje iritacije kože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Predloženi postupci u okviru ove metode ispitivanja se evaluiraju kako bi se odredila njihova pouzdanost i tačnost, koristeći supstance koje predstavljaju čitav opseg skora iritacije prema Drajzeu. Kod evaluacije predloženih postupaka korišćenjem 20 preporučenih referentnih supstanci (Tabela 2. ove metode) dobijaju se vrednosti pouzdanosti i tačnosti koje su uporedive sa vrednostima validirane referentne metode 1 (Tabela 3. ove metode)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Standardi tačnosti i pouzdanosti se ispunjavaju dati su u tačkama (II) i (III) u daljem tekstu. Obuhvaćene su neklasifikovane i klasifikovane supstance (kategorija 2 UN GHS) koje predstavljaju relevantne hemijske klase, tako da se pouzdanost i karakteristike (osetljivost, specifičnost, udeo lažno negativnih, udeo lažno pozitivnih i tačnost) predložene metode ispitivanja mogu uporediti sa odgovarajućim vrednostima validirane referentne metode 1. Pre nego što se metoda ispitivanja upotrebi za ispitivanje novih supstanci određuje se njena pouzdanost kao i sposobnost da tačno identifikuje iritativne supstance kategorije 2 UN GHS.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STANDARDI IZVOĐENJA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Standardi izvođenja obuhvataju tri elementa: I) bitne elemente metode ispitivanja, II) referentne supstance i III) definisane vrednosti tačnosti i pouzdanosti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Ovi referentni standardi zasnivaju se na standardima izvođenja koji su definisani po završetku validacione studije iritacije kože Evropskog centra za validaciju alternativnih metoda (ECVAM)</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I. Bitni elementi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Opšti uslovi koje ispunjava model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izgradnju epitela koristi se normalan tip humanih keratinocita. Ispod funkcionalnog rožnatog sloja </w:t>
      </w:r>
      <w:r w:rsidRPr="00984859">
        <w:rPr>
          <w:rFonts w:ascii="Arial" w:eastAsia="Times New Roman" w:hAnsi="Arial" w:cs="Arial"/>
          <w:i/>
          <w:iCs/>
          <w:lang w:eastAsia="sr-Latn-RS"/>
        </w:rPr>
        <w:t>(stratum corneum)</w:t>
      </w:r>
      <w:r w:rsidRPr="00984859">
        <w:rPr>
          <w:rFonts w:ascii="Arial" w:eastAsia="Times New Roman" w:hAnsi="Arial" w:cs="Arial"/>
          <w:lang w:eastAsia="sr-Latn-RS"/>
        </w:rPr>
        <w:t xml:space="preserve"> nalaze se višestruki slojevi vitalnih epitelnih ćelija (bazalni sloj, nazubljen sloj, zrnasti sloj). Rožnati sloj je višeslojan i sadrži esencijalni profil lipida da bi proizveo čvrstu funkcionalnu barijeru sposobnu da zaustavi brzi prodor citotoksičnih marker supstanci, npr. SDS ili Triton X-100. Funkcija barijere može se oceniti određivanjem koncentracije marker supstance koja smanjuje vijabilnost tkiva za 50%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nakon fiksnog vremena izlaganja ili određivanjem vremena izlaganja koje je potrebno da se vijabilnosti tkiva smanji za 50% (ET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nakon primene marker supstance u unapred određenoj fiksnoj koncentraciji. Model mora biti dovoljno nepropustan da spreči prolazak materijala oko rožnatog sloja do vitalnog tkiva, jer bi to značilo loše modeliranje izlaganja kože. Model kože ne sme da bude kontaminiran bakterijama, virusima, mikoplazmama ili gljivicama.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Funkcionalni uslovi koje ispunjava model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Vijabilnost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Poželjna analiza za određivanje stepena vijabilnosti je MTT test</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OD ekstrahovane (rastvorene) boje iz tkiva obrađivanog negativnom kontrolom (NC) je najmanje 20 puta veća od vrednosti OD samog ekstrakcionog rastvarača. Potrebno je dokumentovati da je tkivo obrađivano negativnom kontrolom stabilno u kulturi (tj. daje slična merenja vijabilnosti) za vreme trajanja ispitnog izlaganja.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Funkcija barijere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Rožnati sloj i njegov sastav lipida mora biti sposoban da zaustavi brzi prodor citotoksičnih marker supstanci, npr SDS ili Triton X-100, procenjeno na osnovu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ili 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Morfologija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Histološki pregled rekonstruisane kože/epiderma vrši odgovarajuće osposobljeno osoblje, pri čemu dokazuje da je njena struktura slična strukturi humane kože/epiderma (uključujući višeslojni rožnati sloj).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Ponovljivost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Dokazuje se da su rezultati metoda kod primene određenog modela reproducibilni u vremenu, po mogućstvu pomoću odgovarajuće supstance za kontrolu šarže (referentne supstance) (videti definicije date u odeljku 1.2. ove metode).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Kontrole kvaliteta (KK) modela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Svaka serija modela epiderma ispunjava definisane kriterijume za odobrenje proizvoda, među kojima su najvažniji vijabilnost i funkcija barijere. Opseg prihvatljivosti (gornja i donja granica prihvatljivosti) za 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odnosno 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određuje snabdevač modela kože (ili istraživač, ako se koristi sopstveni model). Svojstvo barijere tkiva proverava laboratorija po prijemu tkiva. Za pouzdano predviđanje iritativnih efekata prihvatljivi su isključivo rezultati dobijeni sa tkivima koja ispunjavaju zadate kriterijume. Kao primer, navedeni su opsezi prihvatljivosti za validirane referentne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Tabela 1. Primeri kriterijuma za odobrenje lota u okviru kontrole kvaliteta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514"/>
        <w:gridCol w:w="1512"/>
        <w:gridCol w:w="1594"/>
        <w:gridCol w:w="1512"/>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Donja granica </w:t>
            </w:r>
            <w:r w:rsidRPr="00984859">
              <w:rPr>
                <w:rFonts w:ascii="Arial" w:eastAsia="Times New Roman" w:hAnsi="Arial" w:cs="Arial"/>
                <w:lang w:eastAsia="sr-Latn-RS"/>
              </w:rPr>
              <w:br/>
              <w:t xml:space="preserve">prihvatljivosti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vrednost </w:t>
            </w:r>
            <w:r w:rsidRPr="00984859">
              <w:rPr>
                <w:rFonts w:ascii="Arial" w:eastAsia="Times New Roman" w:hAnsi="Arial" w:cs="Arial"/>
                <w:lang w:eastAsia="sr-Latn-RS"/>
              </w:rPr>
              <w:br/>
              <w:t xml:space="preserve">područja </w:t>
            </w:r>
            <w:r w:rsidRPr="00984859">
              <w:rPr>
                <w:rFonts w:ascii="Arial" w:eastAsia="Times New Roman" w:hAnsi="Arial" w:cs="Arial"/>
                <w:lang w:eastAsia="sr-Latn-RS"/>
              </w:rPr>
              <w:br/>
              <w:t xml:space="preserve">prihvatljivosti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Gornja </w:t>
            </w:r>
            <w:r w:rsidRPr="00984859">
              <w:rPr>
                <w:rFonts w:ascii="Arial" w:eastAsia="Times New Roman" w:hAnsi="Arial" w:cs="Arial"/>
                <w:lang w:eastAsia="sr-Latn-RS"/>
              </w:rPr>
              <w:br/>
              <w:t xml:space="preserve">granica </w:t>
            </w:r>
            <w:r w:rsidRPr="00984859">
              <w:rPr>
                <w:rFonts w:ascii="Arial" w:eastAsia="Times New Roman" w:hAnsi="Arial" w:cs="Arial"/>
                <w:lang w:eastAsia="sr-Latn-RS"/>
              </w:rPr>
              <w:br/>
              <w:t xml:space="preserve">prihvatljivosti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Validirana referentna metoda 1 (18-časovno tretiranje SDS-om)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1,0 mg/ml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2,32 mg/ml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IC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3,0 mg/ml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Validirana referentna metoda 2 (1% triton X-100)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4,8 hr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6,7 hr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ET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8,7 hr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II.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koriste se da se utvrdi da li je pouzdanost i tačnost predložene nove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metode ispitivanja sa rekonstruisanim humanim epidermom, a za koju je dokazano da je strukturno i funkcionalno dovoljno slična validiranoj referentnoj metodi, ili predstavlja neznatno modifikovanu varijantu validirane referentne metode, uporediva sa pouzdanošću i tačnošću validirane referentne metode 1</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Dvadeset referentnih supstanci datih u Tabeli 2. obuhvataju supstance iz različitih relevantnih hemijskih klasa kao i supstance iz kategorije 2 UN GHS. Lista sadrži 10 supstanci iz kategorije 2 UN GHS, 3 supstance iz opcione kategorije 3 UN GHS i 7 neklasifikovanih supstanci. U okviru ove metode ispitivanja, opciona kategorija 3. ne smatra se kategorijom. Ove referentne supstance predstavljaju minimalni broj supstanci koji se koristi kod ocenjivanja tačnosti i pouzdanosti predložene metode ispitivanja iritacije kože na modelu rekonstruisanog humanog epiderma. U slučajevima kad supstanca sa liste nije dostupna, mogu se koristiti i druge supstance za koje su dostupni odgovarajući referentni podaci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Ovoj listi referentnih supstanci po želji se mogu dodati još neke supstance koje predstavljaju druge hemijske klase i za koje su dostupni odgovarajući referentni podaci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kako bi se dodatno evaluirala tačnost predložene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2. Referentne supstance za određivanje tačnosti i pouzdanosti modela rekonstruisanih humanih epiderma koji se koriste kod ispitivanja iritacije kože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616"/>
        <w:gridCol w:w="875"/>
        <w:gridCol w:w="994"/>
        <w:gridCol w:w="1264"/>
        <w:gridCol w:w="1523"/>
        <w:gridCol w:w="820"/>
        <w:gridCol w:w="1040"/>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EINECS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Agregatno stanje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Rezultat ocenjivanja </w:t>
            </w:r>
            <w:r w:rsidRPr="00984859">
              <w:rPr>
                <w:rFonts w:ascii="Arial" w:eastAsia="Times New Roman" w:hAnsi="Arial" w:cs="Arial"/>
                <w:i/>
                <w:iCs/>
                <w:lang w:eastAsia="sr-Latn-RS"/>
              </w:rPr>
              <w:t>in vivo</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GHS </w:t>
            </w:r>
            <w:r w:rsidRPr="00984859">
              <w:rPr>
                <w:rFonts w:ascii="Arial" w:eastAsia="Times New Roman" w:hAnsi="Arial" w:cs="Arial"/>
                <w:i/>
                <w:iCs/>
                <w:lang w:eastAsia="sr-Latn-RS"/>
              </w:rPr>
              <w:t>in vitro</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GHS </w:t>
            </w:r>
            <w:r w:rsidRPr="00984859">
              <w:rPr>
                <w:rFonts w:ascii="Arial" w:eastAsia="Times New Roman" w:hAnsi="Arial" w:cs="Arial"/>
                <w:i/>
                <w:iCs/>
                <w:lang w:eastAsia="sr-Latn-RS"/>
              </w:rPr>
              <w:t>in vivo</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1-brom-4-hlorbutan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6940-78-9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230-089-3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dietil-ftalat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84-66-2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201-550-6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naftalen-sirćetna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86-87-3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201-705-8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alil-fenoksiacetat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7493-74-5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231-335-2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izopropanol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67-63-0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200-661-7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4-metiltiobenzaldehid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3446-89-7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222-365-7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metil-stearat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112-61-8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203-990-4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heptil-butirat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5870-</w:t>
            </w:r>
            <w:r w:rsidRPr="00984859">
              <w:rPr>
                <w:rFonts w:ascii="Arial" w:eastAsia="Times New Roman" w:hAnsi="Arial" w:cs="Arial"/>
                <w:lang w:eastAsia="sr-Latn-RS"/>
              </w:rPr>
              <w:lastRenderedPageBreak/>
              <w:t xml:space="preserve">93-9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227-526-</w:t>
            </w:r>
            <w:r w:rsidRPr="00984859">
              <w:rPr>
                <w:rFonts w:ascii="Arial" w:eastAsia="Times New Roman" w:hAnsi="Arial" w:cs="Arial"/>
                <w:lang w:eastAsia="sr-Latn-RS"/>
              </w:rPr>
              <w:lastRenderedPageBreak/>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w:t>
            </w:r>
            <w:r w:rsidRPr="00984859">
              <w:rPr>
                <w:rFonts w:ascii="Arial" w:eastAsia="Times New Roman" w:hAnsi="Arial" w:cs="Arial"/>
                <w:lang w:eastAsia="sr-Latn-RS"/>
              </w:rPr>
              <w:lastRenderedPageBreak/>
              <w:t xml:space="preserve">kat.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opciona </w:t>
            </w:r>
            <w:r w:rsidRPr="00984859">
              <w:rPr>
                <w:rFonts w:ascii="Arial" w:eastAsia="Times New Roman" w:hAnsi="Arial" w:cs="Arial"/>
                <w:lang w:eastAsia="sr-Latn-RS"/>
              </w:rPr>
              <w:lastRenderedPageBreak/>
              <w:t xml:space="preserve">kat. 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heksil-salicilat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6259-76-3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228-408-6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opciona kat. 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tri-izobutil-fosfat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126-71-6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204-798-3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opciona kat. 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1-dekanol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112-30-1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203-956-9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ciklamen-aldehid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103-95-7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203-161-7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1-bromheksan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111-25-1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203-850-2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2-hlormetil-3,5-dimetil-4-metoksipiridin-hidrohlorid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86604-75-3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434-680-9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a-terpineol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98-55-5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202-680-6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di-</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-propil-disulfid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629-19-6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211-079-8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izvan kat.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butil-metakrilat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97-88-1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202-615-1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benzenetiol, 5-(1,1-dimetiletil)-2-metil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7340-90-1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438-520-9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1-metil-3-fenil-1-piperazin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5271-27-2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431-180-2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heptanal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111-71-7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203-898-4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 2 </w:t>
            </w:r>
          </w:p>
        </w:tc>
      </w:tr>
      <w:tr w:rsidR="00984859" w:rsidRPr="00984859" w:rsidTr="00984859">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Ovih 20 referentnih supstanci predstavlja reprezentativni izbor od 58 supstanci koje su prvobitno korišćene u validaciji referentne metode 1 (EpiSkin</w:t>
            </w:r>
            <w:r w:rsidRPr="00984859">
              <w:rPr>
                <w:rFonts w:ascii="Arial" w:eastAsia="Times New Roman" w:hAnsi="Arial" w:cs="Arial"/>
                <w:sz w:val="15"/>
                <w:szCs w:val="15"/>
                <w:vertAlign w:val="superscript"/>
                <w:lang w:eastAsia="sr-Latn-RS"/>
              </w:rPr>
              <w:t>TM</w:t>
            </w:r>
            <w:r w:rsidRPr="00984859">
              <w:rPr>
                <w:rFonts w:ascii="Arial" w:eastAsia="Times New Roman" w:hAnsi="Arial" w:cs="Arial"/>
                <w:lang w:eastAsia="sr-Latn-RS"/>
              </w:rPr>
              <w:t>). Potpun spisak ispitivanih supstanci i kriterijuma za njihov izbor dat je u literaturi</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Supstance navedene u Tabeli 2. predstavljaju reprezentativni izbor od 58 supstanci korišćenih u međunarodnoj validacijskoj studiji iritacije kože Evropskog centra za validaciju alternativnih metoda (u daljem tekstu: ECVAM)</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Njihov izbor se zasniva na sledećim kriterijumima: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ove supstance su dostupne na tržištu,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reprezentativne su za čitav opseg skora iritacije prema Drajzeu (od iritacije do jake iritacije),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imaju dobro definisanu hemijsku strukturu,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reprezentativne su za ponovljivost i predvidljivu sposobnost validirane metode, kako je utvrđeno u validacionoj studiji ECVAM,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reprezentativne su za hemijsku funkcionalnost koja je korišćena u procesu validacije,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nemaju ekstremno toksični profil (npr. karcinogeno ili toksično delovanje po reprodukciju) i nisu povezane sa previsokim troškovima odlaganja.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III. Definisane vrednosti tačnosti i pouzdanosti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Radne karakteristike (osetljivost, specifičnost, udeo lažno negativnih, udeo lažno pozitivnih i tačnost) predložene metode ispitivanja su uporedive sa odgovarajućim vrednostima validirane referentne metode 1 (Tabela 3), tj. osetljivost je jednaka ili viša (≥) od 80%, specifičnost je jednaka ili viša (≥) od 70% i tačnost je jednaka ili viša (≥) od 75%. One se izračunavaju na osnovu svih klasifikacija 20 supstanci dobijenih u različitim laboratorijama koji su učestvovale u istraživanju. Klasifikacija supstanci u svakoj od laboratorija određuje se na osnovu srednje vrednosti vijabilnosti iz različitih ispitivanja (najmanje tri valjana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3. Karakteristike validirane referentne metode 1 </w:t>
      </w:r>
      <w:r w:rsidRPr="00984859">
        <w:rPr>
          <w:rFonts w:ascii="Arial" w:eastAsia="Times New Roman" w:hAnsi="Arial" w:cs="Arial"/>
          <w:b/>
          <w:bCs/>
          <w:sz w:val="15"/>
          <w:szCs w:val="15"/>
          <w:vertAlign w:val="superscript"/>
          <w:lang w:eastAsia="sr-Latn-RS"/>
        </w:rPr>
        <w:t>[XVII]</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87"/>
        <w:gridCol w:w="1159"/>
        <w:gridCol w:w="1075"/>
        <w:gridCol w:w="1247"/>
        <w:gridCol w:w="1503"/>
        <w:gridCol w:w="1418"/>
        <w:gridCol w:w="843"/>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Broj supstanci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Osetljivost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Specifičnost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Udeo lažno negativnih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Udeo lažno pozitivnih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Tačnost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Validirana referentna metoda 1</w:t>
            </w:r>
            <w:r w:rsidRPr="00984859">
              <w:rPr>
                <w:rFonts w:ascii="Arial" w:eastAsia="Times New Roman" w:hAnsi="Arial" w:cs="Arial"/>
                <w:b/>
                <w:bCs/>
                <w:sz w:val="15"/>
                <w:szCs w:val="15"/>
                <w:vertAlign w:val="superscript"/>
                <w:lang w:eastAsia="sr-Latn-RS"/>
              </w:rPr>
              <w:t xml:space="preserve">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87,2% </w:t>
            </w:r>
            <w:r w:rsidRPr="00984859">
              <w:rPr>
                <w:rFonts w:ascii="Arial" w:eastAsia="Times New Roman" w:hAnsi="Arial" w:cs="Arial"/>
                <w:b/>
                <w:bCs/>
                <w:sz w:val="15"/>
                <w:szCs w:val="15"/>
                <w:vertAlign w:val="super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71,1% </w:t>
            </w:r>
            <w:r w:rsidRPr="00984859">
              <w:rPr>
                <w:rFonts w:ascii="Arial" w:eastAsia="Times New Roman" w:hAnsi="Arial" w:cs="Arial"/>
                <w:b/>
                <w:bCs/>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29,9%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74,7%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Validirana referentna metoda 1 </w:t>
            </w:r>
            <w:r w:rsidRPr="00984859">
              <w:rPr>
                <w:rFonts w:ascii="Arial" w:eastAsia="Times New Roman" w:hAnsi="Arial" w:cs="Arial"/>
                <w:b/>
                <w:bCs/>
                <w:sz w:val="15"/>
                <w:szCs w:val="15"/>
                <w:vertAlign w:val="superscript"/>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81,7% </w:t>
            </w:r>
          </w:p>
        </w:tc>
      </w:tr>
      <w:tr w:rsidR="00984859" w:rsidRPr="00984859" w:rsidTr="00984859">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 xml:space="preserve">[1] </w:t>
            </w:r>
            <w:r w:rsidRPr="00984859">
              <w:rPr>
                <w:rFonts w:ascii="Arial" w:eastAsia="Times New Roman" w:hAnsi="Arial" w:cs="Arial"/>
                <w:lang w:eastAsia="sr-Latn-RS"/>
              </w:rPr>
              <w:t xml:space="preserve">EpiSkin™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 xml:space="preserve">[2] </w:t>
            </w:r>
            <w:r w:rsidRPr="00984859">
              <w:rPr>
                <w:rFonts w:ascii="Arial" w:eastAsia="Times New Roman" w:hAnsi="Arial" w:cs="Arial"/>
                <w:lang w:eastAsia="sr-Latn-RS"/>
              </w:rPr>
              <w:t xml:space="preserve">Na osnovu 13 iritativnih supstanci 2. kat. GHS.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 xml:space="preserve">[3] </w:t>
            </w:r>
            <w:r w:rsidRPr="00984859">
              <w:rPr>
                <w:rFonts w:ascii="Arial" w:eastAsia="Times New Roman" w:hAnsi="Arial" w:cs="Arial"/>
                <w:lang w:eastAsia="sr-Latn-RS"/>
              </w:rPr>
              <w:t xml:space="preserve">Na osnovu 45 iritativnih supstanci 3. kat. GHS ili hemikalija izvan kategorija GHS.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Pouzdanost predložene metode ispitivanja je uporediva sa pouzdanošću validirane referentne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XVII</w:t>
      </w:r>
      <w:r w:rsidRPr="00984859">
        <w:rPr>
          <w:rFonts w:ascii="Arial" w:eastAsia="Times New Roman" w:hAnsi="Arial" w:cs="Arial"/>
          <w:lang w:eastAsia="sr-Latn-RS"/>
        </w:rPr>
        <w:t xml:space="preserve"> U Tabeli 3. prikazane su radne karakteristike validirane referentne metode 1 s obzirom na sposobnost tačnog identifikovanja iritativnih supstanci (kategorija 2 UN GHS) i neklasifikovanih supstanci (izvan kategorije, uključujući opcionu kategoriju 3) za 58 odnosno 20 referentnih supstanci (Tabela 2).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Ponovljivost u okviru laboratorije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ocenjivanja varijabilnosti u okviru laboratorije podudarnost između klasifikacija (kategorija 2 / izvan kategorije) dobijenih u različitim nezavisnim ispitivanjima 20 referentnih supstanci u istoj laboratoriji mora biti</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90%.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Ponovljivost između laboratorija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 ponovljivosti između laboratorija nije potrebna ako se predložena metoda ispitivanja koristi samo u jednoj laboratoriji. Ako se metoda koristi u više laboratorija, podudarnost između klasifikacija (kategorija 2 / izvan kategorije) dobijenih u različitim nezavisnim ispitivanjima 20 referentnih supstanci, po mogućstvu u najmanje tri laboratorije, iznosi ≥ 80%.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Spielmann, H., Hoffmann, S., Liebsch, M., Botham, P., Fentem, J., Eskes, C., Roguet, R., Cotovió, J., Cole, T., Worth, A., Heylings, J., Jones, P., Robles, C., Kandárová, H., Gamer, A., Remmele, M., Curren, R., Raabe, H., Cockshott, A., Gerner, I. and Zuang, V. (2007) The ECVAM International Validation Study on In Vitro Tests for Acute Skin Irritation: Report on </w:t>
      </w:r>
      <w:r w:rsidRPr="00984859">
        <w:rPr>
          <w:rFonts w:ascii="Arial" w:eastAsia="Times New Roman" w:hAnsi="Arial" w:cs="Arial"/>
          <w:lang w:eastAsia="sr-Latn-RS"/>
        </w:rPr>
        <w:lastRenderedPageBreak/>
        <w:t xml:space="preserve">the Validity of the EPISKIN and EpiDerm Assays and on the Skin Integrity Function Test. ATLA 35, 559-601.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OECD (2005) Guidance Document No. 34 on the validation and international acceptance of new or updated test methods for hazard assessment. OECD, Paris.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ECVAM (2007) Performance Standards for applying human skin models to in vitro skin irritation. Available under Download Study Documents, at http://ecvam.jrc.ec.europa.eu. Accessed on 27.10.2008.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Mosman, T. (1983) Rapid colorimetric assay for cellular growth and survival: application to proliferation and cytotoxicity assays. Journal of Immunological Methods 65, 55-63.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Eskes, C., Cole, T., Hoffmann, S., Worth, A., Cockshott, A., Gerner, I. &amp; Zuang. V (2007) ECVAM International Validation Study on In Vitro Tests for Acute Skin Irritation: Selection of Test Chemicals. ATLA 35, 603-619.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B.47. METODA ISPITIVANJA ZAMUĆENJA I PROPUSTLJIVOSTI ROŽNJAČE GOVEČETA RADI IDENTIFIKOVANJA HEMIKALIJA KOJE IZAZIVAJU TEŠKO OŠTEĆENJE I JAKU IRITACIJU OKA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zamućenja i propustljivosti rožnjače govečeta (Bovine Corneal Opacity and Permeability, u daljem tekstu: BCOP) jeste metoda ispitivanja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koji se pod određenim uslovima i uz određena ograničenja može koristiti za klasifikaciju supstanci i smeša kao onih koje izazivaju teško oštećenje i jaku iritaciju oka</w:t>
      </w:r>
      <w:r w:rsidRPr="00984859">
        <w:rPr>
          <w:rFonts w:ascii="Arial" w:eastAsia="Times New Roman" w:hAnsi="Arial" w:cs="Arial"/>
          <w:b/>
          <w:bCs/>
          <w:sz w:val="15"/>
          <w:szCs w:val="15"/>
          <w:vertAlign w:val="superscript"/>
          <w:lang w:eastAsia="sr-Latn-RS"/>
        </w:rPr>
        <w:t>1,2,3</w:t>
      </w:r>
      <w:r w:rsidRPr="00984859">
        <w:rPr>
          <w:rFonts w:ascii="Arial" w:eastAsia="Times New Roman" w:hAnsi="Arial" w:cs="Arial"/>
          <w:lang w:eastAsia="sr-Latn-RS"/>
        </w:rPr>
        <w:t xml:space="preserve">. U ovoj metodi ispitivanja, jako iritativne hemikalije su one koje izazivaju oštećenja oka, koja se kod kunića održavaju najmanje 21 dan nakon primene. Iako se ne vrednuje kao potpuna zamena za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ispitivanje na oku kunića, BCOP se preporučuje za upotrebu kao deo strategije višestepenog ispitivanja za regulatornu klasifikaciju i obeležavanje u okviru određene oblasti primene</w:t>
      </w:r>
      <w:r w:rsidRPr="00984859">
        <w:rPr>
          <w:rFonts w:ascii="Arial" w:eastAsia="Times New Roman" w:hAnsi="Arial" w:cs="Arial"/>
          <w:b/>
          <w:bCs/>
          <w:sz w:val="15"/>
          <w:szCs w:val="15"/>
          <w:vertAlign w:val="superscript"/>
          <w:lang w:eastAsia="sr-Latn-RS"/>
        </w:rPr>
        <w:t>4,5</w:t>
      </w:r>
      <w:r w:rsidRPr="00984859">
        <w:rPr>
          <w:rFonts w:ascii="Arial" w:eastAsia="Times New Roman" w:hAnsi="Arial" w:cs="Arial"/>
          <w:lang w:eastAsia="sr-Latn-RS"/>
        </w:rPr>
        <w:t>. Ispitivane supstance i smeše</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mogu se klasifikovati kao one koje izazivaju teško oštećenje oka ili one koje su jako iritativne za oko, bez daljeg ispitivanja na kunićima. Supstanca sa negativnim rezultatom ispitivanja ispituje se na kuniću korišćenjem strategije "korak po korak", koja je definisana u Metodi V.5.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ove metode ispitivanja je da opiše postupke koji se koriste za procenu mogućih svojstava ispitivane hemikalije da izazove teško oštećenje ili jaku iritaciju oka što se meri njenom sposobnošću da izazove zamućenje i povećanu propustljivost izolovane rožnjače govečeta. Toksični efekti na rožnjači se mere na osnovu: 1) smanjenja prenosa svetlosti (neprozirnost, zamućenje) i 2) povećanja prolaza boje natrijum fluoresceina (propustljivost). Procene zamućenja i propustljivosti rožnjače nakon primene ispitivane supstance kombinuju se kako bi se izveo skor iritativnosti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(Skor iritacije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uslovima, IVIS) koji se koristi za klasifikaciju prema stepenu iritativnosti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BCOP metodom ispitane su i iritativne supstance za oko koje izazivaju oštećenja koja nestaju za manje od 21 dana, i neiritativne supstance. Međutim, tačnost i pouzdanost BCOP metode za supstance koje pripadaju ovim kategorijama nisu formalno evaluirani.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POČETNA RAZMATRANJA I OGRANIČENJA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Ova metoda ispitivanja zasniva se na postupku metode BCOP Međuagencijskog koordinacionog odbora za validaciju alternativnih metoda (ICCVAM)</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koji je pripremljen nakon međunarodne validacione studije</w:t>
      </w:r>
      <w:r w:rsidRPr="00984859">
        <w:rPr>
          <w:rFonts w:ascii="Arial" w:eastAsia="Times New Roman" w:hAnsi="Arial" w:cs="Arial"/>
          <w:b/>
          <w:bCs/>
          <w:sz w:val="15"/>
          <w:szCs w:val="15"/>
          <w:vertAlign w:val="superscript"/>
          <w:lang w:eastAsia="sr-Latn-RS"/>
        </w:rPr>
        <w:t>4,5,9</w:t>
      </w:r>
      <w:r w:rsidRPr="00984859">
        <w:rPr>
          <w:rFonts w:ascii="Arial" w:eastAsia="Times New Roman" w:hAnsi="Arial" w:cs="Arial"/>
          <w:lang w:eastAsia="sr-Latn-RS"/>
        </w:rPr>
        <w:t xml:space="preserve">, u kojoj su učestvovali Evropski centar za validaciju alternativnih metoda (ECVAM) i Japanski centar za validaciju alternativnih metoda (JaCVAM). Postupak je zasnovan na podacima dobijenim od Instituta za istraživanja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(IIVS) i Postupka INVITTOX 124</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koji je korišćen u pred-validacionoj studiji BCOP eseja, sprovedenoj u periodu od 1997. do 1998. godine pod pokroviteljstvom Evropske zajednice. Oba postupka su zasnovana na metodologiji ispitivanja BCOP, o kojoj su prvi put izvestili Gojteron i sar.</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Ograničenja koja su prepoznata za ovu metodu ispitivanja zasnivaju se na velikom udelu lažno pozitivnih rezultata za alkohole i ketone i velikom udelu lažno negativnih rezultata za hemikalije u čvrstom stanju zapaženim u bazi podataka korišćenoj za validaciju (videti odeljak 2.2. ove metode)</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Ako se supstance iz tih klasa jedinjenja i tog agregatnog stanja isključe iz baze podataka, tačnost BCOP u sistemima za klasifikaciju supstanci EU, EPA (Environmental Protection Agnecy) i GHS znatno se poboljšava</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S obzirom na svrhu ovog ispitivanja (tj. da se identifikuju samo hemikalije koje izazivaju teško oštećenje oka i one koje su jako iritativne za oko), procenat lažno negativnih rezultata nije od ključnog značaja, jer se takve supstance zatim ispituju na kuniću, ili, u zavisnosti od normativnih zahteva, sa drugim odgovarajuće validiranim metodama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primenom strategije višestepenog ispitivanja na osnovu kvaliteta podataka. Sadašnja baza podataka za validaciju ne dozvoljava adekvatnu ocenu nekih grupa jedinjenjaili proizvoda (npr. smeša). Međutim, ispitivači mogu da razmotre upotrebu ove metode ispitivanja za sve vrste ispitivanih materijala (uključujući smeše), pri čemu je pozitivan rezultat prihvatljiv kao pokazatelj teškog oštećenja ili jake iritacije oka. Pozitivni rezultati dobijeni sa alkoholima ili ketonima, tumače se oprezno zbog rizika od lažno pozitivnih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svih postupaka sa goveđim očima i rožnjačama pridržavati se važećih pravila i postupaka za objekte u kojima se vrši ispitivanje za rukovanje materijalom životinjskog porekla, što uključuje između ostalog, tkiva i tkivne tečnosti. Preporučuju se opšte laboratorijske mere predostrožnosti</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Ograničenje ove metode ispitivanja je u tome što iako uzima u obzir neke efekte na oku koji su ocenjeni metodom ispitivanja iritativnosti na oku kunića, i u izvesnoj meri, njenu jačinu, ne uzima u obzir oštećenja vežnjače i dužice. Takođe, iako se reverzibilnost oštećenja rožnjače u BCOP ne može proceniti sama po sebi, predloženo je, na osnovu studija na oku kunića, da se ocena početne dubine oštećenja rožnjače može koristiti za razlikovanje reverzibilnih i ireverzibilnih efekata</w:t>
      </w:r>
      <w:r w:rsidRPr="00984859">
        <w:rPr>
          <w:rFonts w:ascii="Arial" w:eastAsia="Times New Roman" w:hAnsi="Arial" w:cs="Arial"/>
          <w:b/>
          <w:bCs/>
          <w:sz w:val="15"/>
          <w:szCs w:val="15"/>
          <w:vertAlign w:val="superscript"/>
          <w:lang w:eastAsia="sr-Latn-RS"/>
        </w:rPr>
        <w:t>13</w:t>
      </w:r>
      <w:r w:rsidRPr="00984859">
        <w:rPr>
          <w:rFonts w:ascii="Arial" w:eastAsia="Times New Roman" w:hAnsi="Arial" w:cs="Arial"/>
          <w:lang w:eastAsia="sr-Latn-RS"/>
        </w:rPr>
        <w:t xml:space="preserve">. BCOP metodom ispitivanja ne može da se proceni moguća sistemska toksičnost povezana sa izlaganjem preko 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Nastoji se da se detaljnije okarakterišu korisnost i ograničenja metode BCOP za identifikaciju hemikalija koje nisu jako iritativne ili nisu iritativne (videti odeljak 2.2. ove metode). Korisnici se takođe podstiču da daju organizacijama za validaciju uzorke i/ili podatke za formalnu ocenu mogućih budućih upotreba metode BCOP, uključujući i za identifikovanje hemikalija koje nisu jako iritativne i neiritativnih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Svaka laboratorija koja ovu metodu uvodi po prvi put, treba da koristi hemikalije za proveru sposobnosti date u Dodatku 2. ove metode. Laboratorija može da koristi ove hemikalije da pokaže tehničku kompetentnost u izvođenju metode BCOP pre nego što dostavi podatke ispitivanja BCOP radi normativne klasifikacije opasnosti.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Metoda ispitivanja BCOP je organotipski model koji obezbeđuje kratkoročno održavanje normalne fiziološke i biohemijske funkcije rožnjače govečeta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uslovima. U ovoj metodi, oštećenje nastalo usled izlaganja ispitivanoj supstanci procenjuje se kvantitativnim merenjima promena u prozirnosti i propustljivosti rožnjače opacitometrom i spektrofotometrom u oblasti vidljive svetlosti. Oba merenja se koriste za izračunavanje IVIS, koji se se koristi za dodeljivanje kategorije u okviru klase opasnosti iritacija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uslovima za predviđanje potencijala za iritativno delovanje ispitivane supstance na oko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(videti Kriterijume za odlučivanje).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metodi ispitivanja BCOP koriste se izolovane rožnjače očiju sveže zaklanih goveda. Zamućenje rožnjače meri se kvantitativno kao količina svetlosti koja prolazi kroz rožnjaču. Propustljivost se meri kvantitativno kao količina boje natrijum fluoresceina, koja prodire kroz celu debljinu rožnjače i detektuje se u medijumu u zadnjoj komori. Ispitivane supstance se primenjuju na epitelnu površinu rožnjače tako što se dodaju u prednju komoru držača rožnjače. Dodatak 3. ove metode sadrži opis i dijagram držača rožnjače koji se koristi za BCOP. Držači rožnjače mogu se nabaviti na tržištu iz različitih izvora ili ih laboratorije mogu proizvoditi za sebe.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1.3.1. Poreklo i starost goveđih očiju i izbor životinjske vrste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Goveda u klanicama obično se ubijaju za ljudsku ishranu ili za druge komercijalne svrhe. Kao izvor rožnjača za ispitivanje BCOP koriste se samo zdrave životinje pogodne za ulazak u lanac ishrane ljudi. S obzirom da kod goveda postoji širok raspon telesne mase, zavisno od rase, starosti i pola, ne postoji preporučena telesna masa za životinju u vreme klanja.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 razlika u veličini rožnjače može doći kada se koriste oči životinja različite starosti. Rožnjače horizontalnog prečnika &gt; 30,5 mm i centralne debljine rožnjače (u daljem tekstu: CCT) ≥ 1.100 μm obično se dobijaju od stoke starije od osam godina, dok se one sa horizontalnim prečnikom &lt; 28,5 mm i CCT &lt; 900 μm uglavnom dobijaju od goveda mlađih od pet godina</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Zbog toga se obično ne koriste oči stoke starije od 60 meseci. Oči stoke starosti ispod 12 meseci takođe se obično ne koriste jer još nisu u potpunosti razvijene, debljina i prečnik rožnjače su znatno manji nego kod očiju odrasle stoke. Dozvoljena je upotreba rožnjača mladih životinja (tj. starosti između šest i 12 meseci) jer ima prednosti, kao na primer veću dostupnost, uži starosni opseg i manji rizik od eventualne izloženosti radnika goveđoj spongiformnoj encefalopatiji</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xml:space="preserve">. Korisna je dalja ocena uticaja veličine i debljine rožnjače na odgovor na supstance koje izazivaju teško oštećenje ili jaku iritaciju oka, te se korisnici podstiču da navode procenjenu starost i/ili telesnu masu životinja od kojih su dobijene rožnjače korišćene u studiji.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1.3.2. Sakupljanje i transport očiju u laboratoriju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Oči sakuplja osoblje klanice. Da bi se mehaničke i druge vrste oštećenja svele na minimum, oči se vade što je moguće pre posle smrti. Da bi se sprečilo izlaganje očiju potencijalnim iritativnim supstancama, osoblje klanice pri ispiranju glava životinja ne sme da koristi detergente.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Oči se potpuno potope u Hanksov izbalansirani rastvor soli (u daljem tekstu: HBSS) u posudi odgovarajuće veličine i transportovati u laboratoriju tako da se propadanje i/ili kontaminacija bakterijama svede na najmanju meru. Pošto se oči sakupljaju tokom procesa klanja, mogu da dođu u kontakt sa krvlju i drugim biološkim materijalom, uključujući bakterije i druge mikroorganizme. Zato je važno da se obezbedi da rizik od kontaminacije bude sveden na minimum (npr. držanjem kontejnera sa očima na mokrom ledu, dodavanjem antibiotika u HBSS koji je korišćen za skladištenje očiju tokom transporta (npr. penicilin 100 IU/mL i streptomicin 100 μg/mL)).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Vreme između sakupljanja očiju i upotrebe rožnjača u BCOP treba da bude što je moguće kraće (obično se sakupe i koriste istog dana) i pokazuje se da se ne umanjuje vrednost rezultata ispitivanja. Ovi rezultati su zasnovani na kriterijumima za izbor očiju, kao i odgovorima pozitivnih i negativnih kontrola. Sve oči koje se koriste u ispitivanju pripadaju istoj grupi očiju, sakupljenoj određenog dana.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1.3.3. Kriterijumi za izbor očiju koje se koriste u BCOP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stignu u laboratoriju, oči je potrebno pažljivo pregledati kako bi se uočili oštećenja uključujući i smanjenu prozirnost, ogrebotine i neovaskularizaciju. Mogu se koristiti samo rožnjače očiju bez takvih defekata.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Kvalitet svake rožnjače ocenjuje se i u kasnijim fazama ispitivanja. Rožnjače sa zamućenjem preko sedam jedinica (napomena: opacitometer je kalibrisan sa standardima zamućenja koji se koriste za uspostavljanje jedinica zamućenja, videti Dodatak treći ove metode), posle početnog perioda od sat vremena uspostavljanja ravnoteže, odbacuju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Svaka ispitivana grupa (ispitivana supstanca, paralelne negativne i pozitivne kontrole) sastoji se od najmanje tri oka. Kod metode BCOP za negativnu kontrolu upotrebljavaju se tri rožnjače. Pošto su sve rožnjače isečene iz cele očne jabučice i smeštene u komore za rožnjače, postoji mogućnost da usled uticaja ljudskog faktora pri rukovanju dođe do uticaja na pojedinačne vrednosti zamućenja i propustljivosti rožnjače (uključujući i negativne kontrole). Vrednosti zamućenja i propustljivosti dobijene za rožnjače iz negativne kontrolne grupe koriste se za korigovanje vrednosti zamućenja i propustljivosti dobijene za grupe tretirane predmetom ispitivanja i grupe tretirane pozitivnom kontrolom u izračunavanju IVIS.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Priprema 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Neoštećene rožnjače seciraju se tako da se održi 2 mm do 3 mm širok rub beonjače, što olakšava dalje rukovanje, vodeći računa da se epitel i endotel rožnjače ne oštete. Izolovane rožnjače se pričvršćuju na držače specijalno namenjene za to, koji se sastoje od prednjeg i zadnjeg odeljka, koji su, redom, u kontaktu sa epitelnim i endotelnim stranama rožnjače. Obe komore se do vrha ispunjavaju zagrejanim Iglovim minimalnim osnovnim medijumom (u daljem tekstu: EMEM) (prvo zadnja komora), vodeći računa da se ne stvaraju mehurići. Uređaj se potom dovodi u ravnotežu na 32° C ± 1° C najmanje jedan sat da rožnjače mogu da budu ujednačene sa medijumom i da se postigne normalna metabolička aktivnost što je više moguće (približna temperatura na površini rožnjače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je 32°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perioda uspostavljanja ravnoteže u obe komore dodaje se svež, prethodno zagrejan medijum EMEM i očitava se bazna linija zamućenja za svaku rožnjaču. Rožnjače sa makroskopskim oštećenjem tkiva (na primer, ogrebotine, pigmentacija, neovaskularizacija) ili sa zamućenjem od više od sedam jedinica zamućenja se odbacuju. Izračunava se prosečno zamućenje svih rožnjača u ravnoteži. Za negativnu (ili rastvarač) kontrolu biraju se najmanje tri rožnjače sa vrednostima zamućenja blizu srednje vrednosti za sve rožnjače. Preostale rožnjače se zatim raspoređuju u grupu za dalje tretiranje i pozitivnu kontrolnu grupu.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Pošto je toplotni kapacitet vode veći nego za vazduh, voda obezbeđuje stabilnije temperaturne uslove za inkubaciju. Zbog toga se preporučuje korišćenje vodenog kupatila za održavanje temperature držača rožnjače i njegovog sadržaja na 32° C ± 1° C. Mogu se koristiti i vazdušni inkubatori, što podrazumeva mere predostrožnosti da se održi stabilnost temperature (npr. prethodnim zagrevanjem držača i medijuma).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1.4.2. Primena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dva različita postupka tretiranja - jedan za tečnosti i surfaktante (u čvrstom ili tečnom stanju) i jedan za hemikalije u čvrstom stanju koji nisu surfaktanti.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Tečnosti se ispituju nerazblažene, dok se surfaktanti ispituju u koncentraciji od 10% w/v u 0,9% rastvoru natrijum hlorida, destilovanoj vodi ili nekom drugom rastvaraču, za koji je dokazano da nema štetni efekte na sistem za ispitivanje. Polučvrste hemikalije, kreme i voskovi se obično ispituju kao tečnosti. Ako se koriste druge koncentracije rastvora, na odgovarajući način se obrazlažu. Rožnjače se izlažu tečnostima i surfaktantima 10 minuta. Ako je vreme izloženosti drugačije, daje se odgovarajuće naučno obrazloženje.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Čvrste hemikalije koje nisu surfaktanti obično se ispituju kao 20% rastvori ili suspenzije pripremljeni u 0,9% rastvoru natrijum hlorida, destilovanoj vodi ili nekom drugom rastvaraču, za koji je dokazano da nema štetne efekte na sistem za ispitivanje. U određenim okolnostima i uz naučno opravdanje, hemikalije u čvrstom stanju mogu se ispitivati jednostavno neposrednim nanošenjem na površinu rožnjače, koristeći metodu otvorene komore (videti poslednji pasus ovog odeljka). Rožnjače se izlažu hemikalijama u čvrstom stanju četiri sata, ali kao i kod tečnosti i surfaktanata, može se koristiti drugačije vreme izlaganja, uz naučno obrazloženje.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koristiti različite metode tretiranja u zavisnosti od fizičkih i hemijskih svojstava hemikalije (tj. hemikalije u čvrstom stanju, tečnosti, viskozne tečnosti ili neviskozne). Najvažnije je obezbediti da ispitivana supstanca adekvatno pokriva epitelnu površinu i da se na adekvatan način uklanja tokom ispiranja. Metoda zatvorene komore obično se koristi za neviskozne do malo viskozne ispitivane supstance, dok se metoda otvorene komore obično koristi za poluviskozne i viskozne tečne ispitivane supstance i čiste hemikalije u čvrstom stanju.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metode zatvorene komore, preko otvora za doziranje na gornjoj površini prednje komore dodaje se toliko ispitivane supstance (750 μL) da prekrije epitelnu stranu rožnjače, a otvori se zatim za vreme izlaganja pečate sa zaptivnim čepovima. Neophodno je da se obezbedi da svaka rožnjače bude dovoljno dugo izložena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metode otvorene komore, pre tretmana, sa prednje komore se uklanja prsten za zaptivanje prozora i staklo prozora. Kontrolna ili ispitivana supstanca (750 μL, ili dovoljno ispitivane supstance da potpuno prekrije rožnjače) nanosi se direktno na epitelnu površinu rožnjača koristeći mikropipete. Ako se ispitivana supstanca teško pipetira, ona se može naneti pod pritiskom u pipetu sa klipnim nastavkom radi lakše primene doze. Nastavak ove pipete stavlja se u vrh šprica tako da hemikalija može napuniti klipni nastavak pod pritiskom. Dok se klip šprica polako potiskuje, klip pipete se povlači na gore. Ako se u nastavku pipete pojave mehurići vazduha, predmet ispitivanja se uklanja (izbacuje) i postupak se ponavlja sve dok se nastavak ne napuni bez mehurića. Ako je potrebno, može se koristiti obični špric (bez igle), koji omogućava merenje tačne zapremine ispitivane supstance i lakše nanošenje na epitelnu površinu rožnjače. Nakon primene doze, na prednju komoru se ponovo namesti staklo prozora i ponovo se uspostavlja zatvoreni sistem.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Inkubacija posle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perioda izlaganja ispitivana supstanca, supstanca za negativnu kontrolu ili supstanca za pozitivnu kontrolu uklanjaju se iz prednje komore, a epitel se ispira najmanje tri puta (ili dok se ispitivana supstanca više ne vidi) sa EMEM (koji sadrži fenol crveno). Za ispiranje se koristi medijum koji sadrži fenol crveno, jer se promena boje fenol crvenog može pratiti da se utvrdi da li je ispiranje kiselih ili alkalnih hemikalija bilo delotvorno. Ako je fenol crveno još </w:t>
      </w:r>
      <w:r w:rsidRPr="00984859">
        <w:rPr>
          <w:rFonts w:ascii="Arial" w:eastAsia="Times New Roman" w:hAnsi="Arial" w:cs="Arial"/>
          <w:lang w:eastAsia="sr-Latn-RS"/>
        </w:rPr>
        <w:lastRenderedPageBreak/>
        <w:t xml:space="preserve">uvek promenjene boje (žuta ili ljubičasta) ili ako je ispitivana supstanca i dalje vidljiva, rožnjače se ispiraju više od tri puta. Kada u medijumu više nema ispitivane supstance, rožnjače se konačno ispiraju sa EMEM (bez fenol crvenog). EMEM (bez fenol crvenog) se koristi za konačno ispiranje da se osigura uklanjanje fenol crvenog iz prednje komore pre merenja zamućenja. Zatim se prednja komora napuni svežim EMEM bez fenol crvenog.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tečnosti ili surfaktante, rožnjače se nakon ispiranja inkubiraju još dva sata na 32° C ± 1° C. U određenim okolnostima, korisna je duža inkubacija nakon izlaganja, ali to zavisi od svakog pojedinačnog slučaja. Rožnjače na kojima se ispituju čvrste supstance, posle četiri sata izlaganja se temeljno ispiraju, ali ne zahtevaju dalju inkubaciju.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perioda inkubacije nakon izlaganja za tečnosti i surfaktante i nakon završetka četiri sata izlaganja za čvrste supstance koje nisu surfaktanti, beleže se zamućenje i propustljivost svake rožnjače. Osim toga, svaka rožnjača se vizuelno pregleda i evidentiraju se sva bitna zapažanja (na primer: ljuštenje tkiva, prisustvo ostataka ispitivane supstance, neujednačena zamućenja). Ova zapažanja mogu biti važna, jer mogu da se odraze na varijacije u očitavanju opacitometrom.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Kontrolne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svaki eksperiment uključuje se paralelna negativna kontrola ili kontrola rastvarača/nosača i pozitivna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ispitivanja supstance u tečnom stanju u koncentraciji 100% u metodi ispitivanja BCOP uključuje se paralelna negativna kontrola (npr. 0,9 % rastvor natrijum hlorida ili destilovana voda) da se otkriju nespecifične promene u sistemu za ispitivanje i da se obezbedi bazna linija za efekte koji se ispituju. Ovim se osigurava i da uslovi ispitivanja ne prouzrokuju iritativne reakcije.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ispitivanja razblažene tečnosti, surfaktanta ili hemikalije u čvrstom stanju u metodi BCOP uključuje se paralelna kontrolna grupa rastvarača/nosača radi otkrivanja nespecifičnih promena u sistemu za ispitivanje i kako bi se obezbedila bazna linija za posmatrane efekte. Može se koristiti samo rastvarač/nosač za koji je dokazano da nema štetne efekte na sistem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svaki eksperiment uključen je poznati iritans za oko kao paralelna pozitivna kontrola kako bi se proverilo da li je izazvan odgovarajući odgovor. Pošto se metoda BCOP koristi za identifikovanje supstanci koje dovode do teškog oštećenja ili jake iritacije oka, u idealnom smislu pozitivna kontrola je referentna supstanca koja u ovoj metodi ispitivanja izaziva jak odgovor. Da bi se obezbedila mogućnost ocenjivanja varijabilnosti odgovora pozitivne kontrole tokom vremena, stepen iritacije ne treba da bude prevelik.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Primeri pozitivnih kontrola za ispitivane supstance u tečnom stanju su dimetilformamid ili 1% natrijum hidroksid. Primer pozitivne kontrole za ispitivane supstance u čvrstom stanju je 20% (w/v) imidazola u 0,9% rastvoru natrijum hlorida.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su pogodne za ocenu potencijala za izazivanje iritacije oka nepoznate hemikalije specifične hemijske ili proizvodne klase klase jedinjenja ili proizvoda, ili za ocenu relativnog iritativnog potencijala iritansa za oko u određenom rasponu iritativnih odgovora.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1.4.4. Merenje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Zamućenje je određeno količinom svetlosti koja prodire kroz rožnjaču. Zamućenje rožnjače kvantitativno se meri pomoću opacitometra, tako da se vrednosti zamućenja mere na kontinuiranoj skali.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Propustljivost se određuje količinom boje natrijum fluoresceina koja prodire kroz sve slojeve ćelija rožnjače (tj. od epitela na spoljašnjoj površini rožnjače do endotela na unutrašnjoj površini rožnjače). U prednju komoru držača rožnjače koja se graniči sa epitelnom stranom rožnjače dodaje se 1 ml rastvora natrijum fluoresceina (4 mg/ml ili 5 mg/ml kod ispitivanja tečnosti i surfaktanata, odnosno supstanci u čvrstom stanju koje nisu surfaktanti), dok se zadnja komora ka endotelnoj strani rožnjače, ispunjava svežim EMEM. Držač se zatim inkubira u vodoravnom položaju 90 minuta ± 5 minuta na 32° C ± 1° C. Količina natrijum fluoresceina koja pređe u zadnju komoru se kvantitativno meri pomoću UV/VIS spektrofotometrije. Spektrofotometrijska merenja na 490 nm beleže se kao vrednosti optičke gustine (u daljem tekstu: OD490) ili apsorbancije, koje se mere na kontinuiranoj skali. Vrednosti propustljivosti fluorosceina se određuju pomoću vrednosti OD490 koje su izmerene spektrofotometrom u oblasti vidljive svetlosti pri standardnoj dužini puta od 1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Umesto spektrofotometra može se koristiti i čitač mikrotitarskih ploča sa 96-mesta, ako: 1) se može utvrditi linearni opseg čitača za određivanje vrednosti OD490 fluoresceina i 2) ako se u mikrotitarskim pločama sa 96-mesta koriste tačne zapremine fluorescina koje obezbeđuju da vrednosti OD490 odgovaraju onim dobijenim na standardnim dužinama puta od 1 cm (za ovo bi možda bio potreban potpuno pun bazenčić (obično 360 mL)).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2.1. Ocenjivanje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Posle korigovanja vrednosti zamućenja i srednje vrednosti propustljivosti (OD490) za pozadinske vrednosti zamućenja i vrednosti propustljivosti negativne kontrole OD490, srednje vrednosti zamućenja i propustljivosti OD490 za svaku ispitivanu grupu sastavljaju se u empirijski izvedenu formulu kojom se izračunava skor iritacije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uslovima (IVIS) za svaku ispitivanu grupu, na sledeći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IVIS = srednja vrednost zamućenja + (15 × srednja vrednost propustljivosti OD490)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 Sini i saradnicima</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xml:space="preserve"> ova formula je izvedena na osnovu laboratorijskih i međulaboratorijskih studija. Podaci prikupljeni tokom studije za 36 jedinjenja izvedene u više laboratorija, podvrgnuti su multivarijantnoj analizi kako bi se odredila najprikladnija formula za poređenje podataka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Analizu su izvršili istraživači iz dve različite kompanije i izveli gotovo identične jednačine.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Vrednosti zamućenja i propustljivosti ocenjuju se nezavisno da se utvrdi da li je ispitivana supstanca izaziva teško oštećenje ili jaku iritaciju kroz samo jedan od dva efekta (videti Kriterijume za odlučivanje).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 Kriterijumi za odlučivanje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koja pokazuje IVIS ≥ 55,1 definiše se kao ona koja izaziva teško oštećenje oka ili kao jako iritativna. Kao što je navedeno u Uvodu ove metode, ako ispitivana supstanca nije određena kao ona koja izaziva teško oštećenje oka ili jako iritativna za oko, vrši se dodatno ispitivanje radi klasifikacije i obeležavanja. U poređenju sa podacima metode ispitivanja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na oku kunića, klasifikovanim po sistemima klasifikacije EPA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EU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ili GHS</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ukupna tačnost metode ispitivanja BCOP je 79% (113/143) do 81% (119/147), udeo lažno pozitivnih rezultata, 19% (20/103) do 21% (22/103), a procenat lažno negativnih rezultata 16% (7/43) </w:t>
      </w:r>
      <w:r w:rsidRPr="00984859">
        <w:rPr>
          <w:rFonts w:ascii="Arial" w:eastAsia="Times New Roman" w:hAnsi="Arial" w:cs="Arial"/>
          <w:lang w:eastAsia="sr-Latn-RS"/>
        </w:rPr>
        <w:lastRenderedPageBreak/>
        <w:t xml:space="preserve">do 25% (10/40). Ako se iz baze podataka isključe supstance određenih klasa jedinjenja (npr. alkohol, ketoni) ili agregatnog stanja, tačnost ispitivanja BCOP u sistemima klasifikacije EU, EPA i GHS se kreće od 87% (72/83) do 92 odsto (78/85), udeo lažno pozitivnih rezultata, 12% (7/58) do 16% (9/56), a procenat lažno negativnih rezultata od 0% (0/27) do 12% (3/26).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Čak i ako za hemikalije koje izazivaju teško oštećenje oka i jako iritativne supstance za oko nije dobijena klasifikacija, združivanjem podataka dobijenih u BCOP i ispitivanju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na oku kunića ili odgovarajuće validiranim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ispitivanjem, može biti korisno za dalju ocenu korisnosti i ograničenja metode ispitivanja BCOP za identifikaciju supstanci koje nisu jako iritativne i koje nisu iritativne (u pripremi su smernice za upotrebu metoda ispitivanja za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ispitivanje toksičnosti za oko).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2.3. Kriterijumi za prihvatljivost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smatra prihvatljivim ako se vrednost IVIS pozitivne kontrole kreće u okviru dve standardne devijacije od prosečne vrednosti ranijih ispitivanja koja se trenutno koristi i koja se ažurira najmanje jednom u tri meseca ili kad god ispitivanje vrše laboratorije koje ispitivanja vrše retko (tj. manje od jednom mesečno). Odgovori negativne kontrole ili kontrole rastvarača/nosača daju vrednosti zamućenja i propustljivosti koje su niže od utvrđenih gornjih granica pozadinskih vrednosti za zamućenje i propustljivosti rožnjača goveda tretiranih sa negativnim kontrolama ili kontrolama sa rastvaračem/nosačem.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(ako su relevantni za sprovođenje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Ispitivanim i kontrolnim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hemijski naziv i to CAS naziv i ostali nazivi ako su poznati;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registarski broj (RN) CAS, ako je poznat;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čistoća i sastav supstanci ili smeša (u masenim procentima), ako je takva informacija dostupna;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fizičko-hemijska svojstva relevantna za sprovođenje studije, npr. agregatno stanje, isparljivost, pH vrednost, stabilnost, klasa jedinjenja, rastvorljivost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obrada ispitivanih/kontrolnih supstanci pre ispitivanja, ako je potrebno (npr. zagrevanje, usitnjavanje);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stabilnosti, ukoliko je poznata.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Sponzoru i ispitivanoj laboratoriji: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ime i adresa sponzora, ispitivane laboratorije i rukovodioca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izvoru očiju (tj. objekat iz kojeg su uzeti);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 skladištenja i transporta očiju (tj. dan i vreme sakupljanja očiju, vremenski period pre početka ispitivanja, trensportni medijum i temperaturni uslovi, eventualna upotreba antibiotika);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specifične karakteristike životinja od kojih su uzete oči, ako je poznato (npr. starost, pol, telesna masa životinje davaoca).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Opravdanosti metode ispitivanja i postupci koji su korišćeni: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integritet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postupak da se obezbedi integritet (tj. tačnost i pouzdanost) metode ispitivanja tokom vremena (npr. periodična ispitivanja referentnih supstanci za proveru sposobnosti, korišćenje podataka negativne i pozitivne kontrole iz ranijih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Kriterijumima za prihvatanje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prihvatljivi opsezi za paralelne pozitivne i negativne kontrole na osnovu podataka iz ranijih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prihvatljivi opsezi za paralelne referentne kontrole na osnovu podataka iz ranijih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korišćenog sistema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upotrebljenog držača rožnjače;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kalibraciji uređaja za merenje zamućenja i propustljivosti (npr. opacitometra i spektrofotometar);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upotrebljenim goveđim rožnjačama, uključujući i izjave o njihovom kvalitetu;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korišćenom postupku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koncentracije ispitivanih supstanci koje su primenjene;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svake promene ispitivanog postupka;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pozivanje na podatke iz ranijih ispitivanja modela (tj. negativnih i pozitivnih kontrola, supstanci za proveru sposobnosti,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korišćenih kriterijuma za ocenjivanje.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prikaz podataka za pojedinačne ispitivane uzorke (npr. vrednosti zamućenja i OD490 kao i izračunate vrednosti IVIS za ispitivane supstance i pozitivne, negativne i referentne kontrole (ako su uzete u obzir), uključujući i podatke za replikate iz ponovljenih eksperimenata, ako postoje, i srednje vrednosti ± standardna devijacija za svaki eksperiment);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drugih uočenih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Tumačenju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U.S. EPA (1996). Label Review Manual: 2nd Edition. EPA737-B-96-001. Washington, DC: U.S. Environmental Protection Agency.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Regulation (EC) No 1272/2008 of the European Parliament and of the Council of 16 December 2008 on classification, labelling and packaging of substances and mixtures, amending and repealing Directive 67/548/EEC and 1999/45/EC, and amending Regulation (EC) No 1907/2006. OJ L 353, 31.12.2008, p.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UN (2007). Globally Harmonized System of Classification and Labelling of Chemicals (GHS). Second revised edition, New York &amp; Geneva: United Nations Publications, 2007. Available: http://www.unece.org/trans/danger/publi/ghs/ghs_rev02/02files_e.html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ESAC (2007). Statement on the conclusion of the ICCVAM retrospective study on organotypic in vitro assays as screening tests to identify potential ocular corrosives and severe eye irritants. Available: http://ecvam.jrc.it/index.htm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ICCVAM (2007). Test Method Evaluation Report - In Vitro Ocular Toxicity Test Methods for Identifying Ocular Severe Irritants and Corrosives. Interagency Coordinating Committee on the Validation of Alternative Methods (ICCVAM) and the National Toxicology Program (NTP) Interagency Center for the Evaluation of Alternative Toxicological Methods (NICEATM). NIH Publication No: 07-4517. Available: http://iccvam.niehs.nih.gov/methods/ocutox/ivocutox/ocu_tmer.htm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OJ L 396, 30.12.2006, p.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OECD (2002). Test Guideline 405. OECD Guideline for Testing of Chemicals. Acute eye irritation/corrosion. Available: http://www.oecd.org/document/40/0,2340,en_2649_34377_37051368_1_1_1_1,00.html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ICCVAM (2007). ICCVAM Recommended BCOP Test Method Protocol. In: ICCVAM Test Method Evaluation Report - In Vitro Ocular Toxicity Test Methods for Identifying Ocular Severe Irritants and Corrosives. Interagency Coordinating Committee on the Validation of Alternative Methods (ICCVAM) and the National Toxicology Program (NTP) Interagency Center for the Evaluation of Alternative Toxicological Methods (NICEATM). NIH Publication No: 07-4517. Available: http://iccvam.niehs.nih.gov/methods/ocutox/ivocutox/ocu_tmer.htm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ICCVAM. (2006). Current Status of In Vitro Test Methods for Identifying Ocular Corrosives and Severe Irritants: Bovine Corneal Opacity and Permeability Test Method. NIH Publication No: 06-4512. Research Triangle Park: National Toxicology Program. Available: http://iccvam.niehs.nih.gov/methods/ocutox/ivocutox/ocu_brd_ice.htm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INVITTOX (1999). Protocol 124: Bovine Corneal Opacity and Permeability Assay - SOP of Microbiological Associates Ltd. Ispra, Italy: European Centre for the Validation of Alternative Methods (ECVAM).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Gautheron, P., Dukic, M., Alix, D. and Sina, J.F. (1992). Bovine corneal opacity and permeability test: An in vitro assay of ocular irritancy. Fundam. Appl. Toxicol. 18:442-449.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12. Siegel, J.D., Rhinehart, E., Jackson, M., Chiarello, L., and the Healthcare Infection Control Practices Advisory Committee (2007). Guideline for Isolation Precautions: Preventing Transmission of Infectious Agents in Healthcare Settings. Available: http://www.cdc.gov/ncidod/dhqp/pdf.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Maurer, J.K., Parker, R.D. and Jester, J.V. (2002). Extent of corneal injury as the mechanistic basis for ocular irritation: key findings and recommendations for the development of alternative assays. Reg. Tox. Pharmacol. 36:106-117.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Doughty, M.J., Petrou, S. and Macmillan, H. (1995). Anatomy and morphology of the cornea of bovine eyes from a slaughterhouse. Can. J. Zool. 73:2159-2165.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Collee, J. and Bradley, R. (1997). BSE: A decade on - Part I. The Lancet 349: 636-641.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Sina, J.F., Galer, D.M., Sussman, R.S., Gautheron, P.D., Sargent, E.V., Leong, B., Shah, P.V., Curren, R.D., and Miller, K. (1995). A collaborative evaluation of seven alternatives to the Draize eye irritation test using pharmaceutical intermediates. Fundam Appl Toxicol 26:20-31.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ICCVAM (2006). Background review document, Current Status of In Vitro Test Methods for Identifying Ocular Corrosives and Severe Irritants: Bovine Corneal Opacity and Permeability (BCOP) Test Method. Available:http://iccvam.niehs.nih.gov/methods/ocutox/ivocutox/ocu_brd_bcop.htm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ICCVAM (2006). Background review document, Current Status of In Vitro Test Methods for Identifying Ocular Corrosives and Severe Irritants: Isolated Chicken Eye (ICE) Test Method. Available:http://iccvam.niehs.nih.gov/methods/ocutox/ivocutox/ocu_brd_bcop.htm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DODATAK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Tačnost jeste stepen ujednačenosti između rezultata ispitivanja i prihvaćenih referentnih vrednosti. Ona je merilo karakteristika metode ispitivanja i jedan od aspekata relevantnosti. Često se koristi u istom značenju kao "usklađenost" kako bi se označio udeo tačnih rezultata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Referentna supstanca jeste supstanca koja se koristi kao standard za poređenje sa ispitivanom supstancom. Referentna supstanca ima sledeća svojstva: 1) stalan i pouzdan izvor; 2) strukturnu i funkcionalnu sličnost sa klasom jedinjenja koje se ispituje; 3) poznata fizička/hemijska svojstva; 4) podatke o poznatim efektima i 5) poznati potencijal u opsegu očekivanog odgovora.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Rožnjača jeste prozirni deo prednjeg dela očne jabučice koji pokriva vežnjaču i dužicu i propušta svetlost u unutrašnjost.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Zamućenje rožnjače jeste mera obima zamućenosti rožnjače nakon izlaganja ispitivanoj supstanci. Povećano zamućenje rožnjače ukazuje na oštećenje rožnjače. Zamućenje se može evaluirati subjektivno kao kod Drajzeove metode na oku kunića ili objektivno pomoću instrumenta kao što je opacitometar. Propustljivost rožnjače jeste kvantitativna mera </w:t>
      </w:r>
      <w:r w:rsidRPr="00984859">
        <w:rPr>
          <w:rFonts w:ascii="Arial" w:eastAsia="Times New Roman" w:hAnsi="Arial" w:cs="Arial"/>
          <w:lang w:eastAsia="sr-Latn-RS"/>
        </w:rPr>
        <w:lastRenderedPageBreak/>
        <w:t xml:space="preserve">oštećenja epitela rožnjače određivanjem količine boje natrijum fluoresceina koja prolazi kroz sve slojeve ćelija rožnjače.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EPA kategorija 1 jeste korozivno (ireverzibilno uništavanje tkiva oka) koje oštećuje rožnjaču ili izaziva iritaciju koja se održava više od 21 dan</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EU kategorija R41 jeste oštećenje tkiva oka, ili ozbiljno fizičko propadanje vida, nakon nanošenja ispitivane supstance na prednju površinu oka, koja nije u potpunosti reverzibilna u roku od 21 dana od primene</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Udeo lažno negativnih jeste udeo svih pozitivnih supstanci koje su metodom ispitivanja pogrešno identifikovane kao negativne. Jedan je od pokazatelja karakteristika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Udeo lažno pozitivnih jeste udeo svih negativnih supstanci koje su metodom ispitivanja pogrešno identifikovane kao pozitivne. Jedan je od pokazatelja karakteristika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GHS jeste Globalno harmonizovani sistem za klasifikaciju i obeležavanje hemikalija, odnosno sistem koji predlaže klasifikaciju hemikalija (supstanci i smeša) prema standardizovanim vrstama i nivoima fizičkih opasnosti i opasnosti po zdravlje ljudi i životnu sredinu, koji obuhvata i odgovarajuće elemente komunikacije, kao što su: piktogrami, znakovi opasnosti, pisana upozorenja, oznake rizika i bezbednosti i bezbednosni listovi, da bi se prenela informacija o njihovim štetnim efektima sa ciljem da se zaštite ljudi (uključujući poslodavce, radnike, prevoznike, potrošače i pružaoce pomoći u vanrednim situacijama) i životna sredina</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GHS kategorija 1 jeste oštećenje tkiva oka, ili ozbiljno fizičko propadanje vida, nakon nanošenja ispitivane supstance na prednju površinu oka, koja nije potpuno reverzibilna u roku od 21 dana od primene</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Opasnost jeste svojstvo agensa ili situacije koje može da dovede do štetnih efekata kada su organizam, sistem ili (sub)populacija izloženi tom agensu.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Skor iritacije u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uslovima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Irritancy Score, IVIS) jeste vrednost koja se računa prema empirijski izvedenoj formuli koja se koristi u metodi BCOP pomoću koje se srednje vrednosti zamućenja i propustljivosti za svaku ispitivanu grupu kombinuju u jedan jedinstveni skor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za svaku tretiranu grupu. IVIS = srednja vrednost zamućenja + (15 × srednja vrednost propustljivosti).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Negativna kontrola jeste netretirani uzorak koji sadrži sve komponente sistema za ispitivanje. Ovaj uzorak se obrađuje sa uzorcima tretiranim ispitivanom supstancom i drugim kontrolnim uzorcima da utvrdi ima li interakcije između rastvarača i sistema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Hemikalija koja nije iritativna jesu supstance koje nisu klasifikovane kao supstance iritativne za oko ERA kategorije 1, 2, ili 3; EU kategorije R41 ili R36 ili GHS kategorije 1, 2A ili 2B.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Hemikalija koja izaziva teško oštećenje oka jeste: a) supstanca koja izaziva ireverzibilno oštećenje tkiva oka; b) supstance koje su klasifikovane kao iritativne za oko GHS kategorije 1, ERA kategorije 1, ili EU kategorije R41</w:t>
      </w:r>
      <w:r w:rsidRPr="00984859">
        <w:rPr>
          <w:rFonts w:ascii="Arial" w:eastAsia="Times New Roman" w:hAnsi="Arial" w:cs="Arial"/>
          <w:b/>
          <w:bCs/>
          <w:sz w:val="15"/>
          <w:szCs w:val="15"/>
          <w:vertAlign w:val="superscript"/>
          <w:lang w:eastAsia="sr-Latn-RS"/>
        </w:rPr>
        <w:t>1,2,3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Iritativno za oko jeste: a) supstanca koja dovodi do reverzibilne promene u oku nakon nanošenja na prednju površinu oka; b) supstance koje su klasifikovane kao supstance iritativne za oko ERA kategorije 2 ili 3 EU kategorije R36 ili GHS kategorije 2A ili 2B</w:t>
      </w:r>
      <w:r w:rsidRPr="00984859">
        <w:rPr>
          <w:rFonts w:ascii="Arial" w:eastAsia="Times New Roman" w:hAnsi="Arial" w:cs="Arial"/>
          <w:b/>
          <w:bCs/>
          <w:sz w:val="15"/>
          <w:szCs w:val="15"/>
          <w:vertAlign w:val="superscript"/>
          <w:lang w:eastAsia="sr-Latn-RS"/>
        </w:rPr>
        <w:t>1,2,3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Jako iritativno za oko jeste: a) supstanca koja izaziva oštećenje tkiva oka nakon nanošenja na prednju površinu oka koje se ne povlači u roku od 21 dana od dana nanošenja ili izaziva ozbiljno fizičko propadanje vida, b) supstance koje su klasifikovane kao supstance iritativne za oko GHS kategorije 1, ERA kategorije 1, ili EU kategorije R41</w:t>
      </w:r>
      <w:r w:rsidRPr="00984859">
        <w:rPr>
          <w:rFonts w:ascii="Arial" w:eastAsia="Times New Roman" w:hAnsi="Arial" w:cs="Arial"/>
          <w:b/>
          <w:bCs/>
          <w:sz w:val="15"/>
          <w:szCs w:val="15"/>
          <w:vertAlign w:val="superscript"/>
          <w:lang w:eastAsia="sr-Latn-RS"/>
        </w:rPr>
        <w:t>1,2,3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Opacitometar jeste instrument koji se koristi za merenje zamućenja rožnjače kvantitativnom evaluacijom prenošenja svetlosti kroz rožnjaču. Tipičan instrument ima dva odeljka, svaki sa sopstvenim izvorom svetlosti i fotoćelijom. Jedan odeljak se koristi za tretiranu rožnjaču, a drugi se koristi za kalibraciju i podešavanje instrumenta na nultu vrednost. Svetlost iz halogene lampe se šalje kroz kontrolni odeljak (prazna komora bez prozora ili tečnosti) u fotoćeliju i upoređuje sa svetlošću koja se šalje kroz eksperimentalni odeljak, u kome se nalazi komora sa rožnjačom, u fotoćeliju. Upoređuje se razlika u prenošenju svetlosti iz fotoćelija i na digitalnom ekranu se prikazuje numerička vrednost zamućenja.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Pozitivna kontrola jeste uzorak koji sadrži sve komponente sistema za ispitivanje i koji se tretira supstancom za koju se zna da izaziva pozitivni odgovor. Da bi se obezbedilo da varijabilnost u odgovoru pozitivne kontrole može da se ocenjuje tokom vremena, jačina odgovora ne sme da bude preterana.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Pouzdanost pokazuje u kojoj meri metoda ispitivanja može ponovljivo da se izvodi unutar jedne laboratorije i između više laboratorija tokom vremena uz primenu istog postupka. Ocenjuje se izračunavanjem ponovljivosti unutar jedne laboratorije i između više laboratorija.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Kontrola rastvarača/nosača jeste netretirani uzorak koji sadrži sve komponente sistema za ispitivanje, uključujući rastvarač ili nosač koji se obrađuje sa uzorcima tretiranim ispitivanom supstancom i drugim kontrolnim uzorcima kako bi se utvrdila bazna linija odgovora za uzorke tretirane ispitivanom supstancom rastvorenom u tom rastvaraču ili nosaču. Kada se ispituje sa paralelnom negativnom kontrolom, ovaj uzorak pokazuje i da li rastvarač ili nosač reaguje sa sistemom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Višestepeno ispitivanje jeste strategija ispitivanja korak po korak gde se određenim redosledom pregledaju sve postojeće informacije o ispitivanoj supstanci, pri čemu se na svakom koraku koristi postupak procene kvaliteta podataka da bi se utvrdilo da li postoji dovoljno informacija za odluku o klasifikovanju supstance kao opasne, pre prelaska na sledeći stepen. Ako se na osnovu postojećih informacija može pripisati iritativni potencijal ispitivanoj supstanci, nije potrebno dodatno ispitivanje. Ako se na osnovu postojećih informacija ne može pripisati iritativni potencijal ispitivane supstance, izvodi se postupak višestepenog ispitivanja korak po korak na životinjama dok ne bude moguće izvršiti nedvosmislenu klasifikaciju.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Validirana metoda ispitivanja jeste metoda ispitivanja kod koje su na osnovu izvršenih studija validacije utvrđeni relevantnost (uključujući i tačnost) i pouzdanost za određenu namenu. Važno je napomenuti da validirana metoda ispitivanja ne mora da ima zadovoljavajuće karakteristike u pogledu tačnosti i pouzdanosti da bi bila prihvatljiva za predloženu namenu.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Kvalitet podataka jeste postupak razmatranja prednosti i slabosti različitih informacija da se donese i podrži zaključak u pogledu potencijalne opasnosti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DODATAK 2.</w:t>
      </w:r>
      <w:r w:rsidRPr="00984859">
        <w:rPr>
          <w:rFonts w:ascii="Arial" w:eastAsia="Times New Roman" w:hAnsi="Arial" w:cs="Arial"/>
          <w:b/>
          <w:bCs/>
          <w:lang w:eastAsia="sr-Latn-RS"/>
        </w:rPr>
        <w:br/>
        <w:t xml:space="preserve">SUPSTANCE ZA PROVERU SPOSOBNOSTI ZA IZVOĐENJE METODE ISPITIVANJA BCOP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rutinskog korišćenja metode ispitivanja koja ispunjava zahteve ove metode ispitivanja, laboratorije će možda želeti da pokažu tehničku stručnost tako što će pravilno klasifikovati 10 </w:t>
      </w:r>
      <w:r w:rsidRPr="00984859">
        <w:rPr>
          <w:rFonts w:ascii="Arial" w:eastAsia="Times New Roman" w:hAnsi="Arial" w:cs="Arial"/>
          <w:lang w:eastAsia="sr-Latn-RS"/>
        </w:rPr>
        <w:lastRenderedPageBreak/>
        <w:t xml:space="preserve">supstanci preporučenih u Tabeli 1. koja je data u ovoj metodi u pogledu njihovog svojstva da izazivaju teško oštećenje oka. Ove supstance su izabrane da predstavljaju opseg odgovora za lokalnu iritaciju/teško oštećenje oka, na osnovu rezultata ispitivanja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na oku kunića (TG 405) (tj. kategorije 1, 2A, 2B, ili ne ispunjavaju kriterijume za klasifikaciju i obeležene prema UN GHS</w:t>
      </w:r>
      <w:r w:rsidRPr="00984859">
        <w:rPr>
          <w:rFonts w:ascii="Arial" w:eastAsia="Times New Roman" w:hAnsi="Arial" w:cs="Arial"/>
          <w:b/>
          <w:bCs/>
          <w:sz w:val="15"/>
          <w:szCs w:val="15"/>
          <w:vertAlign w:val="superscript"/>
          <w:lang w:eastAsia="sr-Latn-RS"/>
        </w:rPr>
        <w:t>3,7</w:t>
      </w:r>
      <w:r w:rsidRPr="00984859">
        <w:rPr>
          <w:rFonts w:ascii="Arial" w:eastAsia="Times New Roman" w:hAnsi="Arial" w:cs="Arial"/>
          <w:lang w:eastAsia="sr-Latn-RS"/>
        </w:rPr>
        <w:t xml:space="preserve">). Međutim, s obzirom da je potvrđena korisnost ovih ispitivanja (tj. da se identifikuju samo supstance koje izazivaju teško oštećenje/iritaciju oka), postoje samo dva ishoda ispitivanja za svrhu klasifikacije (izazivaju teško oštećenje oka i jako iritativne za oko ili ne izazivaju teško oštećenje oka i nisu jako iritativne) koja pokazuju osposobljenost. Drugi kriterijumi za izbor supstanci bili su da se one mogu naći u prometu, da postoje visokokvalitetni referentni podaci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a postoje i kvalitetni podaci iz dve metode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za koje se izrađuju Smernice za ispitivanje. Iz tog razloga, iritativne supstance su izabrane sa preporučenog spiska ICCVAM od 122 referentne supstance za validaciju metoda ispitivanja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za utvrđivanje toksičnosti za oko (videti literaturu</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Referentni podaci se mogu naći u ranijem pregledu metode ispitivanja BCOP i metode na izolovanom oku pileta (u daljem tekstu: ICE)</w:t>
      </w:r>
      <w:r w:rsidRPr="00984859">
        <w:rPr>
          <w:rFonts w:ascii="Arial" w:eastAsia="Times New Roman" w:hAnsi="Arial" w:cs="Arial"/>
          <w:b/>
          <w:bCs/>
          <w:sz w:val="15"/>
          <w:szCs w:val="15"/>
          <w:vertAlign w:val="superscript"/>
          <w:lang w:eastAsia="sr-Latn-RS"/>
        </w:rPr>
        <w:t>17,18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Preporučene supstance za pokazivanje tehničke osposobljenosti za BCOP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34"/>
        <w:gridCol w:w="726"/>
        <w:gridCol w:w="1665"/>
        <w:gridCol w:w="1209"/>
        <w:gridCol w:w="1508"/>
        <w:gridCol w:w="2090"/>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klasa jedinjenja</w:t>
            </w:r>
            <w:r w:rsidRPr="00984859">
              <w:rPr>
                <w:rFonts w:ascii="Arial" w:eastAsia="Times New Roman" w:hAnsi="Arial" w:cs="Arial"/>
                <w:b/>
                <w:bCs/>
                <w:sz w:val="15"/>
                <w:szCs w:val="15"/>
                <w:vertAlign w:val="super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agregatno stanje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Klasifikacija </w:t>
            </w:r>
            <w:r w:rsidRPr="00984859">
              <w:rPr>
                <w:rFonts w:ascii="Arial" w:eastAsia="Times New Roman" w:hAnsi="Arial" w:cs="Arial"/>
                <w:i/>
                <w:iCs/>
                <w:lang w:eastAsia="sr-Latn-RS"/>
              </w:rPr>
              <w:t>In Vivo</w:t>
            </w:r>
            <w:r w:rsidRPr="00984859">
              <w:rPr>
                <w:rFonts w:ascii="Arial" w:eastAsia="Times New Roman" w:hAnsi="Arial" w:cs="Arial"/>
                <w:b/>
                <w:bCs/>
                <w:sz w:val="15"/>
                <w:szCs w:val="15"/>
                <w:vertAlign w:val="super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Klasifikacija </w:t>
            </w:r>
            <w:r w:rsidRPr="00984859">
              <w:rPr>
                <w:rFonts w:ascii="Arial" w:eastAsia="Times New Roman" w:hAnsi="Arial" w:cs="Arial"/>
                <w:i/>
                <w:iCs/>
                <w:lang w:eastAsia="sr-Latn-RS"/>
              </w:rPr>
              <w:t>In Vitro</w:t>
            </w:r>
            <w:r w:rsidRPr="00984859">
              <w:rPr>
                <w:rFonts w:ascii="Arial" w:eastAsia="Times New Roman" w:hAnsi="Arial" w:cs="Arial"/>
                <w:b/>
                <w:bCs/>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benzalkonijum hlorid (5%)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8001-54-5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Onijum jedinjenje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teško oštećenje oka/jako iritativno za oko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hlorheksidin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55-56-1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amin, amidin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korozivna/jako iritativna supstanca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dibenzoil-L-vinska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2743-38-6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karboksilna kiselina, estar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teško oštećenje oka/jako iritativno za oko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imidazol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288-32-4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heterociklično jedinjenje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teško oštećenje oka/jako iritativno za oko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trihlorsirćetna kiselina (30%)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76-03-9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karboksilna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teško oštećenje oka/jako iritativno za oko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2,6-dihlorobenzoil hlorid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4659-45-4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acil-halogenid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2A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 izaziva teško oštećenje oka/ ni jaku iritaciju oka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etil-2-metilacetoacetat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609-14-3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keton, estar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2B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 izaziva teško oštećenje oka/ ni jaku iritaciju oka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amonijum-nitrat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6484-52-2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neorganska so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2A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 izaziva teško oštećenje oka/ ni jaku iritaciju oka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glicerol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56-81-5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alkohol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klasifikovana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 izaziva teško oštećenje oka/ ni jaku iritaciju oka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-heksan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110-54-3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ugljovodonik (aciklični)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klasifikovana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 izaziva teško oštećenje oka/ ni jaku iritaciju oka </w:t>
            </w:r>
          </w:p>
        </w:tc>
      </w:tr>
      <w:tr w:rsidR="00984859" w:rsidRPr="00984859" w:rsidTr="00984859">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Skraćenice (Chemical Abstracts Service Registry Number, CASRN)</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Hemijske klase su dodeljene svakoj ispitivanoj supstanci koristeći standardnu šemu klasifikacije, na osnovu sistem klasifikacije medicinskog predmetnog registra Nacionalne </w:t>
            </w:r>
            <w:r w:rsidRPr="00984859">
              <w:rPr>
                <w:rFonts w:ascii="Arial" w:eastAsia="Times New Roman" w:hAnsi="Arial" w:cs="Arial"/>
                <w:lang w:eastAsia="sr-Latn-RS"/>
              </w:rPr>
              <w:lastRenderedPageBreak/>
              <w:t>medicinske biblioteke (dostupan na http://www.nlm.nih.gov/mesh).</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Na osnovu rezultata dobijenih ispitivanjem in vivo na oku kunića (OECD TG 405) i koristeći UN GHS</w:t>
            </w:r>
            <w:r w:rsidRPr="00984859">
              <w:rPr>
                <w:rFonts w:ascii="Arial" w:eastAsia="Times New Roman" w:hAnsi="Arial" w:cs="Arial"/>
                <w:b/>
                <w:bCs/>
                <w:sz w:val="15"/>
                <w:szCs w:val="15"/>
                <w:vertAlign w:val="superscript"/>
                <w:lang w:eastAsia="sr-Latn-RS"/>
              </w:rPr>
              <w:t>3,7</w:t>
            </w:r>
            <w:r w:rsidRPr="00984859">
              <w:rPr>
                <w:rFonts w:ascii="Arial" w:eastAsia="Times New Roman" w:hAnsi="Arial" w:cs="Arial"/>
                <w:lang w:eastAsia="sr-Latn-RS"/>
              </w:rPr>
              <w:t>.</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Na osnovu rezultata u BCOP i ICE.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DODATAK 3.</w:t>
      </w:r>
      <w:r w:rsidRPr="00984859">
        <w:rPr>
          <w:rFonts w:ascii="Arial" w:eastAsia="Times New Roman" w:hAnsi="Arial" w:cs="Arial"/>
          <w:b/>
          <w:bCs/>
          <w:lang w:eastAsia="sr-Latn-RS"/>
        </w:rPr>
        <w:br/>
        <w:t xml:space="preserve">DRŽAČ ROŽNJAČE ZA BCOP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Držači rožnjače za BCOP izrađeni su od inertnog materijala (npr. polipropilen). Držači se sastoje od dve polovine (prednje i zadnje komore) i imaju dve slična cilindrične unutrašnje komore. Svaka komora ima obim od 5 ml i završava se staklenim prozorom, kroz koji se beleže vrednosti zamućenja. Svaka od unutrašnjih komora ima 1,7 cm u prečniku i duboka je 2,2 cm</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O-prsten se nalazi na zadnjoj komori i koristi se za sprečavanje curenja. Rožnjače su postavljene endotelnom stranom na dole na o-prsten zadnjih komora, a prednje komore su postavljene na epitelnu stranu rožnjača. Komore se održavaju na mestu sa po tri šrafa od nerđajućeg materijala koji se nalaze na spoljnim ivicama komore. Na kraju svake komore nalazi se stakleni prozor koji se može ukloniti radi lakšeg pristupa rožnjači. O-prsten se takođe nalazi između stakla prozora i komore kako bi se sprečilo curenje. Dve rupe na vrhu svake komore omogućavaju unošenje i uklanjanje medijuma i ispitivanih jedinjenja. Tokom perioda ispitivanja i inkubacije one su zatvorene gumenim čepovima.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14:anchorId="29C70393" wp14:editId="52E0E283">
            <wp:extent cx="5743575" cy="3133725"/>
            <wp:effectExtent l="0" t="0" r="9525" b="9525"/>
            <wp:docPr id="85" name="Picture 85" descr="C:\Program Files (x86)\ParagrafLex\browser\Files\Old\t\t2013_12\t12_0570_s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Program Files (x86)\ParagrafLex\browser\Files\Old\t\t2013_12\t12_0570_s085.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43575" cy="31337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OPACITOMETAR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Opacitometar jeste uređaj za merenje prenosa svetlosti. Svetlo halogene lampe se šalje kroz kontrolni odeljak (prazna komora bez prozora ili tečnosti) u fotoćeliju i upoređuje sa svetlošću koja se šalje kroz eksperimentalni odeljak, u kome se nalazi komora sa rožnjačom, u fotoćeliju. Upoređuje se razlika u prenošenju svetlosti iz fotoćelija i na digitalnom ekranu se prikazuje numerička vrednost zamućenja. Utvrđene su jedinice zamućenja.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Opacitometar obezbeđuje linearni odgovor kroz niz očitavanja zamućenja koji pokrivaju granične tačke koje se koriste za različite klasifikacije opisane Modelom predviđanja (tj. do graničnih tačaka za određivanje teškog oštećenja i jako iritativnog svojstva). Da bi se obezbedila linearna i precizna očitavanja do 75 odnosno 80 jedinica zamućenja, neophodno </w:t>
      </w:r>
      <w:r w:rsidRPr="00984859">
        <w:rPr>
          <w:rFonts w:ascii="Arial" w:eastAsia="Times New Roman" w:hAnsi="Arial" w:cs="Arial"/>
          <w:lang w:eastAsia="sr-Latn-RS"/>
        </w:rPr>
        <w:lastRenderedPageBreak/>
        <w:t xml:space="preserve">je da se kalibriše opacitometer koristeći niz kalibratora. Kalibratori (neprozirni listovi od poliestera) se postavljaju u komoru za kalibraciju (komora za rožnjače namenjena da drži kalibratore) i očitavaju na opacitometru. Komora za kalibraciju je namenjena da drži kalibratore na približno istom rastojanju između svetlosti i fotoćelija kao što bi rožnjače bile postavljene tokom merenja zamućenja. Opacitometar se prvo kalibriše na 0 jedinica zamućenja pri čemu se koristi komora za kalibraciju bez kalibratora. Zatim se tri različita kalibratora stavljaju jedan po jedan u komoru za kalibraciju i meri se zamućenje. Kalibratori 1, 2 i 3 pokazuju vrednosti zamućenja koje su jednake njihovim unapred određenim vrednostima od 75, 150, odnosno 225 jedinica zamućenja ± 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B.48. METODA ISPITIVANJA NA IZOLOVANOM OKU PILETA ZA IDENTIFIKOVANJE HEMIKALIJA KOJE IZAZIVAJU TEŠKO OŠTEĆENJE OKA I JAKU IRITACIJU OKA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na izolovanom oku pileta (u daljem tekstu: ICE) je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metoda koja se može koristiti pod određenim uslovima i uz određena ograničenja, u cilju klasifikacije supstanci i smeša kao onih koje izazivaju teško oštećenje oka i jaku iritaciju oka</w:t>
      </w:r>
      <w:r w:rsidRPr="00984859">
        <w:rPr>
          <w:rFonts w:ascii="Arial" w:eastAsia="Times New Roman" w:hAnsi="Arial" w:cs="Arial"/>
          <w:b/>
          <w:bCs/>
          <w:sz w:val="15"/>
          <w:szCs w:val="15"/>
          <w:vertAlign w:val="superscript"/>
          <w:lang w:eastAsia="sr-Latn-RS"/>
        </w:rPr>
        <w:t>1,2,3</w:t>
      </w:r>
      <w:r w:rsidRPr="00984859">
        <w:rPr>
          <w:rFonts w:ascii="Arial" w:eastAsia="Times New Roman" w:hAnsi="Arial" w:cs="Arial"/>
          <w:lang w:eastAsia="sr-Latn-RS"/>
        </w:rPr>
        <w:t xml:space="preserve">. U ovoj metodi ispitivanja jako iritativne supstance su one supstance koje izazivaju povrede oka koje se kod zamorca zadržavaju najmanje 21 dan nakon primene. Iako ne može u potpunosti da zameni ispitivanje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na oku zamorca ICE se preporučuje za upotrebu kao deo višestepene strategije ispitivanja za propisanu klasifikaciju i obeležavanje u okviru posebnog područja primene</w:t>
      </w:r>
      <w:r w:rsidRPr="00984859">
        <w:rPr>
          <w:rFonts w:ascii="Arial" w:eastAsia="Times New Roman" w:hAnsi="Arial" w:cs="Arial"/>
          <w:b/>
          <w:bCs/>
          <w:sz w:val="15"/>
          <w:szCs w:val="15"/>
          <w:vertAlign w:val="superscript"/>
          <w:lang w:eastAsia="sr-Latn-RS"/>
        </w:rPr>
        <w:t>4,5</w:t>
      </w:r>
      <w:r w:rsidRPr="00984859">
        <w:rPr>
          <w:rFonts w:ascii="Arial" w:eastAsia="Times New Roman" w:hAnsi="Arial" w:cs="Arial"/>
          <w:lang w:eastAsia="sr-Latn-RS"/>
        </w:rPr>
        <w:t>. Ispitivane supstance i smeše</w:t>
      </w:r>
      <w:r w:rsidRPr="00984859">
        <w:rPr>
          <w:rFonts w:ascii="Arial" w:eastAsia="Times New Roman" w:hAnsi="Arial" w:cs="Arial"/>
          <w:sz w:val="15"/>
          <w:szCs w:val="15"/>
          <w:vertAlign w:val="superscript"/>
          <w:lang w:eastAsia="sr-Latn-RS"/>
        </w:rPr>
        <w:t>6</w:t>
      </w:r>
      <w:r w:rsidRPr="00984859">
        <w:rPr>
          <w:rFonts w:ascii="Arial" w:eastAsia="Times New Roman" w:hAnsi="Arial" w:cs="Arial"/>
          <w:lang w:eastAsia="sr-Latn-RS"/>
        </w:rPr>
        <w:t xml:space="preserve"> koje u ovom ispitivanju daju pozitivan rezultat mogu se klasifikovati kao one koje izazivaju teško oštećenje oka ili su jako iritativne bez dodatnog ispitivanja na kuniću. Supstanca sa negativnim rezultatom ispitivanja ispituje se na kuniću korišćenjem strategije višestepenog ispitivanja, koja je definisana u metodi B.5. koja je data u ovom prilogu.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ove metode ispitivanja je da se opišu postupci koji se koriste za ocenu potencijalnog svojstva ispitivane supstance da izazove teško oštećenje ili jaku iritaciju oka u pogledu njene sposobnosti da u izolovanom oku pileta dovede do pojave toksičnog efekta. Toksični efekti na rožnjaču se mere: 1) kvalitativnim ocenjivanjem zamućenja, 2) kvalitativnim ocenjivanjem oštećenja epitela na osnovu nanošenja fluoresceina na oko (zadržavanje fluoresceina), 3) kvantitativnim merenjem povećane debljine (nadutosti) i 4) kvalitativnim ocenjivanjem makroskopskog morfološkog oštećenja površine. Zamućenje rožnjače, nadutost i procene oštećenja nakon izlaganja ispitivanoj supstanci ocenjuju se pojedinačno, a zatim u kombinaciji, kako bi se izvela klasifikacija prema iritativnosti za oko.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Metodom ICE ispitivane su i supstance iritativne za oko koje izazivaju lezije koje nestaju za manje od 21 dan i supstance koje nisu iritativne. Međutim, preciznost i pouzdanost metode ispitivanja ICE za supstance u ovim kategorijama nisu formalno ocenjene.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POČETNA RAZMATRANJA I OGRANIČENJA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ispitivanja zasniva se na postupku</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metode ICE Međuagencijskog koordinacionog odbora za validaciju alternativnih metoda (u daljem tekstu: ICCVAM), koji je sačinjen po međunarodnoj validacionoj studiji</w:t>
      </w:r>
      <w:r w:rsidRPr="00984859">
        <w:rPr>
          <w:rFonts w:ascii="Arial" w:eastAsia="Times New Roman" w:hAnsi="Arial" w:cs="Arial"/>
          <w:b/>
          <w:bCs/>
          <w:sz w:val="15"/>
          <w:szCs w:val="15"/>
          <w:vertAlign w:val="superscript"/>
          <w:lang w:eastAsia="sr-Latn-RS"/>
        </w:rPr>
        <w:t>4,5,9</w:t>
      </w:r>
      <w:r w:rsidRPr="00984859">
        <w:rPr>
          <w:rFonts w:ascii="Arial" w:eastAsia="Times New Roman" w:hAnsi="Arial" w:cs="Arial"/>
          <w:lang w:eastAsia="sr-Latn-RS"/>
        </w:rPr>
        <w:t xml:space="preserve">, u kojoj su učestvovali Evropski Centar za validaciju alternativnih metoda, Japanski centar za validaciju alternativnih metoda i Odeljenje za toksikologiju i primenjenu farmakologiju holandskog Instituta za istraživanja kvaliteta </w:t>
      </w:r>
      <w:r w:rsidRPr="00984859">
        <w:rPr>
          <w:rFonts w:ascii="Arial" w:eastAsia="Times New Roman" w:hAnsi="Arial" w:cs="Arial"/>
          <w:lang w:eastAsia="sr-Latn-RS"/>
        </w:rPr>
        <w:lastRenderedPageBreak/>
        <w:t>života (u daljem tekstu: TNO). Postupak se zasniva na informacijama dobijenim iz objavljenih postupaka i sadašnjeg postupka koji koristi TNO</w:t>
      </w:r>
      <w:r w:rsidRPr="00984859">
        <w:rPr>
          <w:rFonts w:ascii="Arial" w:eastAsia="Times New Roman" w:hAnsi="Arial" w:cs="Arial"/>
          <w:b/>
          <w:bCs/>
          <w:sz w:val="15"/>
          <w:szCs w:val="15"/>
          <w:vertAlign w:val="superscript"/>
          <w:lang w:eastAsia="sr-Latn-RS"/>
        </w:rPr>
        <w:t>10,11,12,13,14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Utvrđena ograničenja za ovu metodu ispitivanja zasnivaju se na velikom udelu lažno pozitivnih rezultata za alkohole i velikom udelu lažno negativnih rezultata za supstance u čvrstom stanju i surfaktante (videti odeljak 2.1. ove metode)</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Kada se supstance iz ove klase jedinjenja i agregatnog stanja isključe iz baze podataka, tačnost ICE u sistemima za klasifikaciju EU, ERA i GHS se znatno poboljšava</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S obzirom na svrhu ove analize (tj. da se identifikuju samo supstance koje izazivaju teško oštećenje i jaku iritaciju oka), lažno negativni rezultati nisu od ključnog značaja, jer se takve supstance zatim ispituju na kuniću, ili, u zavisnosti od normativnih zahteva, sa drugim odgovarajuće validiranim ispitivanjima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primenom višestepene strategije ispitivanja na osnovu kvaliteta podataka. Osim toga, sadašnja baza podataka za validaciju nije dozvoljavala adekvatnu ocenu nekih klasa jedinjenja ili proizvoda (npr., smeše). Ispitivači mogu razmotriti korišćenje ove metode ispitivanja za ispitivanje svih vrsta materijala (uključujući smeše), pri čemu se pozitivan rezultat prihvata kao pokazatelj supstance koja izaziva teško oštećenje oka ili je jako iritativna za oko. Pozitivni rezultati dobijeni upotrebom alkohola oprezno se tumače zbog opasnosti od precenjivanja.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svih postupaka sa okom pileta poštuju se važeći propisi i procedure za rukovanje materijalom humanog ili životinjskog porekla, u koje spadaju, između ostalog tkiva i tkivne tečnosti. Preporučuju se univerzalne mere predostrožnosti za laboratorije</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Ograničenost ove metode ispitivanja je u tome što iako uzima u obzir neke okularne efekte koji su ocenjeni metodom ispitivanja za određivanje iritacije na oku kunića i u izvesnoj meri njihovu ozbiljnost, ne uzima u obzir oštećenja vežnjače i dužice. Takođe, iako se reverzibilnost oštećenja rožnjače kod metode ICE ne može proceniti sama po sebi, predloženo je, na osnovu studije na oku kunića, da se oceni početna dubina oštećenja rožnjače i tako utvrdi razlika između ireverzibilnih i reverzibilnih efekata</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xml:space="preserve">. Ispitivanom metodom ICE ne može da se proceni potencijalna sistemska toksičnost u vezi sa izlaganjem preko 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Trenutno se preduzimaju napori da se dodatno karakterišu korisnost i ograničenja metode ispitivanja ICE za određivanje slabije iritativnih i supstanci koje nisu iritativne (videti odeljak 2.1. ove metode). Korisnicima se preporučuje da obezbede organizacijama za validaciju uzorke i/ili podatke za formalnu evaluaciju mogućih korišćenja metode ispitivanja ICE u budućnosti, uključujući i za identifikaciju slabije iritativnih i supstanci koje nisu iritativne.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Svaka laboratorija koja ovu metodu uspostavlja po prvi put, koristi hemikalije za proveru sposobnosti date u Dodatku 2. ove metode. Laboratorija može da koristi ove hemikalije da pokaže tehničku kompeticiju za izvođenje metode ICE pre nego što se podaci ICE dostave radi normativne klasifikacije opasnosti.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ICE je organotipski model koji obezbeđuje kratkoročno održavanje oka pileta u uslovima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Kod ove metode ispitivanja, oštećenje koje izaziva ispitivana supstanca procenjuje se određivanjem nadutosti rožnjače, zamućenja i zadržavanja fluoresceina. Dok poslednja dva parametra uključuju kvalitativnu procenu, analiza nadutosti rožnjače omogućava kvantitativnu procenu. Svako merenje pretvara se u kvantitativan rezultat koji se koristi za izračunavanje ukupnog indeksa iritacije ili mu se dodeljuje kvalitativna kategorija koja se koristi za klasifikaciju u klasu teško oštećenje oka i jaka iritacija oka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Oba rezultata se mogu koristiti za predviđanje potencijala ispitivane supstance da izazove teško oštećenje ili jaku iritaciju oka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(videti Kriterijume za odlučivanje).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1.3.1. Izvor i starost očiju pilića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ovu analizu obično se koriste oči pilića koji su zaklani u klanicama i namenjeni za ishranu ljudi, čime se eliminiše potreba za laboratorijskim životinjama. Koriste se samo oči zdravih životinja pogodnih za ulazak u lanac ishrane ljudi.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nije sprovedena kontrolisana studija za procenu optimalne starosti pileta, u ovoj metodi ispitivanja koriste se mladi pilići starosti i telesne mase kakvi se obično obrađuju u živinarskim klanicama (tj. pilići stari približno 7 nedelja telesne mase 1,5 kg do 2,5 kg).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1.3.2. Sakupljanje i transport očiju u laboratoriju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Glave se uklanjaju neposredno po omamljivanju pilića, obično strujnim udarom i zasecanjem vrata radi iskrvavljenja. Trebalo da bude lociran lokalni izvor pilića (u blizini laboratorije) tako da njihove glave mogu da se prenesu iz klanice u laboratoriju dovoljno brzo kako bi se svelo na minimum propadanje i/ili kontaminacija bakterijama. Vremenski razmak između sakupljanja pilećih glava i upotrebe očiju u metodi ispitivanja ICE svodi se na minimum (obično u roku od dva sata), kako se ne bi umanjila vrednost rezultata ispitivanja. Ovi rezultati su zasnovani na kriterijumima za izbor očiju i odgovorima pozitivnih i negativnih kontrola. Sve oči upotrebljene u ispitivanju pripadaju istoj grupi očiju sakupljenoj u određenom danu.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Pošto se oči seciraju u laboratoriji, intaktne glave se transportuju iz klanice na sobnoj temperaturi u plastičnim kutijama i navlažene ubrusima natopljenim izotoničnim fiziološkim rastvorom.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1.3.3. Kriterijumi za izbor za očiju koje se koriste u 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Oči koje imaju visoku baznu liniju bojenja fluorescinom (tj. &gt; 0,5) ili skor zamućenja rožnjače (tj. &gt; 0,5) odbacuju se nakon izolacije.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Svaka ispitivana grupa i paralelna pozitivna kontrola se sastoji od najmanje tri oka. Za negativnu kontrolnu grupu ili kontrolu rastvarača (ako se umesto fiziološkog rastvora koristi neki drugi rastvarač) koristi se najmanje jedno oko.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1.4.1. Priprema 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Očni kapci se pažljivo isecaju, vodeći računa da se ne oštetiti rožnjača. Celovitost rožnjače se brzo ocenjuje tako što se na njenu površinu na nekoliko sekundi nanese kap 2% (w/v) natrijum fluoresceina, a zatim se ispere izotoničnim fiziološkim rastvorom. Oči tretirane fluoresceinom se zatim pregledaju mikroskopom sa slit-lampom kako bi se proverilo da li je rožnjača neoštećena (tj. zadržavanje fluoresceina i skor zamućenje rožnjače mora biti ≤ 0,5).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neoštećeno oko se zatim iseca iz lobanje, vodeći računa da se ne oštetiti rožnjača. Očna jabučica se povuče iz očne duplje tako da se trepavica čvrsto uhvati hirurškom pincetom, i očni mišići iseku savijenim makazama sa tupim vrhom. Važno je da se izbegne oštećenje rožnjače zbog prekomernog pritiska (tj. predmeta za stezanje).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oko izvadi iz očne duplje, vidljivi deo optičkog nerva ostaje spojen. Kada se izvadi iz očne duplje, oko se stavlja na upijajuću podlogu, a treći očni kapak i drugo vezivno tkivo se odseku.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Izvađeno oko stavlja se u stezaljku od nerđajućeg čelika sa rožnjačom u vertikalnom položaju. Stezaljka se prenese u komoru uređaja za superfuziju</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xml:space="preserve">. Stezaljka je postavljena u uređaj za superfuziju tako da je cela rožnjača snabdevena kapima fiziološkog rastvora. Temperatura u komorama uređaja za superfuziju je kontrolisana na 32° C ± 1,5° C. U Dodatku 3. ove metode dat je dijagram tipičnog uređaja za superfuziju i stezaljke za oko, koji se mogu naći na tržištu ili napraviti. Uređaj se može prilagoditi potrebama pojedinih laboratorija (npr. da se napravi mesta za različit broj očiju).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što se stave u uređaj za superfuziju, oči se ponovo ispituju mikroskopom sa slit-lampom kako bi se proverilo da nisu oštećene tokom postupka seciranja. Debljina rožnjače se meri i u ovoj fazi na najvišoj tački rožnjače elementom za merenje dubine na mikroskopu sa slit-lampom. Zamenjuju se oči sa 1) skorom zadržavanja fluoresceina &gt; 0,5; 2) zamućenja rožnjače &gt; 0,5 ili 3) bilo kakvim dodatnim znacima oštećenja. Od očiju koje se ne odbace na osnovu bilo kojeg od ovih kriterijuma, odbacuju se pojedinačne oči sa rožnjačom čija debljina odstupa više od 10% od srednje vrednosti za sve oči. Mikroskopi sa slit-lampom mogu da pokažu različite vrednosti debljine rožnjače ako je širina proreza drugačije podešena. Širina proreza je podešena na 0,095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sve oči ispitaju i odobre, oči se inkubiraju od 45 minuta do 60 minuta da se pre primena doze dovedu u ravnotežu sa sistemom za ispitivanje. Nakon perioda uravnotežavanja, kao bazna linija za debljinu i zamućenje rožnjače beleži se nulta referentna vrednost (tj. vreme = 0). Skor fluorescina određen pri seciranju koristi se kao bazna linija za taj efekat.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1.4.2. Primena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nakon merenja nultih referentnih vrednosti, oko (u svom držaču) se uklanja iz uređaja za superfuziju, stavlja u horizontalan položaj, a ispitivana supstanca se nanosi na rožnjaču.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u tečnom stanju se obično ispituju nerazblažene, ali po potrebi mogu da se razblaže (npr. kao deo dizajna ispitivanja). Najpogodniji kao rastvarač za razblažene supstance je fiziološki rastvor. Međutim, pod kontrolisanim uslovima mogu da se koriste i alternativni rastvarači, ali se prikazuje i prikladnost rastvarača, osim fiziološkog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u tečnom stanju nanose se na rožnjaču tako što se celokupna površina rožnjače ravnomerno prekrije ispitivanom supstancom; standardna zapremina je 0,03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moguće, supstance u čvrstom stanju se usitnjavaju što je više moguće tučkom u avanu ili sličnim sredstvom za drobljenje. Prašak se nanosi na rožnjaču tako da površina bude ravnomerno prekrivena ispitivanom supstancom; standardna količina je 0,03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(u tečnom ili čvrstom stanju) ostavi se da deluje 10 sekundi, a zatim se ispere iz oka fiziološkim rastvorom (oko 20 mL) na sobnoj temperaturi. Oko (u držaču) se potom vrati u uređaj za superfuziju u prvobitni uspravni položaj.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1.4.3.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Svaki eksperiment obuhvata paralelnu negativnu kontrolu ili kontrolu rastvarača/nosača i pozitivne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ispitivanju supstanci u tečnom stanju u koncentraciji 100% ili čvrstih supstanci, fiziološki rastvor se koristi kao paralelna negativna kontrola u metodi ICE da se otkriju nespecifične </w:t>
      </w:r>
      <w:r w:rsidRPr="00984859">
        <w:rPr>
          <w:rFonts w:ascii="Arial" w:eastAsia="Times New Roman" w:hAnsi="Arial" w:cs="Arial"/>
          <w:lang w:eastAsia="sr-Latn-RS"/>
        </w:rPr>
        <w:lastRenderedPageBreak/>
        <w:t xml:space="preserve">promene u sistemu za ispitivanje i da se proveri da li uslovi ispitivanja prouzrokuju iritativni odgovor.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ispitivanja razblaženih tečnih hemikalija, u ispitivanje se uključuje paralelna kontrolna grupa rastvarača/nosača, da se otkriju nespecifične promene u sistemu za ispitivanje i da se proveri da li uslovi ispitivanja uzrokuju iritativni odgovor. Može se koristiti samo rastvarač/nosač za koji je dokazano da nema štetnih efekata na sistem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svako ispitivanje, kao paralelna pozitivna kontrola, uključuju se supstance poznate kao iritativne za oko kako bi se proverilo da li dolazi do očekivanog odgovora. Kako se ICE koristi u ovoj metodi ispitivanja da se identifikuju supstance koje izazivaju teško oštećenje oka ili jaku iritaciju, pozitivna kontrola je referentna supstanca koja u ovoj metodi ispitivanja izaziva jak odgovor. Da bi se obezbedilo da varijabilnost u odgovoru pozitivne kontrole može da se ocenjuje u daljem vremenskom periodu, stepen jačine odgovora ne sme biti preteran. Za pozitivnu kontrolu se sakuplja dovoljno podataka </w:t>
      </w:r>
      <w:r w:rsidRPr="00984859">
        <w:rPr>
          <w:rFonts w:ascii="Arial" w:eastAsia="Times New Roman" w:hAnsi="Arial" w:cs="Arial"/>
          <w:i/>
          <w:iCs/>
          <w:lang w:eastAsia="sr-Latn-RS"/>
        </w:rPr>
        <w:t xml:space="preserve">in vitro </w:t>
      </w:r>
      <w:r w:rsidRPr="00984859">
        <w:rPr>
          <w:rFonts w:ascii="Arial" w:eastAsia="Times New Roman" w:hAnsi="Arial" w:cs="Arial"/>
          <w:lang w:eastAsia="sr-Latn-RS"/>
        </w:rPr>
        <w:t xml:space="preserve">kako bi se mogao izračunati statistički definisan prihvatljiv raspon pozitivne kontrole. Ako za određenu pozitivnu kontrolu ne postoje odgovarajuće podaci dobijeni metodom ICE iz ranijih ispitivanja, sprovode se studije u kojima će se ovi podaci prikupiti.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Primeri pozitivnih kontrola za ispitivane supstance u tečnom stanju su 10%-tna sirćetna kiselina ili 5%-tni benzalkonijum hlorid, dok su primeri pozitivne kontrole za ispitivane supstance u čvrstom stanju natrijum hidroksid ili imidazol.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su pogodne za ocenu potencijala iritativnosti za oko koji nepoznate hemikalije specifične klase jedinjenja ili proizvoda imaju, ili za ocenu relativnog iritativnog potencijala iritanasa za oko u određenom opsegu iritativnih odgovora.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1.4.4. Merenje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Tretirane rožnjače se evaluiraju pre ispitivanja i sa početkom u 30, 75, 120, 180 i 240 minuta (± 5 minuta) po ispiranju koje se vrši nakon tretmana. Ovi vremenski intervali obezbeđuju adekvatan broj merenja tokom četvorosatnog tretmana i ostavljaju dovoljno vremena između merenja da se sprovedu neophodna posmatranja svih očiju.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Efekti koji se evaluiraju su zamućenje rožnjače, nadutost, zadržavanje fluoresceina, i morfološki efekti (npr. udubljivanje ili opuštanje epitela). Svi efekti, izuzev zadržavanja fluoresceina (što se određuje samo pre tretmana i 30 minuta posle izlaganja ispitivanoj supstanci) određuju se u svakom od gore navedenih vremenskih intervala.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fotografisanje radi dokumentovanja zamućenja rožnjače, zadržavanja fluoresceina, morfoloških efekata i, ako se sprovodi, histopatologija.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Posle završnog pregleda nakon četiri sata, preporučuje se da korisnici čuvaju oči u odgovarajućem fiksativu (npr. neutralni puferovani formalin) za eventualno histopatološko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Nadutost rožnjače se određuje merenjem debljine rožnjače optičkim pahimetrom na mikroskopu sa slit-lampom. Izražava se kao procenat i izračunava se na osnovu merenja debljine rožnjače prema sledećoj formuli: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9"/>
        <w:gridCol w:w="6235"/>
        <w:gridCol w:w="104"/>
        <w:gridCol w:w="2664"/>
      </w:tblGrid>
      <w:tr w:rsidR="00984859" w:rsidRPr="00984859" w:rsidTr="00984859">
        <w:trPr>
          <w:tblCellSpacing w:w="0" w:type="dxa"/>
        </w:trPr>
        <w:tc>
          <w:tcPr>
            <w:tcW w:w="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w:t>
            </w:r>
          </w:p>
        </w:tc>
        <w:tc>
          <w:tcPr>
            <w:tcW w:w="200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debljina rožnjače u vremenu </w:t>
            </w:r>
            <w:r w:rsidRPr="00984859">
              <w:rPr>
                <w:rFonts w:ascii="Arial" w:eastAsia="Times New Roman" w:hAnsi="Arial" w:cs="Arial"/>
                <w:i/>
                <w:iCs/>
                <w:lang w:eastAsia="sr-Latn-RS"/>
              </w:rPr>
              <w:t>t</w:t>
            </w:r>
            <w:r w:rsidRPr="00984859">
              <w:rPr>
                <w:rFonts w:ascii="Arial" w:eastAsia="Times New Roman" w:hAnsi="Arial" w:cs="Arial"/>
                <w:lang w:eastAsia="sr-Latn-RS"/>
              </w:rPr>
              <w:t xml:space="preserve"> - debljina rožnjače u vremenu = 0 </w:t>
            </w:r>
          </w:p>
        </w:tc>
        <w:tc>
          <w:tcPr>
            <w:tcW w:w="1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w:t>
            </w:r>
          </w:p>
        </w:tc>
        <w:tc>
          <w:tcPr>
            <w:tcW w:w="28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debljina rožnjače u vremenu = 0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Srednji procenat nadutosti rožnjače za sve ispitivane oči računa se za svako vreme posmatranja. Na osnovu najvišeg srednjeg skora nadutosti rožnjače, koja je zabeležena u bilo koje vreme, za svaku ispitivanu supstancu određuje se ukupni skor za kategoriju.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procenjivanja zamućenja rožnjače koristi se površina rožnjače koja je najmanje zamućena. Srednja vrednost zamućenja rožnjače za sve ispitivane oči izračunava se za svako vreme posmatranja. Na osnovu najvišeg srednjeg skora zamućenja rožnjače, koji je zabeležen u bilo koje vreme, za svaku ispitivanu supstancu određuje se ukupni skor kategorije (Tabela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Skorovi zamućenja rožnjače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13"/>
        <w:gridCol w:w="861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Skor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Zapažanje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Nije zamućena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veoma malo zamućena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Rasute ili difuzne oblasti; delovi dužice su jasno vidljivi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lako uočljiva oblast koja propušta svetlost; delovi dužice malo mutni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Veoma zamućena rožnjača; nisu vidljivi specifični delovi dužice, veličina zenice se jedva raspoznaje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Potpuna zamućenje rožnjače; dužica se ne vidi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vrednost zadržavanja fluoresceina za sve ispitivane oči se izračunava samo za vreme posmatranja od 30 minuta i za svaku ispitivanu supstancu se dodeljuje kao ukupni skor kategorije (Tabela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2. Skorovi zadržavanja fluoresceina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83"/>
        <w:gridCol w:w="844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Skor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Zapažanje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Bez zadržavanja fluoresceina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Veoma mala obojenost pojedinačnih ćelija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Obojenost pojedinih ćelija rasutih širom tretirane oblasti rožnjače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Fokusna ili konfluentna obojenost pojedinih ćelija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Velike slivene oblasti rožnjače u kojima se zadržava fluorescein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Morfološki efekti uključuju udubljivanje epitelnih ćelija rožnjače, opuštanje epitela, hrapavljenje površine rožnjače i lepljenje ispitivane supstance za rožnjaču. Ovi nalazi mogu da variraju u jačini i mogu se pojaviti istovremeno. Klasifikovanje ovih nalaza je subjektivno u zavisnosti od tumačenja ispitivača.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2.1. Ocenjivanje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za zamućenje rožnjače, nadutost i zadržavanje fluoresceina posebno se ocenjuju da se formira klasa ICE za svaki efekat. Klase ICE za svaki efekat se zatim kombinuju da daju klasifikaciju na osnovu iritativnosti za svaku ispitivanu supstancu.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2.1. Kriterijumi za odlučivanje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Kada se evaluiraju svi efekti, na osnovu unapred utvrđenih opsega mogu se dodeliti klase ICE. Debljina rožnjače (Tabela 3), zamućenje (Tabela 4) i zadržavanje fluoresceina (Tabela 5) tumače se pomoću četiri ICE klase prema sledećim skalama: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3. Kriterijumi za ICE klasifikaciju debljine rožnjače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032"/>
        <w:gridCol w:w="2100"/>
      </w:tblGrid>
      <w:tr w:rsidR="00984859" w:rsidRPr="00984859" w:rsidTr="00984859">
        <w:trPr>
          <w:tblCellSpacing w:w="0" w:type="dxa"/>
        </w:trPr>
        <w:tc>
          <w:tcPr>
            <w:tcW w:w="38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nadutost rožnjače (%) </w:t>
            </w:r>
            <w:r w:rsidRPr="00984859">
              <w:rPr>
                <w:rFonts w:ascii="Arial" w:eastAsia="Times New Roman" w:hAnsi="Arial" w:cs="Arial"/>
                <w:b/>
                <w:bCs/>
                <w:sz w:val="15"/>
                <w:szCs w:val="15"/>
                <w:vertAlign w:val="superscript"/>
                <w:lang w:eastAsia="sr-Latn-RS"/>
              </w:rPr>
              <w:t>[*]</w:t>
            </w:r>
          </w:p>
        </w:tc>
        <w:tc>
          <w:tcPr>
            <w:tcW w:w="11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Klasa ICE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do 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5 do 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12 do 18 (&gt; 75 min posle tretmana)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12 do 18 (≤ 75 min posle tretmana)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18 do 26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26 do 32 (&gt; 75 min posle tretmana)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26 do 32 (≤ 75 min posle tretmana)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IV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w:t>
            </w:r>
            <w:r w:rsidRPr="00984859">
              <w:rPr>
                <w:rFonts w:ascii="Arial" w:eastAsia="Times New Roman" w:hAnsi="Arial" w:cs="Arial"/>
                <w:lang w:eastAsia="sr-Latn-RS"/>
              </w:rPr>
              <w:t xml:space="preserve"> Skorovi nadutosti rožnjače su primenljivi samo ako je merenje izvršeno pomoću mikroskopa sa Haag-Streit BP900 slit lampom, sa elementom za merenje dubine No I podešavanjem širine 9½ (0,095 mm). Mikroskopi sa ovakvom lampom mogu dati različite rezultate merenja za debljinu rožnjače ako je slit širina drugačije podešena.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4. Kriterijumi za ICE klasifikaciju zamućenja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032"/>
        <w:gridCol w:w="2100"/>
      </w:tblGrid>
      <w:tr w:rsidR="00984859" w:rsidRPr="00984859" w:rsidTr="00984859">
        <w:trPr>
          <w:tblCellSpacing w:w="0" w:type="dxa"/>
        </w:trPr>
        <w:tc>
          <w:tcPr>
            <w:tcW w:w="38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Srednji najviši skor zamućenja </w:t>
            </w:r>
            <w:r w:rsidRPr="00984859">
              <w:rPr>
                <w:rFonts w:ascii="Arial" w:eastAsia="Times New Roman" w:hAnsi="Arial" w:cs="Arial"/>
                <w:b/>
                <w:bCs/>
                <w:sz w:val="15"/>
                <w:szCs w:val="15"/>
                <w:vertAlign w:val="superscript"/>
                <w:lang w:eastAsia="sr-Latn-RS"/>
              </w:rPr>
              <w:t>[*]</w:t>
            </w:r>
          </w:p>
        </w:tc>
        <w:tc>
          <w:tcPr>
            <w:tcW w:w="11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Klasa ICE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0,6-1,5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IV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 xml:space="preserve">[*] </w:t>
            </w:r>
            <w:r w:rsidRPr="00984859">
              <w:rPr>
                <w:rFonts w:ascii="Arial" w:eastAsia="Times New Roman" w:hAnsi="Arial" w:cs="Arial"/>
                <w:lang w:eastAsia="sr-Latn-RS"/>
              </w:rPr>
              <w:t xml:space="preserve">Videti Tabelu 1.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5. Kriterijumi za ICE klasifikaciju srednji skor zadržavanja fluoresceina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032"/>
        <w:gridCol w:w="2100"/>
      </w:tblGrid>
      <w:tr w:rsidR="00984859" w:rsidRPr="00984859" w:rsidTr="00984859">
        <w:trPr>
          <w:tblCellSpacing w:w="0" w:type="dxa"/>
        </w:trPr>
        <w:tc>
          <w:tcPr>
            <w:tcW w:w="38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Srednji skor zadržavanja fluoresceina 30 minuta posle tretmana </w:t>
            </w:r>
            <w:r w:rsidRPr="00984859">
              <w:rPr>
                <w:rFonts w:ascii="Arial" w:eastAsia="Times New Roman" w:hAnsi="Arial" w:cs="Arial"/>
                <w:b/>
                <w:bCs/>
                <w:sz w:val="15"/>
                <w:szCs w:val="15"/>
                <w:vertAlign w:val="superscript"/>
                <w:lang w:eastAsia="sr-Latn-RS"/>
              </w:rPr>
              <w:t>[*]</w:t>
            </w:r>
          </w:p>
        </w:tc>
        <w:tc>
          <w:tcPr>
            <w:tcW w:w="11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Klasa ICE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0,6-1,5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IV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w:t>
            </w:r>
            <w:r w:rsidRPr="00984859">
              <w:rPr>
                <w:rFonts w:ascii="Arial" w:eastAsia="Times New Roman" w:hAnsi="Arial" w:cs="Arial"/>
                <w:lang w:eastAsia="sr-Latn-RS"/>
              </w:rPr>
              <w:t xml:space="preserve"> Videti Tabelu 2.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Opšta klasifikacija ispitivanih supstanci za iritativnost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procenjuje se očitavanjem klasifikacije iritativnosti koja odgovara kombinaciji kategorija dobijenih za nadutost rožnjače, zamućenje rožnjače i zadržavanje fluoresceina i upotrebom formula iz Tabele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6. Ukupna klasifikacija za iritativnost </w:t>
      </w:r>
      <w:r w:rsidRPr="00984859">
        <w:rPr>
          <w:rFonts w:ascii="Arial" w:eastAsia="Times New Roman" w:hAnsi="Arial" w:cs="Arial"/>
          <w:i/>
          <w:iCs/>
          <w:lang w:eastAsia="sr-Latn-RS"/>
        </w:rPr>
        <w:t>in vitro</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437"/>
        <w:gridCol w:w="5695"/>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Klasifikacija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Kombinacije tri efekta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Teško oštećenje oka/jaka iritacija oka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3 × IV</w:t>
            </w:r>
            <w:r w:rsidRPr="00984859">
              <w:rPr>
                <w:rFonts w:ascii="Arial" w:eastAsia="Times New Roman" w:hAnsi="Arial" w:cs="Arial"/>
                <w:lang w:eastAsia="sr-Latn-RS"/>
              </w:rPr>
              <w:br/>
              <w:t xml:space="preserve">2 × IV, 1 × III </w:t>
            </w:r>
            <w:r w:rsidRPr="00984859">
              <w:rPr>
                <w:rFonts w:ascii="Arial" w:eastAsia="Times New Roman" w:hAnsi="Arial" w:cs="Arial"/>
                <w:lang w:eastAsia="sr-Latn-RS"/>
              </w:rPr>
              <w:br/>
              <w:t xml:space="preserve">2 × IV, 1 × II </w:t>
            </w:r>
            <w:r w:rsidRPr="00984859">
              <w:rPr>
                <w:rFonts w:ascii="Arial" w:eastAsia="Times New Roman" w:hAnsi="Arial" w:cs="Arial"/>
                <w:b/>
                <w:bCs/>
                <w:sz w:val="15"/>
                <w:szCs w:val="15"/>
                <w:vertAlign w:val="superscript"/>
                <w:lang w:eastAsia="sr-Latn-RS"/>
              </w:rPr>
              <w:t>[*]</w:t>
            </w:r>
            <w:r w:rsidRPr="00984859">
              <w:rPr>
                <w:rFonts w:ascii="Arial" w:eastAsia="Times New Roman" w:hAnsi="Arial" w:cs="Arial"/>
                <w:lang w:eastAsia="sr-Latn-RS"/>
              </w:rPr>
              <w:br/>
            </w:r>
            <w:r w:rsidRPr="00984859">
              <w:rPr>
                <w:rFonts w:ascii="Arial" w:eastAsia="Times New Roman" w:hAnsi="Arial" w:cs="Arial"/>
                <w:lang w:eastAsia="sr-Latn-RS"/>
              </w:rPr>
              <w:lastRenderedPageBreak/>
              <w:t xml:space="preserve">2 × IV, 1 × I </w:t>
            </w:r>
            <w:r w:rsidRPr="00984859">
              <w:rPr>
                <w:rFonts w:ascii="Arial" w:eastAsia="Times New Roman" w:hAnsi="Arial" w:cs="Arial"/>
                <w:b/>
                <w:bCs/>
                <w:sz w:val="15"/>
                <w:szCs w:val="15"/>
                <w:vertAlign w:val="superscript"/>
                <w:lang w:eastAsia="sr-Latn-RS"/>
              </w:rPr>
              <w:t>[*]</w:t>
            </w:r>
            <w:r w:rsidRPr="00984859">
              <w:rPr>
                <w:rFonts w:ascii="Arial" w:eastAsia="Times New Roman" w:hAnsi="Arial" w:cs="Arial"/>
                <w:lang w:eastAsia="sr-Latn-RS"/>
              </w:rPr>
              <w:br/>
              <w:t xml:space="preserve">zamućenje rožnjače ≥ 3 na 30 minuta (u najmanje 2 oka) </w:t>
            </w:r>
            <w:r w:rsidRPr="00984859">
              <w:rPr>
                <w:rFonts w:ascii="Arial" w:eastAsia="Times New Roman" w:hAnsi="Arial" w:cs="Arial"/>
                <w:lang w:eastAsia="sr-Latn-RS"/>
              </w:rPr>
              <w:br/>
              <w:t xml:space="preserve">zamućenje rožnjače = 4 u bilo koje vreme (kod najmanje 2 oka) </w:t>
            </w:r>
            <w:r w:rsidRPr="00984859">
              <w:rPr>
                <w:rFonts w:ascii="Arial" w:eastAsia="Times New Roman" w:hAnsi="Arial" w:cs="Arial"/>
                <w:lang w:eastAsia="sr-Latn-RS"/>
              </w:rPr>
              <w:br/>
              <w:t xml:space="preserve">Ozbiljno opuštanje epitela (kod najmanje 1 oka)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lastRenderedPageBreak/>
              <w:t>[*]</w:t>
            </w:r>
            <w:r w:rsidRPr="00984859">
              <w:rPr>
                <w:rFonts w:ascii="Arial" w:eastAsia="Times New Roman" w:hAnsi="Arial" w:cs="Arial"/>
                <w:lang w:eastAsia="sr-Latn-RS"/>
              </w:rPr>
              <w:t xml:space="preserve"> Manja verovatnoća da će se ovi efekti kombinovati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što je navedeno u odeljku 1.2. ove metode ako ispitivana supstanca nije identifikovana kao ona koja izaziva teško oštećenje ili jaku iritaciju oka, vrši se dodatno ispitivanje radi klasifikacije i obeležavanja. U primerima sa podacima iz metode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na oku kunića za određivanje supstanci koje izazivaju teško oštećenje oka i koje su jaki iritansi za oko, klasifikovanih prema sistemima klasifikacije ERA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EU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ili GHS</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ukupna tačnost metode ispitivanja ICE je 83% (120/144) do 87% (134/154), udeo lažno pozitivnih rezultata 6% (7 / 122) do 8% (9 /116), a lažno negativnih rezultata 41% (13/32) do 50% (15/30). Kada se iz baze podataka isključe supstance iz određenih klasa jedinjenja (tj. alkoholi i surfaktanti) i agregatnih stanja (npr. čvrsto stanje), tačnost ispitivanja ICE prema sistemima klasifikacije EU, ERA i GHS kreće se od 91% (75/82) do 92% (69/75), udeo lažno pozitivnih rezultata kreću se od 5% (4/73) do 6% (4/70), a lažno negativnih kreće se od 29% (2/7) do 3% (3/9)</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Čak i ako se supstance ne mogu klasifikovati u klasu teškog oštećenja oka ili jake iritacije oka, podaci dobijeni sa ICE u kombinaciji sa podacima iz ispitivanja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na oku kunića ili odgovarajuće validiranim ispitivanjem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korisni za dalju evaluaciju korisnosti i ograničenja metode ICE za utvrđivanje manje iritativnih i supstanci koje nisu iritativne (Smernice za upotrebu metoda ispitivanja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za određivanje toksičnosti za oko su u pripremi).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 Kriterijumi za prihvatljivost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smatra prihvatljivim ako paralelne negativne ili kontrole nosača/rastvarača i paralelne pozitivne kontrole daju klasifikaciju iritativnosti u nije iritativno, odnosno teško oštećenje/jaka iritacija oka.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(ako su relevantni za sprovođenje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Ispitivanim i kontrolnim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hemijski naziv, npr. naziv iz nomenklature IUPAC ili CAS naziv i CAS broj, ako su poznati;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registarski broj (RN) CAS, ako je poznat;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čistoća i sastav supstanci ili smeša (u masenim procentima), ako je takva informacija dostupna;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fizičko-hemijska svojstva, relevantna za sprovođenje studije, npr. agregatno stanje, isparljivost, pH vrednost, stabilnost, klasa jedinjenja, rastvorljivost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obrada ispitivanih/kontrolnih supstanci pre ispitivanja, ako je potrebno (npr. zagrevanje, usitnjavanje);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stabilnost, ako je poznata.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 Sponzoru i ispitivanoj laboratoriji: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ime i adresa sponzora, ispitivane laboratorije i rukovodioca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izvoru očiju (npr. objekat iz koga su prikupljene);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skladištenje i uslovi transporta očiju (npr. datum i vreme sakupljanja očiju, vremenski interval pre početka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moguće, posebne karakteristike životinja od kojih su sakupljene oči (npr. starost, pol, telesna masa životinje davaoca).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Opravdanosti metode ispitivanja i postupak koji je korišćen.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Integritetu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postupak da se obezbedi ispravnost (tj. tačnost i pouzdanost) metode ispitivanja u tokom vremena (npr. periodična ispitivanja supstanci za proveru sposobnosti, korišćenje podataka o negativnim i pozitivnim kontrolama iz ranijih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Kriterijumima za prihvatanje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primenljivo, prihvatljivi opsezi referentne kontrole na osnovu podataka iz ranijih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korišćenog sistema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korišćeni mikroskop sa slit-lampom (npr, model);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podešavanja za mikroskop sa slit-lampom;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upotrebljenim očima pilića, uključujući izjave o njihovom kvalitetu;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korišćenom postupku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korišćene koncentracije ispitivanih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svake izmene postupka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pozivanje na podatke iz ranijih ispitivanja modela (tj. negativnih i pozitivnih kontrola, supstance za proveru sposobnosti,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korišćenih kriterijuma za evaluaciju;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drugih primećenih efekata;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 potrebi, fotografije 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8) Tumačenju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Zaključcima.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U.S. EPA (1996). Label Review Manual: 2nd Edition. EPA737-B-96-001. Washington, DC: U.S. Environmental Protection Agency.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Regulation (EC) No 1272/2008 of the European Parliament and of the Council of 16 December 2008 on classification, labelling and packaging of substances and mixtures, amending and repealing Directive 67/548/EEC and 1999/45/EC, and amending Regulation (EC) No 1907/2006. OJ L 353, 31.12.2008, p.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United nations (UN) (2007). Globally Harmonized System of Classification and Labelling of Chemicals (GHS), Second revised edition, UN New York and Geneva, 2007. Available at: http://www.unece.org/trans/danger/publi/ghs/ghs_rev02/02files_e.html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ICCVAM (2007). Test Method Evaluation Report - In Vitro Ocular Toxicity Test Methods for Identifying Ocular Severe Irritants and Corrosives. Interagency Coordinating Committee on the Validation of Alternative Methods (ICCVAM) and the National Toxicology Program (NTP) Interagency Center for the Evaluation of Alternative Toxicological Methods (NICEATM). NIH Publication No: 07-4517. Available: http://iccvam.niehs.nih.gov/methods/ocutox/ivocutox/ocu_tmer.htm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ESAC (2007). Statement on the conclusion of the ICCVAM retrospective study on organotypic in vitro assays as screening tests to identify potential ocular corrosives and severe eye irritants. Available: http://ecvam.jrc.it/index.htm.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OJ L 396, 30.12.2006, p.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OECD (2002). Test Guideline 405. OECD Guideline for Testing of Chemicals. Acute eye irritation/corrosion. Available: http://www.oecd.org/document/40/0, 2340, en_2649_34377_37051368_1_1_1_1,00.html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ICCVAM (2007). ICCVAM Recommended ICE Test Method Protocol. In: ICCVAM Test Method Evaluation Report - In Vitro Ocular Toxicity Test Methods for Identifying Ocular Severe Irritants and Corrosives. Interagency Coordinating Committee on the Validation of Alternative Methods (ICCVAM) and the National Toxicology Program (NTP) Interagency Center for the Evaluation of Alternative Toxicological Methods (NICEATM). NIH Publication No: 07-4517. Available: http://iccvam.niehs.nih.gov/methods/ocutox/ivocutox/ocu_tmer.htm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ICCVAM. (2006). Current Status of In Vitro Test Methods for Identifying Ocular Corrosives and Severe Irritants: Isolated Chicken Eye Test Method. NIH Publication No: 06-4513. Research Triangle Park: National Toxicology Program. Available: http://iccvam.niehs.nih.gov/methods/ocutox/ivocutox/ocu_brd_ice.htm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10. Prinsen, M.K. and Koëter, B.W.M. (1993). Justification of the enucleated eye test with eyes of slaughterhouse animals as an alternative to the Draize eye irritation test with rabbits. Fd. Chem. Toxicol. 31:69-76.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INVITTOX (1994). Protocol 80: Chicken enucleated eye test (CEET). Available: http://ecvam.jrc.it/index.htm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Balls, M., Botham, P.A., Bruner, L.H. and Spielmann H. (1995). The EC/HO international validation study on alternatives to the Draize eye irritation test. Toxicol. In Vitro 9:871-929.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Prinsen, M.K. (1996). The chicken enucleated eye test (CEET): A practical (pre)screen for the assessment of eye irritation/corrosion potential of test materials. Food Chem. Toxicol. 34:291-296.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Chamberlain, M., Gad, S.C., Gautheron, P. and Prinsen, M.K. (1997). IRAG Working Group I: Organotypic models for the assessment/prediction of ocular irritation. Food Chem. Toxicol. 35:23-37.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Siegel, J.D., Rhinehart, E., Jackson, M., Chiarello, L., and the Healthcare Infection Control Practices Advisory Committee (2007). Guideline for Isolation Precautions: Preventing Transmission of Infectious Agents in Healthcare Settings. Available: http://www.cdc.gov/ncidod/dhqp/pdf/isolation2007.pdf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Maurer, J.K., Parker, R.D. and Jester J.V. (2002). Extent of corneal injury as the mechanistic basis for ocular irritation: key findings and recommendations for the development of alternative assays. Reg. Tox. Pharmacol. 36:106-117.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Burton, A.B.G., M. York and R.S. Lawrence (1981). The in vitro assessment of severe irritants. Fd. Cosmet.- Toxicol.- 19, 471-480.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ICCVAM (2006). Background review document, Current Status of In Vitro Test Methods for Identifying Ocular Corrosives and Severe Irritants: Bovine Corneal Opacity and Permeability (BCOP) Test Method. Available: http://iccvam.niehs.nih.gov/methods/ocutox/ivocutox/ocu_brd_bcop.htm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ICCVAM (2006). Background review document, Current Status of In Vitro Test Methods for Identifying Ocular Corrosives and Severe IrritantsIsolated Chicken Eye (ICE) Test Method. Available: http://iccvam.niehs.nih.gov/methods/ocutox/ivocutox/ocu_brd_bcop.htm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DODATAK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Tačnost jeste stepen ujednačenosti između rezultata ispitivanja i prihvaćenih referentnih vrednosti. Merilo je karakteristika metode ispitivanja i jedan od aspekata relevantnosti. Ovaj termin se često koristi u istom značenju kao "usklađenost" kako bi se označio udeo tačnih rezultata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Referentna supstanca jeste supstanca koja se koristi kao standard za poređenje sa ispitivanom supstancom. Referentna supstanca ima sledeća svojstva: 1) stalan i pouzdan izvor; 2) strukturnu i funkcionalnu sličnost sa klasom jedinjenja koje se ispituje; 3) poznata </w:t>
      </w:r>
      <w:r w:rsidRPr="00984859">
        <w:rPr>
          <w:rFonts w:ascii="Arial" w:eastAsia="Times New Roman" w:hAnsi="Arial" w:cs="Arial"/>
          <w:lang w:eastAsia="sr-Latn-RS"/>
        </w:rPr>
        <w:lastRenderedPageBreak/>
        <w:t xml:space="preserve">fizička/hemijska svojstva; 4) podatke o poznatim efektima i 5) poznati potencijal u opsegu očekivanog odgovora.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Rožnjača jeste prozirni deo prednjeg dela očne jabučice koji pokriva vežnjaču i dužicu i propušta svetlost u unutrašnjost.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Zamućenje rožnjače jeste mera obima zamućenosti rožnjače nakon izlaganja ispitivanoj supstanci. Povećano zamućenje rožnjače ukazuje na oštećenje rožnjače. Zamućenje se može evaluirati subjektivno kao kod Drajzeove metode na oku kunića, ili objektivno pomoću instrumenta kao što je opacitometar.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Nadutost rožnjače jeste objektivno merenje u metodi ICE, da se utvrdi stepen nadutosti rožnjače nakon izlaganja ispitivanoj supstanci. Izražava se u procentima i izračunava se od bazne linije (vrednosti pre nanošenja) izmerenih vrednosti debljine rožnjače i debljina zabeleženih u ispitivanju ICE u redovnim intervalima nakon izlaganja ispitivanoj hemikaliji. Stepen nadutosti rožnjače ukazuje na oštećenje rožnjače.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ERA kategorija 1 jeste korozivno (ireverzibilno uništavanje tkiva oka) koje oštećuje rožnjaču ili izaziva iritaciju koja se održava više od 21 dan</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EU kategorija R41 jeste oštećenje tkiva oka, ili ozbiljno fizičko propadanje vida, nakon nanošenja ispitivane supstance na prednju površinu oka, koja nije u potpunosti reverzibilna u roku od 21 dana od primene</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Udeo lažno negativnih jeste udeo svih pozitivnih supstanci koje su metodom ispitivanja pogrešno identifikovane kao negativne. Jedan je od pokazatelja karakteristika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Udeo lažno pozitivnih jeste udeo svih negativnih supstanci koje su metodom ispitivanja pogrešno identifikovane kao pozitivne. Jedan je od pokazatelja karakteristika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Zadržavanje fluoresceina jeste subjektivno merenje pri ispitivanju ICE u kojem se određuje stepen natrijum fluorescina koji se zadržava u epitelnim ćelijama u rožnjači nakon izlaganja ispitivanoj supstanci. Stepen zadržavanja fluoresceina ukazuje na oštećenje epitela rožnjače.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GHS jeste Globalno harmonizovani sistem za klasifikaciju i obeležavanje hemikalija odnosno sistem koji predlaže klasifikaciju hemikalija (supstanci i smeša) prema standardizovanim vrstama i nivoima fizičkih opasnosti i opasnosti po zdravlje ljudi i životnu sredinu, koji obuhvata i odgovarajuće elemente komunikacije, kao što su: piktogrami, znakovi opasnosti, pisana upozorenja, oznake rizika i bezbednosti, i bezbednosni listovi, da bi se prenela informacija o njihovim štetnim efektima sa ciljem da se zaštite ljudi (uključujući poslodavce, radnike, prevoznike, potrošače i pružaoce pomoći u vanrednim situacijama) i životna sredina</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GHS kategorija 1 jeste oštećenje tkiva oka, ili ozbiljno fizičko propadanje vida, nakon nanošenja ispitivane supstance na prednju površinu oka, koja nije potpuno reverzibilna u roku od 21 dana od primene</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Opasnost jeste svojstvo agensa ili situacije koje može da dovede do štetnih efekata kada su organizam, sistem ili (sub)populacija izloženi tom agensu.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Negativna kontrola jeste netretirani uzorak koji sadrži sve komponente sistema za ispitivanje. Ovaj uzorak se obrađuje sa uzorcima tretiranim ispitivanom supstancom i drugim kontrolnim uzorcima da utvrdi ima li interakcije između rastvarača i sistema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Hemikalija koja nije iritativna jesu supstance koje nisu klasifikovane kao supstance iritativne za oko ERA kategorije 1, 2, ili 3 EU kategorije R41 ili R36; ili GHS kategorije 1, 2A ili 2B.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Hemikalija koja izaziva teško oštećenje oka jeste: a) supstanca koja izaziva ireverzibilno oštećenje tkiva oka; b) supstance koje su klasifikovane kao iritativne za oko GHS kategorije 1, ERA kategorije I ili EU kategorije R41</w:t>
      </w:r>
      <w:r w:rsidRPr="00984859">
        <w:rPr>
          <w:rFonts w:ascii="Arial" w:eastAsia="Times New Roman" w:hAnsi="Arial" w:cs="Arial"/>
          <w:b/>
          <w:bCs/>
          <w:sz w:val="15"/>
          <w:szCs w:val="15"/>
          <w:vertAlign w:val="superscript"/>
          <w:lang w:eastAsia="sr-Latn-RS"/>
        </w:rPr>
        <w:t>1,2,3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Iritativno za oko jeste: a) supstanca koja dovodi do reverzibilne promene u oku nakon nanošenja na prednju površinu oka; b) supstance koje su klasifikovane kao supstance iritativne za oko ERA kategorije II ili III, EU kategorije R36 ili GHS kategorije 2A ili 2B</w:t>
      </w:r>
      <w:r w:rsidRPr="00984859">
        <w:rPr>
          <w:rFonts w:ascii="Arial" w:eastAsia="Times New Roman" w:hAnsi="Arial" w:cs="Arial"/>
          <w:b/>
          <w:bCs/>
          <w:sz w:val="15"/>
          <w:szCs w:val="15"/>
          <w:vertAlign w:val="superscript"/>
          <w:lang w:eastAsia="sr-Latn-RS"/>
        </w:rPr>
        <w:t>1,2,3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Jako iritativno za oko jeste: a) supstanca koja izaziva oštećenje tkiva oka nakon nanošenja na prednju površinu oka koje se ne povlači u roku od 21 dana od dana nanošenja ili izaziva ozbiljno fizičko propadanje vida, b) supstance koje su klasifikovane kao supstance iritativne za oko GHS kategorije 1, ERA kategorije I ili EU kategorije R41</w:t>
      </w:r>
      <w:r w:rsidRPr="00984859">
        <w:rPr>
          <w:rFonts w:ascii="Arial" w:eastAsia="Times New Roman" w:hAnsi="Arial" w:cs="Arial"/>
          <w:b/>
          <w:bCs/>
          <w:sz w:val="15"/>
          <w:szCs w:val="15"/>
          <w:vertAlign w:val="superscript"/>
          <w:lang w:eastAsia="sr-Latn-RS"/>
        </w:rPr>
        <w:t>1,2,3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Pozitivna kontrola jeste uzorak koji sadrži sve komponente sistema za ispitivanje i koji se tretira supstancom za koju se zna da izaziva pozitivni odgovor. Da bi se obezbedilo da varijabilnost u odgovoru pozitivne kontrole može da se ocenjuje tokom vremena, jačina odgovora ne sme da bude preterana.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Pouzdanost pokazuje u kojoj meri metoda ispitivanja može da se ponavlja unutar jedne laboratorije i između više laboratorija tokom vremena uz primenu istog postupka. Ocenjuje se izračunavanjem ponovljivosti unutar jedne laboratorije i između više laboratorija.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Mikroskop sa slit-lampom jeste instrument koji se koristi za direktno ispitivanje oka pod uvećanjem binokularnog mikroskopa stvaranjem stereoskopske, uspravne slike. U metodi ispitivanja ICE, ovaj instrument se koristi za pregled prednjih struktura oka pileta, kao i da se objektivno izmeri debljina rožnjače sa dodatkom za merenje dubine.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Kontrola rastvarača/nosača jeste netretirani uzorak koji sadrži sve komponente sistema za ispitivanje, uključujući rastvarač ili nosač koji se obrađuje sa uzorcima tretiranim ispitivanom supstancom i drugim kontrolnim uzorcima kako bi se utvrdila bazna linija odgovora za uzorke tretirane ispitivanom supstancom rastvorenom u tom rastvaraču ili nosaču. Kada se ispituje sa paralelnom negativnom kontrolom, ovaj uzorak pokazuje i da li rastvarač ili nosač reaguje sa sistemom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Višestepeno ispitivanje jeste strategija ispitivanja korak po korak gde se određenim redosledom pregledaju sve postojeće informacije o ispitivanoj supstanci, pri čemu se na svakom stepenu koristi postupak procene kvaliteta podataka da bi se utvrdilo da li postoji dovoljno informacija za odluku o klasifikovanju supstance kao opasne, pre prelaska na sledeći stepen. Ako se na osnovu postojećih informacija može pripisati iritativni potencijal ispitivanoj supstanci, nije potrebno dodatno ispitivanje. Ako se na osnovu postojećih informacija ne može pripisati iritativni potencijal ispitivane supstance, izvodi se postupak višestepenog ispitivanja korak po korak na životinjama dok ne bude moguće izvršiti nedvosmislenu klasifikaciju.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Validirana metoda ispitivanja jeste metoda ispitivanja kod koje su na osnovu izvršenih studija validacije utvrđeni relevantnost (uključujući i tačnost) i pouzdanost za određenu namenu. </w:t>
      </w:r>
      <w:r w:rsidRPr="00984859">
        <w:rPr>
          <w:rFonts w:ascii="Arial" w:eastAsia="Times New Roman" w:hAnsi="Arial" w:cs="Arial"/>
          <w:lang w:eastAsia="sr-Latn-RS"/>
        </w:rPr>
        <w:lastRenderedPageBreak/>
        <w:t xml:space="preserve">Važno je napomenuti da validirana metoda ispitivanja ne mora da ima zadovoljavajuće karakteristike u pogledu tačnosti i pouzdanosti da bi bila prihvatljiva za predloženu namenu.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Kvalitet podataka jeste postupak razmatranja prednosti i slabosti različitih informacija da se donese i podrži zaključak u pogledu potencijalne opasnosti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DODATAK 2.</w:t>
      </w:r>
      <w:r w:rsidRPr="00984859">
        <w:rPr>
          <w:rFonts w:ascii="Arial" w:eastAsia="Times New Roman" w:hAnsi="Arial" w:cs="Arial"/>
          <w:b/>
          <w:bCs/>
          <w:lang w:eastAsia="sr-Latn-RS"/>
        </w:rPr>
        <w:br/>
        <w:t xml:space="preserve">SUPSTANCE ZA PROVERU SPOSOBNOSTI ZA IZVOĐENJE METODE ISPITIVANJA 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rutinskog korišćenja metode ispitivanja koja ispunjava zahteve ove metode ispitivanja, laboratorije će možda želeti da pokaže tehničku stručnost tako što će pravilno klasifikovati 10 supstanci preporučenih u Tabeli 1. koja je data u ovoj metodi u pogledu njihovog svojstva da izazivaju teško oštećenje oka. Ove supstance su izabrane da predstavljaju opseg odgovora za lokalnu iritaciju/teško oštećenje oka, na osnovu rezultata ispitivanja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na oku kunića (Uputstvo za ispitivanje OECD 405) (tj. kategorije 1, 2A, 2B, ili neklasifikovane i obeležene prema UN GHS</w:t>
      </w:r>
      <w:r w:rsidRPr="00984859">
        <w:rPr>
          <w:rFonts w:ascii="Arial" w:eastAsia="Times New Roman" w:hAnsi="Arial" w:cs="Arial"/>
          <w:b/>
          <w:bCs/>
          <w:sz w:val="15"/>
          <w:szCs w:val="15"/>
          <w:vertAlign w:val="superscript"/>
          <w:lang w:eastAsia="sr-Latn-RS"/>
        </w:rPr>
        <w:t>3,7</w:t>
      </w:r>
      <w:r w:rsidRPr="00984859">
        <w:rPr>
          <w:rFonts w:ascii="Arial" w:eastAsia="Times New Roman" w:hAnsi="Arial" w:cs="Arial"/>
          <w:lang w:eastAsia="sr-Latn-RS"/>
        </w:rPr>
        <w:t xml:space="preserve">. S obzirom da je potvrđena korisnost ovih ispitivanja (tj. da se identifikuju samo supstance koje izazivaju teško oštećenje/iritaciju oka), postoje samo dva ishoda ispitivanja u svrhu klasifikacije (izazivaju teško oštećenje oka i jako iritativne za oko ili ne izazivaju teško oštećenje oka i nisu jako iritativne) koja pokazuju osposobljenost. Drugi kriterijumi za izbor supstanci bili su da se one mogu naći u prometu, da postoje visokokvalitetni referentni podaci </w:t>
      </w:r>
      <w:r w:rsidRPr="00984859">
        <w:rPr>
          <w:rFonts w:ascii="Arial" w:eastAsia="Times New Roman" w:hAnsi="Arial" w:cs="Arial"/>
          <w:i/>
          <w:iCs/>
          <w:lang w:eastAsia="sr-Latn-RS"/>
        </w:rPr>
        <w:t>in vivo</w:t>
      </w:r>
      <w:r w:rsidRPr="00984859">
        <w:rPr>
          <w:rFonts w:ascii="Arial" w:eastAsia="Times New Roman" w:hAnsi="Arial" w:cs="Arial"/>
          <w:lang w:eastAsia="sr-Latn-RS"/>
        </w:rPr>
        <w:t xml:space="preserve">, a postoje i kvalitetni podaci iz dve metode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za koje se izrađuju Smernice za ispitivanje. Iz tog razloga, iritativne supstance su izabrane sa preporučenog spiska ICCVAM od 122 referentne supstance za validaciju metoda ispitivanja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za utvrđivanje toksičnosti za oko (videti literaturu</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Referentni podaci se mogu naći u ranijem pregledu metode ispitivanja BCOP i metode na izolovanom oku pileta (ICE)</w:t>
      </w:r>
      <w:r w:rsidRPr="00984859">
        <w:rPr>
          <w:rFonts w:ascii="Arial" w:eastAsia="Times New Roman" w:hAnsi="Arial" w:cs="Arial"/>
          <w:b/>
          <w:bCs/>
          <w:sz w:val="15"/>
          <w:szCs w:val="15"/>
          <w:vertAlign w:val="superscript"/>
          <w:lang w:eastAsia="sr-Latn-RS"/>
        </w:rPr>
        <w:t>18,19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Preporučene supstance za pokazivanje tehničke osposobljenosti za ICE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63"/>
        <w:gridCol w:w="1106"/>
        <w:gridCol w:w="1598"/>
        <w:gridCol w:w="1168"/>
        <w:gridCol w:w="1467"/>
        <w:gridCol w:w="1930"/>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klasa jedinjenja </w:t>
            </w:r>
            <w:r w:rsidRPr="00984859">
              <w:rPr>
                <w:rFonts w:ascii="Arial" w:eastAsia="Times New Roman" w:hAnsi="Arial" w:cs="Arial"/>
                <w:b/>
                <w:bCs/>
                <w:sz w:val="15"/>
                <w:szCs w:val="15"/>
                <w:vertAlign w:val="super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agregatno stanje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Klasifikacija </w:t>
            </w:r>
            <w:r w:rsidRPr="00984859">
              <w:rPr>
                <w:rFonts w:ascii="Arial" w:eastAsia="Times New Roman" w:hAnsi="Arial" w:cs="Arial"/>
                <w:i/>
                <w:iCs/>
                <w:lang w:eastAsia="sr-Latn-RS"/>
              </w:rPr>
              <w:t xml:space="preserve">In Vivo </w:t>
            </w:r>
            <w:r w:rsidRPr="00984859">
              <w:rPr>
                <w:rFonts w:ascii="Arial" w:eastAsia="Times New Roman" w:hAnsi="Arial" w:cs="Arial"/>
                <w:b/>
                <w:bCs/>
                <w:sz w:val="15"/>
                <w:szCs w:val="15"/>
                <w:vertAlign w:val="super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Klasifikacija </w:t>
            </w:r>
            <w:r w:rsidRPr="00984859">
              <w:rPr>
                <w:rFonts w:ascii="Arial" w:eastAsia="Times New Roman" w:hAnsi="Arial" w:cs="Arial"/>
                <w:i/>
                <w:iCs/>
                <w:lang w:eastAsia="sr-Latn-RS"/>
              </w:rPr>
              <w:t>In Vitro</w:t>
            </w:r>
            <w:r w:rsidRPr="00984859">
              <w:rPr>
                <w:rFonts w:ascii="Arial" w:eastAsia="Times New Roman" w:hAnsi="Arial" w:cs="Arial"/>
                <w:b/>
                <w:bCs/>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benzalkonijum hlorid (5%)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8001-54-5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onijum jedinjenje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teško oštećenje oka/jako iritativno za oko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hlorheksidin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55-56-1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amin, amidin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korozivna/jako iritativna supstanca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dibenzoil-L-vinska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2743-38-6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karboksilna kiselina, estar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teško oštećenje oka/jako iritativno za oko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imidazol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288-32-4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heterociklično jedinjenje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teško oštećenje oka/jako iritativno za oko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trihlorsirćetna kiselina (30%)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76-03-9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karboksilna kiselina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teško oštećenje oka/jako iritativno za oko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2,6-dihlorobenzoil hlorid </w:t>
            </w:r>
          </w:p>
        </w:tc>
        <w:tc>
          <w:tcPr>
            <w:tcW w:w="0" w:type="auto"/>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4659-45-4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acil-halogenid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2A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 izaziva teško oštećenje oka/ ni jaku iritaciju oka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etil-2-metilacetoacetat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609-14-3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keton, estar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2B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 izaziva teško oštećenje oka/ ni jaku iritaciju oka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amonijum-nitrat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6484-52-2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neorganska so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čvrsto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Kategorija 2A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 izaziva teško </w:t>
            </w:r>
            <w:r w:rsidRPr="00984859">
              <w:rPr>
                <w:rFonts w:ascii="Arial" w:eastAsia="Times New Roman" w:hAnsi="Arial" w:cs="Arial"/>
                <w:lang w:eastAsia="sr-Latn-RS"/>
              </w:rPr>
              <w:lastRenderedPageBreak/>
              <w:t xml:space="preserve">oštećenje oka/ ni jaku iritaciju oka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glicerol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56-81-5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alkohol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klasifikovana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 izaziva teško oštećenje oka/ ni jaku iritaciju oka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n-heksan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110-54-3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ugljovodonik (aciklični)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tečno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nije klasifikovana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 izaziva teško oštećenje oka/ ni jaku iritaciju oka </w:t>
            </w:r>
          </w:p>
        </w:tc>
      </w:tr>
      <w:tr w:rsidR="00984859" w:rsidRPr="00984859" w:rsidTr="00984859">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Skraćenice (Chemical Abstracts Service Registry Number, CASRN):</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Hemijske klase su dodeljene svakoj ispitivanoj supstanci koristeći standardnu šemu klasifikacije, na osnovu sistem klasifikacije medicinskog predmetnog registra Nacionalne medicinske biblioteke (dostupan na http://www.nlm.nih.gov/mesh).</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Na osnovu rezultata dobijenih ispitivanjem in vivo na oku kunića (OECD TG 405) i koristeći UN GHS</w:t>
            </w:r>
            <w:r w:rsidRPr="00984859">
              <w:rPr>
                <w:rFonts w:ascii="Arial" w:eastAsia="Times New Roman" w:hAnsi="Arial" w:cs="Arial"/>
                <w:b/>
                <w:bCs/>
                <w:sz w:val="15"/>
                <w:szCs w:val="15"/>
                <w:vertAlign w:val="superscript"/>
                <w:lang w:eastAsia="sr-Latn-RS"/>
              </w:rPr>
              <w:t>3,7</w:t>
            </w:r>
            <w:r w:rsidRPr="00984859">
              <w:rPr>
                <w:rFonts w:ascii="Arial" w:eastAsia="Times New Roman" w:hAnsi="Arial" w:cs="Arial"/>
                <w:lang w:eastAsia="sr-Latn-RS"/>
              </w:rPr>
              <w:t>.</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Na osnovu rezultata u BCOP i ICE.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DODATAK 3.</w:t>
      </w:r>
      <w:r w:rsidRPr="00984859">
        <w:rPr>
          <w:rFonts w:ascii="Arial" w:eastAsia="Times New Roman" w:hAnsi="Arial" w:cs="Arial"/>
          <w:b/>
          <w:bCs/>
          <w:lang w:eastAsia="sr-Latn-RS"/>
        </w:rPr>
        <w:br/>
        <w:t xml:space="preserve">DIJAGRAMI UREĐAJA ZA SUPERFUZIJU KOJI SE KORISTI U METODI ICE I STEZALJKE ZA OKO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dodatne generičke opise uređaja za superfuziju i stezaljke za oko videti literaturu</w:t>
      </w:r>
      <w:r w:rsidRPr="00984859">
        <w:rPr>
          <w:rFonts w:ascii="Arial" w:eastAsia="Times New Roman" w:hAnsi="Arial" w:cs="Arial"/>
          <w:b/>
          <w:bCs/>
          <w:sz w:val="15"/>
          <w:szCs w:val="15"/>
          <w:vertAlign w:val="superscript"/>
          <w:lang w:eastAsia="sr-Latn-RS"/>
        </w:rPr>
        <w:t>17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185E99B4" wp14:editId="003B4744">
            <wp:extent cx="5743575" cy="7105650"/>
            <wp:effectExtent l="0" t="0" r="9525" b="0"/>
            <wp:docPr id="84" name="Picture 84" descr="C:\Program Files (x86)\ParagrafLex\browser\Files\Old\t\t2013_12\t12_0570_s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Program Files (x86)\ParagrafLex\browser\Files\Old\t\t2013_12\t12_0570_s086.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43575" cy="7105650"/>
                    </a:xfrm>
                    <a:prstGeom prst="rect">
                      <a:avLst/>
                    </a:prstGeom>
                    <a:noFill/>
                    <a:ln>
                      <a:noFill/>
                    </a:ln>
                  </pic:spPr>
                </pic:pic>
              </a:graphicData>
            </a:graphic>
          </wp:inline>
        </w:drawing>
      </w:r>
    </w:p>
    <w:p w:rsidR="00984859" w:rsidRPr="00984859" w:rsidRDefault="00984859" w:rsidP="00984859">
      <w:pPr>
        <w:spacing w:after="0" w:line="240" w:lineRule="auto"/>
        <w:jc w:val="center"/>
        <w:rPr>
          <w:rFonts w:ascii="Arial" w:eastAsia="Times New Roman" w:hAnsi="Arial" w:cs="Arial"/>
          <w:b/>
          <w:bCs/>
          <w:sz w:val="31"/>
          <w:szCs w:val="31"/>
          <w:lang w:eastAsia="sr-Latn-RS"/>
        </w:rPr>
      </w:pPr>
      <w:r w:rsidRPr="00984859">
        <w:rPr>
          <w:rFonts w:ascii="Arial" w:eastAsia="Times New Roman" w:hAnsi="Arial" w:cs="Arial"/>
          <w:b/>
          <w:bCs/>
          <w:sz w:val="31"/>
          <w:szCs w:val="31"/>
          <w:lang w:eastAsia="sr-Latn-RS"/>
        </w:rPr>
        <w:t xml:space="preserve">Prilog 3. </w:t>
      </w:r>
    </w:p>
    <w:p w:rsidR="00984859" w:rsidRPr="00984859" w:rsidRDefault="00984859" w:rsidP="00984859">
      <w:pPr>
        <w:spacing w:after="0" w:line="240" w:lineRule="auto"/>
        <w:jc w:val="center"/>
        <w:rPr>
          <w:rFonts w:ascii="Arial" w:eastAsia="Times New Roman" w:hAnsi="Arial" w:cs="Arial"/>
          <w:b/>
          <w:bCs/>
          <w:sz w:val="31"/>
          <w:szCs w:val="31"/>
          <w:lang w:eastAsia="sr-Latn-RS"/>
        </w:rPr>
      </w:pPr>
      <w:r w:rsidRPr="00984859">
        <w:rPr>
          <w:rFonts w:ascii="Arial" w:eastAsia="Times New Roman" w:hAnsi="Arial" w:cs="Arial"/>
          <w:b/>
          <w:bCs/>
          <w:sz w:val="31"/>
          <w:szCs w:val="31"/>
          <w:lang w:eastAsia="sr-Latn-RS"/>
        </w:rPr>
        <w:t xml:space="preserve">Metode ispitivanja svojstava hemikalija koja utiču na životnu sredinu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C.1. AKUTNA TOKSIČNOST PO RIBE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ove metode je da se za ispitivanu supstancu utvrdi letalna akutna toksičnost po slatkovodne ribe. U ispitivanju se koristi sistem (statički, polustatički ili protočni) koji je najprikladniji za konstantno održavanje ispitivanih koncentracija supstance u vodi. Izbor je olakšan kada se raspolaže podacima o rastvorljivosti u vodi, naponu pare, hemijskoj stabilnosti, konstantama disocijacije i biorazgradljivosti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Dodatne podatke (npr. podaci o strukturnoj formuli, stepenu čistoće, vrsti i procentu značajnih nečistoća, prisustvu i količini aditiva, koeficijent raspodele u sistemun-oktanol/voda) uzeti u obzir pri planiranju ispitivanja i pri tumačenju dobijenih rezultata.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Akutna toksičnost jeste vidljivi štetan efekat koji nastaje u organizmu usled izlaganja supstanci u toku kratkog vremenskog perioda (dani). U ispitivanju, akutna toksičnost izražava se kao srednja letalna koncentracija (u daljem tekstu: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odnosno koncentracija supstance u vodi koja dovodi do smrti 50% jedinki ispitivane grupe riba, koje su neprekidno izložene u toku unapred naznačenog vremenskog perioda.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koncentracije supstanci koje se ispituju izražavaju se u jedinicama mase po zapremini (mg/l) ili u masenim koncentracijama (mg/kg).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osnovu rezultata ispitivanja sa referentnom supstancom može da se utvrdi da li je u laboratorijskim uslovima ispitivanja došlo do značajne promene osetljivosti vrste na kojoj se vrši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ovu metodu ispitivanja nisu propisane referentne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Preliminarno ispitivanje supstance vrši se za koncentraciju od 100 mg/l, kako bi se utvrdilo da je vrednost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viša od ove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traje 96 sati. U toku ovog vremena ribe se izlažu ispitivanoj supstanci koja se dodaje u vodu u opsegu koncentracija. Na najmanje svaka 24 sata, beleži se smrtnost riba i pritom se, kad god je moguće, izračunava vrednost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Kriterijumi kvaliteta primenjuju se na čitavu metodu ispitivanja, uključujući i preliminarno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ispitivanja smrtnost u kontrolnim grupama ne sme da prelazi 10% (ili više od jedne ribe u kontrolnoj grupi sa manje od 10 jedinki).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toku čitavog ispitivanja koncentracija rastvorenog kiseonika u vodi je viša od 60% zasićenja.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toku trajanja ispitivanja, koncentracije ispitivane supstance održavati u granicama od 80% od početnih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supstance koje se lako rastvaraju u ispitivanom medijumu i obrazuju stabilne rastvore, odnosno rastvore koji u znatnoj meri ne isparavaju, ne raspadaju se, ne podležu hidrolizi ili se ne adsorbuju, može se uzeti da je početna koncentracija jednaka nominalnoj koncentraciji. Sve vreme trajanja ispitivanja trebalo bi da budu zadovoljeni kriterijumi kvaliteta i koncentracije supstance održane u okviru propisanih vrednosti, za šta se prilažu dokazi.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supstance koje su slabo rastvorljive u ispitivanom mediju ili imaju sposobnost obrazovanja stabilnih emulzija, ili disperzija, ili nisu stabilne u vodenim rastvorima, za početnu koncentraciju obavezno se uzima vrednost koncentracije koja je izmerena u rastvoru (ili ako ne postoji tehnička mogućnost, koncentracija izmerena u vodenom stubu) na početku ispitivanja. Koncentracija supstance se određuje nakon perioda stabilizacije i to pre uvođenja riba u sistem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toku samog ispitivanja sprovode se dodatna merenja kako bi se potvrdile stvarne koncentracije izlaganja, kao i ispunjavanje kriterijuma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pH ne varira za više od 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ispitivanju se koriste tri različita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statičan: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 toku ispitivanja nema protoka ispitivanog rastvora (rastvori se ne obnavljaju u komorama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polustatičan: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ispitivani rastvor ne protiče, ali se u komorama za ispitivanje rastvori redovno obnavljaju u dužim vremenskim intervalima (npr. na svaka 24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protočni: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ispitivani rastvor se stalno obnavlja, čime se obezbeđuje stalna koncentracija rastvora i sprečava nagomilavanje kontaminenata u komorama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Reagensi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Rastvori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pripremu osnovnih rastvora u koncentracijama predviđenim za ispitivanje upotrebljava se dejonizovana voda ili obična voda u skladu sa specifikacijom iz odeljka 1.6.1.2.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Koncentracije koje su određene za ispitivanje pripremaju se razblaživanjem osnovnog rastvora. Ako se ispituju visoke koncentracije, supstanca se može odmah rastvoriti u vodi koja se koristi za razblaživanje.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Supstance se ispituju dok se ne dostigne granica rastvorljivosti. Za neke supstance, npr. one supstance koje imaju nisku rastvorljivost u vodi ili visoku vrednost koeficijenta raspodele u </w:t>
      </w:r>
      <w:r w:rsidRPr="00984859">
        <w:rPr>
          <w:rFonts w:ascii="Arial" w:eastAsia="Times New Roman" w:hAnsi="Arial" w:cs="Arial"/>
          <w:lang w:eastAsia="sr-Latn-RS"/>
        </w:rPr>
        <w:lastRenderedPageBreak/>
        <w:t xml:space="preserve">sistemu </w:t>
      </w:r>
      <w:r w:rsidRPr="00984859">
        <w:rPr>
          <w:rFonts w:ascii="Arial" w:eastAsia="Times New Roman" w:hAnsi="Arial" w:cs="Arial"/>
          <w:i/>
          <w:iCs/>
          <w:lang w:eastAsia="sr-Latn-RS"/>
        </w:rPr>
        <w:t>n</w:t>
      </w:r>
      <w:r w:rsidRPr="00984859">
        <w:rPr>
          <w:rFonts w:ascii="Arial" w:eastAsia="Times New Roman" w:hAnsi="Arial" w:cs="Arial"/>
          <w:lang w:eastAsia="sr-Latn-RS"/>
        </w:rPr>
        <w:t>-oktanol/voda (u daljem tekstu: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ili one supstance koje pre obrazuju stabilne disperzije nego prave vodene rastvore, prihvatljivo je da se izvrši ispitivanje koncentracije supstance koja je iznad granice rastvorljivosti, kako bi potvrdili da je postignuta koncentracija maksimalne rastvorljivosti, odnosno stabilna koncentracija. Treba imati u vidu da ova koncentracija na neki drugi način ne ometa sistem za ispitivanje (npr. obrazovanjem površinskog sloja koji sprečava oksigenaciju vode,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Ultrazvučna disperzija, organski rastvarači, emulgatori ili disperziona sredstva mogu se upotrebiti za pripremu osnovnog rastvora supstance čija je rastvorljivost u vodi niska ili da bi se pospešila disperzija u ispitivanom medijumu. U slučaju da se koriste, sve ispitivane koncentracije sadrže istu količinu pomoćnih supstanci. Istoj koncentraciji pomoćnih supstanci, koja se koristi u serijama ispitivanja, izlažu se i ribe u dodatnoj kontrolnoj grupi. Koncentraciju pomoćnih supstanci u ispitivanom medijumu svesti na minimum i ona ni u kom slučaju ne sme premašiti vrednost od 100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izvodi bez podešavanja pH vrednosti. Ako se utvrdi da je došlo do značajne promene pH vrednosti, prilažu se rezultati dobijeni u ponovljenom ispitivanju za koje je pH vrednost prethodno bila podešena. pH vrednost osnovnog rastvora se podešava prema pH vrednosti vode za razblaživanje, osim ako ne postoji konkretan razlog da se tako ne uradi. U tu svrhu prvenstveno se koriste HCl i NaOH. Podešavanje pH vrednosti se vrši na način kojim se neće u značajnijoj meri promeniti koncentracija ispitivane supstance. U izveštaju o ispitivanju navesti ukoliko usled podešavanja pH vrednosti dođe do bilo kakve hemijske reakcije ili precipitacije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Voda za gajenje i razblaživanje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ovu namenu koristi se pitka voda (iz izvora koji nije zagađen potencijalno štetnim koncentracijama hlora, teških metala ili drugih supstanci), kvalitetna prirodna voda ili rekonstituisana voda (videti Deo drugi ove metode). Ukupna tvrdoća vode da bude između 10 mg/l CaCO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i 250 mg/l CaCO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a pH vrednost između 6,0 i 8,5.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Oprema za ispitivanje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automatski sistem za razblaživanje (u ispitivanju sa protočnim sistemom);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oksimetar;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instrument za određivanje tvrdoće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odgovarajuću aparaturu za kontrolu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 oprema je izrađena od hemijski inertnog materijala.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Ribe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Ribe koje se koriste u ispitivanju su zdrave i bez vidljivih deformacija.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Vrsta ribe se bira na osnovu praktičnih kriterijuma: dostupnost vrste u toku čitave godine, jednostavnost održavanja, prikladnost za obavljanje ispitivanja, relativna osetljivost na </w:t>
      </w:r>
      <w:r w:rsidRPr="00984859">
        <w:rPr>
          <w:rFonts w:ascii="Arial" w:eastAsia="Times New Roman" w:hAnsi="Arial" w:cs="Arial"/>
          <w:lang w:eastAsia="sr-Latn-RS"/>
        </w:rPr>
        <w:lastRenderedPageBreak/>
        <w:t>hemikalije itd. Uzimaju se u obzir ekonomski, biološki i ekološki faktori koji mogu da utiču na konačan ishod ispitivanja. Kod izbora prikladne vrste riba uzeti u obzir i mogućnost poređenja rezultata i usklađenost između različitih laboratorija u svetu (videti u literaturi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Spisak vrsta riba koje se preporučuju za ispitivanje dat je u Delu trećem ove metode. Najčešće se koriste zebrica i kalifornijska pastrmka.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Čuvanje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Ribe su iz istog legla, a jedinke, ako je moguće, slične veličine i starosti. Riba se najmanje 12 dana drži pod sledećim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uvođenje riba: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shodno sistemu u kom se vrši ispitivanje (recirkulacijski ili protočni) i vrsti ribe;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videti odeljak 1.6.1.2.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svetlost: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- 12 do 16 sati osvetljenja dnevno;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koncentracije rastvorenog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najmanje 80% zasićenja;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tri puta nedeljno ili jednom dnevno, sa pauzom od 24 sata pre početka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Smrtnost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perioda stabilizacije od 48 sati, beleži se smrtnost riba primenom sledećih kriterijuma: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ako je smrtnost u prvih 7 dana viša od 10% ukupne populacije, čitava populacija se odbacuje;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ako je smrtnost između 5% i 10% ukupne populacije, populacija se čuva dodatnih 7 dana. Ako ne dođe do dodatnih uginuća, populacija se prihvata, u suprotnom, ako se zabeleži još koje uginuće, populacija se odbacuje;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ako je smrtnost niža od 5% ukupne populacije, populacija se prihvata.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Adaptacija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Voda u kojoj se gaje ribe i voda koja se koristi u ispitivanju imaju isti kvalitet i temperaturni režim i to najmanje sedam dana pre početka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Postupak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preliminarnom ispitivanju određuje se tačan opseg koncentracija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Zajedno sa čitavom serijom ispitivanih koncentracija, koristi se i jedna kontrola u koju se ne dodaje ispitivana supstanca, a po potrebi i jedna kontrola sa pomoćnom supstancom.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zavisnosti od hemijskih i fizičkih svojstava ispitivane supstance, bira se odgovarajući sistem za ispitivanje: statički, polustatički ili protočni, kako bi se zadržali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Ribe se izlažu ispitivanoj supstanci na sledeći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izlaganje traje 96 sati;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najmanje po 7 jedinki riba za svaku ispitivanu koncentraciju;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komore za ispitivanje su odgovarajuće zapremine za zadati nasad;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nasad: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maksimalni nasad je 1 g/l za statični i polustatični sistem, a za protočni sistem nasad može biti i veći;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ispitivane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najmanje pet koncentracija koje se razlikuju za faktor ne veći od 2,2 i odabranih tako da pokrivaju čitav opseg smrtnosti od 0% do 100%;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videti odeljak 1.6.1.2.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svetlost: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- 12 do 16 sati osvetljenja dnevno;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je odgovarajuća za vrstu (videti Deo treći ove metode), ali unutar ± 1° C za bilo koji sistem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koncentracije rastvorenog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 manja od 60% zasićenja pri odabranoj temperaturi;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hrana se ne daje.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Ribe se proveravaju nakon prva 2 do 4 sata, a kasnije u intervalima od 24 sata. Ribe se smatraju mrtvim, ako dodirivanjem uske površine ispred leđnog peraja ne dođe do bilo kakve reakcije i ako se ne vide pokreti disanja. Mrtve ribe se uklanjaju odmah po opažanju, a smrtnost se stalno beleži. Beleže se i vidljive abnormalnosti (npr. gubitak ravnoteže, promene u načinu plivanja, poremećaj respiratornih funkcija, pigmentacije i sl).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Svakodnevno se mere pH vrednost, koncentracija rastvorenog kiseonika i temperatura.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Granično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Uz pomoć postupaka opisanih u ovoj metodi može se izvesti granično ispitivanje sa koncentracijom od 100 mg/l, kako bi se pokazalo da je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veća od ove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priroda supstance takva da se ne može postići koncentracija od 100 mg/l, granično ispitivanje se izvodi sa koncentracijom koja je jednaka rastvorljivosti supstance (ili sa maksimalnom koncentracijom koja formira stabilnu disperziju) u medijumu (videti odeljak 1.6.1.1.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Granično ispitivanje se izvodi sa 7 do 10 riba i sa istim brojem riba u kontroli. (Na osnovu binomne teoreme predviđa se da je u grupi od 10 riba sa nultom stopom smrtnosti, sa 99,9% intervalom poverenja, vrednost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viša od koncentracije koja se koristila u graničnom ispitivanju. Ako u grupi od 7, 8 ili 9 riba nema smrtnosti, tada je najmanje sa 99% intervalom poverenja,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viša od koncentracije koja se koristila).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dođe do uginuća, izvodi se potpuno ispitivanje. Beleže se i subletalni efekti.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svaki vremenski interval u kom se beleže opažanja (nakon 24, 48, 72 i 96 sati), na logaritamskom papiru grafički se predstavlja procenat smrtnosti u funkciji koncentracije, za svako preporučeno vreme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Primenom standardnih postupaka, kada je to moguće, za svaki vremenski interval opažanja određuje se vrednost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interval poverenja (</w:t>
      </w:r>
      <w:r w:rsidRPr="00984859">
        <w:rPr>
          <w:rFonts w:ascii="Arial" w:eastAsia="Times New Roman" w:hAnsi="Arial" w:cs="Arial"/>
          <w:i/>
          <w:iCs/>
          <w:lang w:eastAsia="sr-Latn-RS"/>
        </w:rPr>
        <w:t>p</w:t>
      </w:r>
      <w:r w:rsidRPr="00984859">
        <w:rPr>
          <w:rFonts w:ascii="Arial" w:eastAsia="Times New Roman" w:hAnsi="Arial" w:cs="Arial"/>
          <w:lang w:eastAsia="sr-Latn-RS"/>
        </w:rPr>
        <w:t xml:space="preserve"> = 0,05). Ove vrednosti se zaokružuju na jednu ili najviše dve decimale.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slučajevima kada je nagib krive koncentracija/procenat prevelik da bi omogućio tačno izračunavanje vrednosti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dovoljno je grafički proceniti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Kada dve uzastopne koncentracije, u opsegu faktora 2,2 daju samo 0% ili 100% smrtnost, ove dve vrednosti dovoljne su za određivanje opsega u kom će se naći vrednosti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ustanovi da se stabilnost ili homogenost ispitivane supstance ne može održavati, ovo se opažanje beleži sa posebnim osvrtom na tu činjenicu kod tumačenja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ako je moguće, sadrži sledeće podatke: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vrsta ribe koja se ispituje (latinski naziv vrste, soj, dobavljač, prethodni tretman, veličina i broj riba za svaku ispitivanu koncentraciju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poreklo vode za razblaživanje i njena osnovna hemijska svojstva (pH, tvrdoća,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postupak pripreme osnovnog rastvora i ispitivanih koncentracija (u slučaju supstanci koje imaju nisku rastvorljivost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svake pomoćne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spisak svih ispitivanih koncentracija i sve dostupne informacije o stabilnosti ispitivane supstance u rastvoru;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korišćenih metoda i dobijenih rezultata (u slučaju hemijske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graničnog ispitivanja (u slučaju da je izvedeno);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razlozi izbora i detalji o korišćenom sistemu za ispitivanje (npr. statični, polustatični, protočni, da li se vrši aeracija, način uvođenja riba,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opreme korišćene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režim osvetljenja;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koncentracije rastvorenog kiseonika, pH vrednost i temperatura ispitivanih rastvora na svakih 24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dokazi da su ispunjeni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tablica koja pokazuje ukupnu smrtnost pri svakoj koncentraciji ispitivane supstance i kontrole (zajedno sa kontrolom pomoćne supstance, ako je potrebno) na kraju svakog vremenskog intervala;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kriva dozne zavisnosti procenta smrtnosti od ispitivane koncentracije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ako je moguće, vrednosti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 kraju svakog vremenskog intervala (sa 95% intervalom poverenja);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statističke metode korišćene za određivanje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 slučaju da je korišćena referentna supstanca) uporedni rezultati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najviša ispitivana koncentracija koja nije dovela do uginuća ribe za vreme trajanja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najniža ispitivana test koncentracija koja je dovela do 100% smrtnosti za vreme trajanje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203, Decision of the Council C(81) 30 final and updates.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AFNOR - Determination of the acute toxicity of a substance to </w:t>
      </w:r>
      <w:r w:rsidRPr="00984859">
        <w:rPr>
          <w:rFonts w:ascii="Arial" w:eastAsia="Times New Roman" w:hAnsi="Arial" w:cs="Arial"/>
          <w:i/>
          <w:iCs/>
          <w:lang w:eastAsia="sr-Latn-RS"/>
        </w:rPr>
        <w:t>Brachydanio rerio</w:t>
      </w:r>
      <w:r w:rsidRPr="00984859">
        <w:rPr>
          <w:rFonts w:ascii="Arial" w:eastAsia="Times New Roman" w:hAnsi="Arial" w:cs="Arial"/>
          <w:lang w:eastAsia="sr-Latn-RS"/>
        </w:rPr>
        <w:t xml:space="preserve">- Static and Flow Through methods - NFT 90-303 June 1985.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AFNOR- Determination of the acute toxicity of a substance to Salmo gairdneri - Static and Flow Through methods - NFT 90-305 June 1985.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4. ISO 7346/1,/2 and/3 - Water Quality - Determination of the acute lethal toxicity of substances to a fresh water fish (</w:t>
      </w:r>
      <w:r w:rsidRPr="00984859">
        <w:rPr>
          <w:rFonts w:ascii="Arial" w:eastAsia="Times New Roman" w:hAnsi="Arial" w:cs="Arial"/>
          <w:i/>
          <w:iCs/>
          <w:lang w:eastAsia="sr-Latn-RS"/>
        </w:rPr>
        <w:t>Brachydanio rerio</w:t>
      </w:r>
      <w:r w:rsidRPr="00984859">
        <w:rPr>
          <w:rFonts w:ascii="Arial" w:eastAsia="Times New Roman" w:hAnsi="Arial" w:cs="Arial"/>
          <w:lang w:eastAsia="sr-Latn-RS"/>
        </w:rPr>
        <w:t xml:space="preserve"> Hamilton-Buchanan-Teleostei, Cyprinidae). Part 1: Static method. Part 2: Semi-static method. Part 3: Flow-through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5. Eidgenössisches Department des Innern, Schweiz: Richtlinien fur Probenahme und Normung von Wasseruntersuchungsmethoden -Part II 1974.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DIN Testverfahren mit Wasserorganismen, 38 412 (11) und 1 (15).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JIS K 0102, Acute toxicity test for fish.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NEN 6506- Water -Bepaling van de akute toxiciteit met behulp van </w:t>
      </w:r>
      <w:r w:rsidRPr="00984859">
        <w:rPr>
          <w:rFonts w:ascii="Arial" w:eastAsia="Times New Roman" w:hAnsi="Arial" w:cs="Arial"/>
          <w:i/>
          <w:iCs/>
          <w:lang w:eastAsia="sr-Latn-RS"/>
        </w:rPr>
        <w:t>Poecilia reticulata</w:t>
      </w:r>
      <w:r w:rsidRPr="00984859">
        <w:rPr>
          <w:rFonts w:ascii="Arial" w:eastAsia="Times New Roman" w:hAnsi="Arial" w:cs="Arial"/>
          <w:lang w:eastAsia="sr-Latn-RS"/>
        </w:rPr>
        <w:t xml:space="preserve">, 1980.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Environmental Protection Agency, Methods for the acute toxicity tests with fish, macroinvertebrates and amphibians. The Committee on Methods for Toxicity Tests with Aquatic Organisms, Ecological Research Series EPA-660-75-009, 1975.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Environmental Protection Agency, Environmental monitoring and support laboratory, Office of Research and Development, EPA-600/4-78-012, January 1978.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Environmental Protection Agency, Toxic Substance Control, Part IV, 16 March 1979.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Standard methods for the examination of water and wastewater, fourteen edition, APHA-AWWAWPCF, 1975.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Commission of the European Communities, Inter-laboratory test programme concerning the study of the ecotoxicityof a chemical substance with respect to the fish. EEC Study D.8368, 22 March 1979.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Verfahrensvorschlag des Umweltbundesamtes zum akuten Fisch-Test. Rudolph, P. und Boje, R. Okotoxikologie, Grundlagen fur die okotoxikologische Bewertung von Umweltchemikalien nach dem Chemikaliengesetz, ecomed 1986.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Litchfield, J. T.and Wilcoxon, F., A simplified method for evaluating dose effects experiments, J. Pharm, tExp. Therap., 1949, vol. 96,99.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Finney, D.J. Statistical Methods in Biological Assay. Griffin, Weycombe, U.K., 1978.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Sprague, J.B. Measurement of pollutant toxicity to fish. Bioassay methods for acute toxicity. Water Res., 1969, vol. 3,793-821.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Sprague, J.B. Measurement of pollutant toxicity to fish. II Utilising and applying bioassay results. Water Res. 1970, vol. 4, 3-32.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19. Stephan, C.E. Methods for calculating an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In Aquatic Toxicology and Hazard Evaluation (edited by F.I. Mayer and J.L. Hamelink). American Society for Testing and Materials, ASTM STP 634,1977, 65-84.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20. Stephan, C.E., Busch, K.A., Smith, R., Burke, J. and Andrews, R.W. A computer program for calculating an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US EPA.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REKONSTITUISANA VODA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Primer prikladnog izvora vode za razblaživanje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Sve hemikalije su analitičke 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Voda je kvalitetna destilovana voda ili dejonizovana voda sa električnom provodljivošću manjom od 5 mS/cm.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Oprema za destilaciju vode ne sme da sadrži bakarne delove.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Osnovni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Rastvoriti 11,76 g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(kalcijum-hlorid dihidrat) i dopuniti vodom do zapremine od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Rastvoriti 4,93 g 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(magnezijum-sulfat heptahidrat) i dopuniti vodom do zapremine od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Rastvoriti 2,59 g NaHCO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(natrijum-hidrogenkarbonat) i dopuniti vodom do zapremine od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Rastvoriti 0,23 g KCl (kalijum-hlorid) i dopuniti vodom do zapremine od 1 L.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Rekonstituisana voda za razblaživanje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Pomešati po 25 ml svakog osnovnog rastvora i dopuniti vodom do zapremine od 1 L. Aerisati sve dok se koncentracija rastvorenog kiseonika ne izjednači sa koncentracijom kiseonika u zasićenom vazduhu.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pH podesiti na 7,8 ± 0,2.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potrebno, pH se podešava dodavanjem NaOH (natrijum hidroksida) ili HCl (hlorovodonične kiseline).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Ovako pripremljena voda za razblaživanje ostavi se da stoji oko 12 sati i dalje se ne aeriše.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Zbir Ca i Mg jona u ovom rastvoru iznosi 2,5 mol/l. Odnos Ca i Mg jona iznosi 4:1, a Na i K jona iznosi 10:1. Ukupan alkalitet rastvora iznosi 0,8 mmol/l.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Izmene u postupku pripreme vode za razblaživanje ne smeju da utiču na sastav ili svojstva vode.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VRSTE RIBA KOJE SE PREPORUČUJU ZA ISPITIVANJE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825"/>
        <w:gridCol w:w="2245"/>
        <w:gridCol w:w="2062"/>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Preporučena vrsta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Preporučeni temperaturni opseg (°C)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Preporučena </w:t>
            </w:r>
            <w:r w:rsidRPr="00984859">
              <w:rPr>
                <w:rFonts w:ascii="Arial" w:eastAsia="Times New Roman" w:hAnsi="Arial" w:cs="Arial"/>
                <w:lang w:eastAsia="sr-Latn-RS"/>
              </w:rPr>
              <w:br/>
              <w:t xml:space="preserve">ukupna dužina test jedinke (cm)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 xml:space="preserve">Brachydanio rerio </w:t>
            </w:r>
            <w:r w:rsidRPr="00984859">
              <w:rPr>
                <w:rFonts w:ascii="Arial" w:eastAsia="Times New Roman" w:hAnsi="Arial" w:cs="Arial"/>
                <w:lang w:eastAsia="sr-Latn-RS"/>
              </w:rPr>
              <w:t xml:space="preserve">(Teleostei, Cyprinidae) (Hamilton - Buchanan), zebrica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do 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 0,5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Pimephales promelas</w:t>
            </w:r>
            <w:r w:rsidRPr="00984859">
              <w:rPr>
                <w:rFonts w:ascii="Arial" w:eastAsia="Times New Roman" w:hAnsi="Arial" w:cs="Arial"/>
                <w:lang w:eastAsia="sr-Latn-RS"/>
              </w:rPr>
              <w:t xml:space="preserve"> (Teleostei, Cyprinidae) (Rafinesque)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do 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 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 xml:space="preserve">Cyprinus carpio </w:t>
            </w:r>
            <w:r w:rsidRPr="00984859">
              <w:rPr>
                <w:rFonts w:ascii="Arial" w:eastAsia="Times New Roman" w:hAnsi="Arial" w:cs="Arial"/>
                <w:lang w:eastAsia="sr-Latn-RS"/>
              </w:rPr>
              <w:t xml:space="preserve">(Teleostei, Cyprinidae) (Linneaus 1758), šaran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do 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 2,0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Oryzias latipes</w:t>
            </w:r>
            <w:r w:rsidRPr="00984859">
              <w:rPr>
                <w:rFonts w:ascii="Arial" w:eastAsia="Times New Roman" w:hAnsi="Arial" w:cs="Arial"/>
                <w:lang w:eastAsia="sr-Latn-RS"/>
              </w:rPr>
              <w:t xml:space="preserve"> (Teleostei, Poeciliidae) </w:t>
            </w:r>
            <w:r w:rsidRPr="00984859">
              <w:rPr>
                <w:rFonts w:ascii="Arial" w:eastAsia="Times New Roman" w:hAnsi="Arial" w:cs="Arial"/>
                <w:lang w:eastAsia="sr-Latn-RS"/>
              </w:rPr>
              <w:lastRenderedPageBreak/>
              <w:t xml:space="preserve">Cyprinodontidae (Tomminck and Schlege 1850)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20 do 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 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lastRenderedPageBreak/>
              <w:t xml:space="preserve">Poecilia reticulata </w:t>
            </w:r>
            <w:r w:rsidRPr="00984859">
              <w:rPr>
                <w:rFonts w:ascii="Arial" w:eastAsia="Times New Roman" w:hAnsi="Arial" w:cs="Arial"/>
                <w:lang w:eastAsia="sr-Latn-RS"/>
              </w:rPr>
              <w:t xml:space="preserve">(Teleostei, Poeciliidae) (Peters 1859), gupi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do 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 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Lepomis macrochirus</w:t>
            </w:r>
            <w:r w:rsidRPr="00984859">
              <w:rPr>
                <w:rFonts w:ascii="Arial" w:eastAsia="Times New Roman" w:hAnsi="Arial" w:cs="Arial"/>
                <w:lang w:eastAsia="sr-Latn-RS"/>
              </w:rPr>
              <w:t xml:space="preserve"> (Teleostei, Centrarchidae) (Rafinesque Linneaus 1758)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do 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 2,0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Onchorhynchus mykiss</w:t>
            </w:r>
            <w:r w:rsidRPr="00984859">
              <w:rPr>
                <w:rFonts w:ascii="Arial" w:eastAsia="Times New Roman" w:hAnsi="Arial" w:cs="Arial"/>
                <w:lang w:eastAsia="sr-Latn-RS"/>
              </w:rPr>
              <w:t xml:space="preserve"> (Teleostei, Salmonidae)(Walbaum 1988), kalifornijska pastrmka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 do 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 2,0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Leuciscus idus</w:t>
            </w:r>
            <w:r w:rsidRPr="00984859">
              <w:rPr>
                <w:rFonts w:ascii="Arial" w:eastAsia="Times New Roman" w:hAnsi="Arial" w:cs="Arial"/>
                <w:lang w:eastAsia="sr-Latn-RS"/>
              </w:rPr>
              <w:t xml:space="preserve"> (Teleostei, Cyprinidae) (Linneaus 1758), jaz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do 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 2,0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NABAVLJANJE RIBA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Navedene vrste riba lako se razmnožavaju i uzgajaju. U mnogim delovima sveta ove vrste riba mogu se nabaviti u toku cele godine. Kako su navedene vrste pogodne i za uzgajanje u laboratorijskim uslovima, zdravstveno stanje i poreklo jedinki koje se koriste za ispitivanje je, uz kontrolu prisustva parazita i bolesti, uvek poznato.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četvrti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PRIMER ZAVISNOSTI KONCENTRACIJE OD PROCENTA SMRTNOSTI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Primer određivanja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uz pomoć logaritamskog papira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14:anchorId="7D29AA01" wp14:editId="426BF24F">
            <wp:extent cx="5743575" cy="6553200"/>
            <wp:effectExtent l="0" t="0" r="9525" b="0"/>
            <wp:docPr id="83" name="Picture 83" descr="C:\Program Files (x86)\ParagrafLex\browser\Files\Old\t\t2013_12\t12_0570_s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Program Files (x86)\ParagrafLex\browser\Files\Old\t\t2013_12\t12_0570_s087.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43575" cy="65532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C.2. METODA ISPITIVANJA AKUTNE TOKSIČNOSTI: IMOBILIZACIJA </w:t>
      </w:r>
      <w:r w:rsidRPr="00984859">
        <w:rPr>
          <w:rFonts w:ascii="Arial" w:eastAsia="Times New Roman" w:hAnsi="Arial" w:cs="Arial"/>
          <w:b/>
          <w:bCs/>
          <w:i/>
          <w:iCs/>
          <w:lang w:eastAsia="sr-Latn-RS"/>
        </w:rPr>
        <w:t xml:space="preserve">Daphnia sp.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202 (2004).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opisuje ispitivanje akutne toksičnosti koje služi za procenu efekta supstanci na dafnije. Postojeće metode ispitivanja korišćene su u najvećoj mogućoj meri</w:t>
      </w:r>
      <w:r w:rsidRPr="00984859">
        <w:rPr>
          <w:rFonts w:ascii="Arial" w:eastAsia="Times New Roman" w:hAnsi="Arial" w:cs="Arial"/>
          <w:b/>
          <w:bCs/>
          <w:sz w:val="15"/>
          <w:szCs w:val="15"/>
          <w:vertAlign w:val="superscript"/>
          <w:lang w:eastAsia="sr-Latn-RS"/>
        </w:rPr>
        <w:t>1, 2, 3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Pojedini izrazi upotrebljeni u ovoj metodi ispitivanja imaju sledeće značenje: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Efektivna koncentracija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jeste koncentracija supstance za koju je procenjeno da dovodi do imobilizacije 50% jedinki populacije koje su izložene dejstvu supstance u toku unapred definisanog perioda. Dozvoljeno je korišćenje druge definicije uz objašnjenje i navođenje literature.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Imobilisane životinje jesu životinje koje ne zaplivaju 15 sekundi nakon što je rastvor u posudi za ispitivanje lagano uzburkan (čak i u slučaju da i dalje pokreću antene).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Mlade dafnije (neonate), starosti do 24 sata na početku ispitivanja, neprekidno se izlažu ispitivanoj supstanci u seriji koncentracija u toku 48 sati. Broj imobilisanih jedinki beleži sena svaka 24 i 48 sati, a vrednosti se porede sa vrednostima u kontrolnoj grupi. Analizom rezultata izračunava se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nakon 48 sata (videti definicije iz odeljka 1.2. ove metode). Izračunavanje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nakon 24 sata nije obavezno.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PODACI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Potrebno je imati podatke o rastvorljivosti u vodi i naponu pare ispitivane supstance. Treba da bude dostupna i pouzdana analitička metoda za kvantifikaciju supstance u ispitivanom rastvoru sa podacima o efikasnosti i granicama detekcije. Od koristi su i podaci o strukturnoj formuli, čistoći supstance, stabilnosti u vodi i na svetlu, koeficijent raspodele u sistemun-oktanol/voda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 rezultati ispitivanja biorazgradljivosti (videti metodu C.4. koja je data u ovom prilogu).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Napomena: Smernice za izvođenje ispitivanja na supstancama sa fizičkim i hemijskim svojstvima koja ih čine teškim za ispitivanje mogu se naći u uputstvu</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Efektivna koncentracija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referentne supstance određuje se da bi se potvrdila pouzdanost uslova ispitivanja. Za ovu namenu preporučuje se upotreba toksičnih supstanci</w:t>
      </w:r>
      <w:r w:rsidRPr="00984859">
        <w:rPr>
          <w:rFonts w:ascii="Arial" w:eastAsia="Times New Roman" w:hAnsi="Arial" w:cs="Arial"/>
          <w:b/>
          <w:bCs/>
          <w:sz w:val="15"/>
          <w:szCs w:val="15"/>
          <w:vertAlign w:val="superscript"/>
          <w:lang w:eastAsia="sr-Latn-RS"/>
        </w:rPr>
        <w:t>I</w:t>
      </w:r>
      <w:r w:rsidRPr="00984859">
        <w:rPr>
          <w:rFonts w:ascii="Arial" w:eastAsia="Times New Roman" w:hAnsi="Arial" w:cs="Arial"/>
          <w:lang w:eastAsia="sr-Latn-RS"/>
        </w:rPr>
        <w:t xml:space="preserve"> koje su korišćene u međulaboratorijskim ispitivanjima</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xml:space="preserve">. Ispitivanja sa referentnom supstancom izvode se jednom mesečno, a najmanje dva puta godišnje.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w:t>
      </w:r>
      <w:r w:rsidRPr="00984859">
        <w:rPr>
          <w:rFonts w:ascii="Arial" w:eastAsia="Times New Roman" w:hAnsi="Arial" w:cs="Arial"/>
          <w:lang w:eastAsia="sr-Latn-RS"/>
        </w:rPr>
        <w:t xml:space="preserve"> Na osnovu rezultata međulaboratorijskih ispitivanja i Tehničke ispravke ISO 6341 standarda, opseg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za kalijum-dihromat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Cr</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7</w:t>
      </w:r>
      <w:r w:rsidRPr="00984859">
        <w:rPr>
          <w:rFonts w:ascii="Arial" w:eastAsia="Times New Roman" w:hAnsi="Arial" w:cs="Arial"/>
          <w:lang w:eastAsia="sr-Latn-RS"/>
        </w:rPr>
        <w:t xml:space="preserve">) iznosi 0,6 mg/l do 1,7 mg/l.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ispitivanje bilo prihvaćeno, ispunjavaju se sledeći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posudama za ispitivanje u kojima su kontrolne grupe (uključujući i grupe koje sadrže rastvarač), procenat imobilisanih dafnija na kraju ispitivanja ne sme biti veći od 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posudama za ispitivanje, uključujući i posude u kojima su kontrolne grupe, koncentracija rastvorenog kiseonika na kraju ispitivanja je ≥ 3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Napomena: Da bi se zadovoljio prvi kriterijum, u kontrolnim grupama procenat imobilisanih dafnija ne sme biti veći od 10%. Pored toga, ne sme biti više od 10% jedinki koje pokazuju bilo kakve znake bolesti ili stresa, poput gubljenja boje, ili neko drugo nesvojstveno ponašanje.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Posude za ispitivanje i ostala oprema koja dolazi u dodir sa ispitivanim rastvorom su od stakla ili nekog drugog hemijski inertnog materijala. Najčešće se kao posude za ispitivanje koriste epruvete ili čaše. Pre svake upotrebe posude se peru standardnim postupkom za pranje laboratorijskog posuđa. Isparavanje vode i upadanje prašine u rastvor tokom ispitivanja, preduprediti poklapanjem posuda, ali tako da poklopac ne prijanja u potpunosti. Lako isparljive supstance ispituju se u dobro zatvorenim posudama, koje su napunjene do vrha ispitivanim rastvorom, dovoljno velike zapremine da se izbegne da kiseonik nedostaje ili pad koncentracije rastvorenog kiseonika ispod kriterijuma kvaliteta (videti odeljak 1.6. i prvi pasus odeljka 1.8.3.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Neophodna je i sledeća oprema (sva ili samo pojedini aparati):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oksimetar (sa mikrokiseoničnom elektrodom ili neka druga oprema pogodna za merenje koncentracije kiseonika u maloj zapremini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pogodna oprema za kontrolu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oprema za određivanje koncentracije ukupnog organskog ugljenika (u daljem tekstu: TOC);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oprema za određivanje hemijske potrošnje kiseonika (u daljem tekstu: HPK);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oprema za određivanje tvrdoće vode, itd.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Ispitivani organizam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se koristi vrsta </w:t>
      </w:r>
      <w:r w:rsidRPr="00984859">
        <w:rPr>
          <w:rFonts w:ascii="Arial" w:eastAsia="Times New Roman" w:hAnsi="Arial" w:cs="Arial"/>
          <w:i/>
          <w:iCs/>
          <w:lang w:eastAsia="sr-Latn-RS"/>
        </w:rPr>
        <w:t>Daphnia magnaStraus</w:t>
      </w:r>
      <w:r w:rsidRPr="00984859">
        <w:rPr>
          <w:rFonts w:ascii="Arial" w:eastAsia="Times New Roman" w:hAnsi="Arial" w:cs="Arial"/>
          <w:lang w:eastAsia="sr-Latn-RS"/>
        </w:rPr>
        <w:t xml:space="preserve">, a pogodne su i ostale vrste roda </w:t>
      </w:r>
      <w:r w:rsidRPr="00984859">
        <w:rPr>
          <w:rFonts w:ascii="Arial" w:eastAsia="Times New Roman" w:hAnsi="Arial" w:cs="Arial"/>
          <w:i/>
          <w:iCs/>
          <w:lang w:eastAsia="sr-Latn-RS"/>
        </w:rPr>
        <w:t>Daphnia</w:t>
      </w:r>
      <w:r w:rsidRPr="00984859">
        <w:rPr>
          <w:rFonts w:ascii="Arial" w:eastAsia="Times New Roman" w:hAnsi="Arial" w:cs="Arial"/>
          <w:lang w:eastAsia="sr-Latn-RS"/>
        </w:rPr>
        <w:t xml:space="preserve"> (npr. </w:t>
      </w:r>
      <w:r w:rsidRPr="00984859">
        <w:rPr>
          <w:rFonts w:ascii="Arial" w:eastAsia="Times New Roman" w:hAnsi="Arial" w:cs="Arial"/>
          <w:i/>
          <w:iCs/>
          <w:lang w:eastAsia="sr-Latn-RS"/>
        </w:rPr>
        <w:t>Daphnia pulex</w:t>
      </w:r>
      <w:r w:rsidRPr="00984859">
        <w:rPr>
          <w:rFonts w:ascii="Arial" w:eastAsia="Times New Roman" w:hAnsi="Arial" w:cs="Arial"/>
          <w:lang w:eastAsia="sr-Latn-RS"/>
        </w:rPr>
        <w:t xml:space="preserve">). Na početku ispitivanja, jedinke (neonate) moraju biti mlađe od 24 sata, a da bi se smanjila varijabilnost, izričito se preporučuje da se ne uzimaju iz prvog legla adulta. Poreklo jedinki je iz zdravog legla (u kom jedinke ne pokazuju bilo kakve znake stresa poput visoke smrtnosti, prisustva mužjaka, pojave omotača (ephippia), kašnjenja u dobijanju legla, obezbojene jedinke, itd.). Sve jedinke koje se koriste u konkretnom ispitivanju da potiču iz legla koje je ustanovljeno iz jednog matičnog legla. Matična legla se gaje u uslovima koji su u pogledu svetlosnog i temperaturnog režima i medijuma slični onim u toku ispitivanja. U slučaju da je medijum za gajenje dafnija drugačiji od onog koji se koristi u ispitivanju, uvodi se aklimatizacioni period. Adultne jedinke, od kojih će se dobiti neonate koje se koriste u ispitivanju, prebacuju se u medijum za razblaživanje najmanje 48 sati pre početka ispitivanja i drže, do samog početka ispitivanja, na temperaturi na kojoj će se izvoditi ispitivanje.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1.7.3. Voda za gajenje i razblaživanje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Prirodna voda (površinska ili podzemna), rekonstituisana voda ili dehlorisana vodovodna voda predstavljaju pogodnu vodu za gajenje dafnija i vodu za razblaživanje ispitivanog rastvora, pod uslovom da dafnije u njima preživljavaju u toku uzgoja, aklimatizacionog perioda i u toku ispitivanja, ne pokazujući znake stresa. Bilo koja voda koja zadovoljava svojstva prihvatljive vode za razblaživanje (videti Deo drugi ove metode) pogodna je za ispitivanje. Kvalitet vode je ujednačen u toku celog ispitivanja. Rekonstituisana voda se priprema tako što se u dejonizovanu ili destilovanu vodu dodaje tačna količina potrebnih sastojaka poznate analitičke čistoće. Primeri rekonstituisane vode mogu se naći u literaturi</w:t>
      </w:r>
      <w:r w:rsidRPr="00984859">
        <w:rPr>
          <w:rFonts w:ascii="Arial" w:eastAsia="Times New Roman" w:hAnsi="Arial" w:cs="Arial"/>
          <w:b/>
          <w:bCs/>
          <w:sz w:val="15"/>
          <w:szCs w:val="15"/>
          <w:vertAlign w:val="superscript"/>
          <w:lang w:eastAsia="sr-Latn-RS"/>
        </w:rPr>
        <w:t xml:space="preserve">1,6 </w:t>
      </w:r>
      <w:r w:rsidRPr="00984859">
        <w:rPr>
          <w:rFonts w:ascii="Arial" w:eastAsia="Times New Roman" w:hAnsi="Arial" w:cs="Arial"/>
          <w:lang w:eastAsia="sr-Latn-RS"/>
        </w:rPr>
        <w:t xml:space="preserve">i u Delu trećem ove metode. Važno je napomenuti da medijume koji sadrže helatizirajuće supstance, poput medijuma M4 i M7 (videti Deo treći ove metode), ne koristiti kada se ispituju supstance koje sadrže metale. Vrednost pH da bude u opsegu od 6 do 9. Za ispitivanje sa vrstom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preporučuje se tvrdoća vode od 140 mg/lCaCO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do 250 mg/lCaCO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dok je za druge vrste roda </w:t>
      </w:r>
      <w:r w:rsidRPr="00984859">
        <w:rPr>
          <w:rFonts w:ascii="Arial" w:eastAsia="Times New Roman" w:hAnsi="Arial" w:cs="Arial"/>
          <w:i/>
          <w:iCs/>
          <w:lang w:eastAsia="sr-Latn-RS"/>
        </w:rPr>
        <w:t>Daphnia</w:t>
      </w:r>
      <w:r w:rsidRPr="00984859">
        <w:rPr>
          <w:rFonts w:ascii="Arial" w:eastAsia="Times New Roman" w:hAnsi="Arial" w:cs="Arial"/>
          <w:lang w:eastAsia="sr-Latn-RS"/>
        </w:rPr>
        <w:t xml:space="preserve"> pogodnija niža tvrdoća vode. Voda za razblaživanje se aeriše pre korišćenja u ispitivanju, da bi koncentracija rastvorenog kiseonika dostigla zasićenje.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koristi prirodna voda, parametre kvaliteta meriti najmanje dva puta godišnje ili kad god se posumnja da je došlo do značajnih promena karakteristika (videti prethodni pasus i Deo drugi ove metode). Treba izmeriti i sadržaj teških metala (npr. Cu, Pb, Zn, Hg, Cd, Ni). Ako se koristi dehlorisana vodovodna voda, poželjno je svakodnevno meriti sadržaj hlora. Ako se koristi površinska ili podzemna voda, izmeriti elektroprovodljivost i TOC ili HPK.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1.7.4. Ispitivani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Ispitivani rastvori izabranih koncentracija najčešće se prave razblaživanjem osnovnog rastvora. Zbog toga se osnovni rastvor dobija direktnim rastvaranjem ispitivane supstance u vodi za razblaživanje. Treba, u najvećoj mogućoj meri, izbegavati upotrebu rastvarača, emulzifikatora i disperezionih sredstava. U nekim slučajevima ove pomoćne supstance su neophodne kako bi se uspešno napravio koncentrovani osnovni rastvor. Upotreba rastvarača, emulzifikatora i disperzionih sredstava opisana je u literaturi</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Koncentracija ispitivane supstance u rastvoru ne sme da pređe granicu rastvorljivosti supstance u vodi za razblaživanje.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izvesti bez podešavanja pH vrednosti. Ako dođe da značajnije promene pH vrednosti, preporučuje se ponavljanje ispitivanja uz podešavanje pH vrednosti na vrednost koju je voda za razblaživanje imala pre rastvaranja ispitivane supstance. Podešavanje pH vrednosti izvodi se tako da se koncentracija ispitivane supstance u osnovnom rastvoru značajnije ne promeni, kao i da se izbegne bilo kakva hemijska reakcija ili precipitacija ispitivane supstance. Za podešavanje pH vrednosti uglavnom se koriste rastvori HCl i NaOH.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Uslovi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1.8.1.1. Ispitivane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Posude za ispitivanje pune se odgovarajućim zapreminama vode za razblaživanje i ispitivanim rastvorima. Zapreminski odnos vazduh/voda da bude jednak u svim ispitivanim i kontrolnim grupama. Nakon toga se dafnije unose u posude za ispitivanje. U ispitivanju se za svaku koncentraciju, kao i kontrolnu grupu, koristi najmanje po 20 jedinki, podeljenih u 4 grupe (ponavljanja) od po 5 jedinki. Zapremina rastvora je dovoljna da obezbedi minimum 2 ml rastvora po jedinki, odnosno, minimalna zapremina po posudi za ispitivanje je 10 ml. Ispitivanje se odvija u polustatičnim (uz kompletno periodično obnavljanje ispitivanog rastvora) ili u protočnim sistemima, ako koncentracije ispitivane supstanca nisu stabilne.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svakom ispitivanju, obavezno je postaviti po jednu kontrolnu grupu (4 posude sa po 5 jedinki) isključivo sa vodom korišćenom za razblaživanje. Ukoliko je korišćena i pomoćna supstanca pri pravljenju rastvora, postavlja se i dodatna kontrolna grupa sa pomoćnom supstancom rastvorenom u vodi za razblaživanje.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1.8.1.2. Određivanje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nisu dostupni podaci o toksičnosti ispitivane supstance, a u cilju određivanja opsega ispitivanih koncentracija, izvodi se preliminarno ispitivanje. Preliminarno ispitivanje se izvodi u širokom opsegu koncentracija ispitivane supstance, pa je dovoljno postaviti po 5 jedinki po kontrolnoj i ispitivanoj grupi (bez ponavljanja). Dužina preliminarnog ispitivanja može biti 48 sati, ali ako se potrebni podaci dobiju u kraćem roku, ispitivanje se može prekinuti nakon 24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Preliminarno ispitivanje se postavlja u 5 ispitivanih koncentracija, u geometrijskoj seriji sa faktorom od minimum 2,2. Obrazloženje je neophodno ako se koristi manje od 5 različitih ispitivanih koncentracija. U preliminarnom ogledu, izlaganje dafnija najvišoj primenjenoj koncentracija potrebno je da dovede do 100% imobilizacije, dok izlaganje najnižoj izabranoj koncentraciji ne treba da dovede do značajnijeg odgovora.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1.8.1.3. Uslovi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na kojoj se izvode ispitivanja za procenu akutne toksičnosti da bude u opsegu od 18° C do 22° C, a u toku jednog ispitivanja akutne toksičnosti, izabrana temperatura ne varira više od ± 1° C. Preporučuje se svetlosni režim od 16 sati svetla i 8 sati mraka, ali je kod fotonestabilnih supstanci dozvoljeno da se celo ispitivanje izvede u mraku.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toku ispitivanja, nije dozvoljena aeracija rastvora u posudama. Ispitivanje izvesti bez podešavanja pH vrednosti. Životinje se ne hrane u toku trajanja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1.8.1.4. Dužina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traje 48 sati.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Posmatrani odgovor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Svaka posuda se proverava nakon 24 i 48 sati od početka ispitivanja (videti definicije iz odeljka 1.2. ove metode). Pored imobilizacije jedinki, prati se i beleži svako neuobičajeno ponašanje ili pojava.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1.8.3.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rastvorenog kiseonika i pH vrednost mere se na početku i na kraju ispitivanja u kontrolnoj i u ispitivanoj grupi u kojoj je primenjena najviša koncentracija ispitivane supstance. Koncentracija rastvorenog kiseonika u kontrolnim grupama ispunjava kriterijume kvaliteta (videti odeljak 1.6. ove metode). Ni u jednom ispitivanju pH vrednost ne varira za više od 1,5. Temperatura se obično prati u posudama iz kontrolnih grupa ili u prostoriji u kojoj je postavljen ogled. Preporuka je da se temperatura neprekidno prati, a najmanje na početku i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Koncentracije supstance izmeriti u grupama sa najnižom i najvišom koncentracijom, na početku i na kraju ispitivanja</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Preporučuje se da se rezultati tumače na osnovu izmerenih koncentracija. Ako se dokaže da se koncentracija ispitivane supstance ne menja u odnosu </w:t>
      </w:r>
      <w:r w:rsidRPr="00984859">
        <w:rPr>
          <w:rFonts w:ascii="Arial" w:eastAsia="Times New Roman" w:hAnsi="Arial" w:cs="Arial"/>
          <w:lang w:eastAsia="sr-Latn-RS"/>
        </w:rPr>
        <w:lastRenderedPageBreak/>
        <w:t xml:space="preserve">na nominalnu ili početno izmerenu za više od ± 20%, rezultati se mogu iskazati na osnovu nominalnih ili početno izmerenih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 GRANIČNA STUDIJA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Uz pomoć postupaka opisanih u ovoj metodi, može se izvesti granična studija sa koncentracijom ispitivane supstance od 100 mg/l ili sa vrednošću koncentracije rastvorljivosti supstance u medijumu (uvek se bira niža od ove dve vrednosti) kako bi se pokazalo da je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viša od ove koncentracije. Granična studija se izvodi sa 20 jedinki dafnije, podeljenih u 4 grupe od po 5 jedinki po posudi i sa istim brojem i rasporedom jedinki u kontrolnoj grupi. Ako dođe do imobilizacije jedinki u ispitivanoj grupi, obavezno se izvodi potpuno ispitivanje. Beleži se svako neuobičajeno ponašanje jedinki.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 podaci dobijeni ispitivanjem akutne toksičnosti navode se tabelarno. Za svaku ispitivanu i kontrolnu grupu navodi se broj jedinki na početku ispitivanja i broj imobilisanih jedinki za svaki posmatrani interval.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imobilisanih jedinki nakon 24 i 48 sati grafički se prikazuje u funkciji ispitivanih koncentracija. Podaci se analiziraju primerenom statističkom metodom (npr. probit analiza), izračunava se nagib krive i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sa 95% intervalima poverenja (p = 0,05).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Ukoliko za dobijene rezultate standardne metode za izračunavanje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nisu primenljive, za aproksimaciju EC50 uzima se geometrijska sredina između dve ispitivane koncentracije - najviše ispitivane koncentracije koja nije dovela do imobilizacije i najniže ispitivane koncentracije koja je dovela do imobilizacije 100% jedinki u ispitivanoj grupi.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i najvažnija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hemijskim svojstvima, uključujući čistoću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ispitivanoj vrsti: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poreklu i vrsti dafnija, dobavljač (ako je poznat), uslovi laboratorijskog gajenja kulture (uključujući poreklo, količine i vrstu hrane, dinamiku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posuda: tip posude, zapremina rastvora, broj jedinki po posudi, broj posuda po ispitivanoj koncentraciji (grupi);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 pripreme osnovnog i ispitivanog rastvor, uključujući i podatke o upotrebi pomoćne supstance (vrsta i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opis vode korišćene za razblaživanje; poreklo i osnovne svojstva (pH, tvrdoća, odnos Ca/Mg, odnos Na/K, alkalitet, elektroprovodljivost), sastav rekonstituisane vode (ako je korišćena);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 inkubacije: temperatura, intenzitet svetla i svetlosni režim, koncentracija kiseonika, pH vrednost,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i procenat imobilisanih jedinki ili jedinki koje su pokazale znake stresa (uključujući atipično ponašanje) u kontrolnim i svim ispitivanim grupama, u trenutku posmatranja, kao i opis uočenog odgovora;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i datum ispitivanja sa referentom supstancom, ako su dostupni;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nominalne koncentracije ispitivane supstance i rezultate svih merenja koncentracije ispitivane supstance u posudama, efikasnost analitičke metode korišćene za merenja i granice detekcije;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svih merenja osnovnih fizičko-hemijskih parametara u toku ispitivanja (pH, koncentracija rastvorenog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vrednost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nakon 48 sati za imobilizaciju kao posmatrani parametar sa intervalom poverenja i grafički prikaz regresionog modela korišćenog za izračunavanje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nagib krive dozne zavisnosti i standardna greška, statističke metode korišćene za izračunavanje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(ovi podaci se prilažu i ukoliko su izračunati za rezultate dobijene nakon perioda od 24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objašnjenje za svako odstupanje od metode i da li je odstupanje uticalo na rezultate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ISO 6341. (1996). Water quality - Determination of the inhibition of the mobility of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Straus (Cladocera, Crustacea) - Acute toxicity test. Third edition, 1996.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EPA OPPTS 850.1010. (1996). Ecological Effects Test Guidelines - Aquatic Invertebrate Acute Toxicity Test, Freshwater Daphnids.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Environment Canada. (1996) Biological test method. Acute Lethality Test Using </w:t>
      </w:r>
      <w:r w:rsidRPr="00984859">
        <w:rPr>
          <w:rFonts w:ascii="Arial" w:eastAsia="Times New Roman" w:hAnsi="Arial" w:cs="Arial"/>
          <w:i/>
          <w:iCs/>
          <w:lang w:eastAsia="sr-Latn-RS"/>
        </w:rPr>
        <w:t>Daphnia spp.</w:t>
      </w:r>
      <w:r w:rsidRPr="00984859">
        <w:rPr>
          <w:rFonts w:ascii="Arial" w:eastAsia="Times New Roman" w:hAnsi="Arial" w:cs="Arial"/>
          <w:lang w:eastAsia="sr-Latn-RS"/>
        </w:rPr>
        <w:t xml:space="preserve"> EPS 1/RM/11. Environment Canada, Ottawa, Ontario, Canada.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Guidance Document on Aquatic Toxicity Testing of Difficult Substances and Mixtures. OECD Environmental Health and Safety Publication. Series on Testing and Assessment. No 23. Paris 2000.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Commission of the European Communities. Study D8369. (1979). Inter-laboratory Test Programme concerning the study of the ecotoxicity of a chemical substance with respect to </w:t>
      </w:r>
      <w:r w:rsidRPr="00984859">
        <w:rPr>
          <w:rFonts w:ascii="Arial" w:eastAsia="Times New Roman" w:hAnsi="Arial" w:cs="Arial"/>
          <w:i/>
          <w:iCs/>
          <w:lang w:eastAsia="sr-Latn-RS"/>
        </w:rPr>
        <w:t>Daphnia</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OECD Guidelines for the Testing of Chemicals. Guideline 211: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Reproduction Test, adopted September 1998.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7. Stephan C.E. (1977). Methods for calculating an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In Aquatic Toxicology and Hazard Evaluation (edited by F.I. Mayer and J.L. Hamelink). ASTM STP 634 - American Society for Testing and Materials. p. 65-84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Finney D.J. (1978). Statistical Methods in Biological Assay. 3rd ed. London. Griffin, Weycombe, UK.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HEMIJSKA SVOJSTVA PRIHVATLJIVE VODE ZA RAZBLAŽIVANJE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240"/>
        <w:gridCol w:w="1892"/>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Suspendovane materije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&lt; 20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organski ugljenik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&lt; 2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Nejonizovan amonijak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&lt; 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Rezidualni hlor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&lt; 10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organofosforni pesticidi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&lt; 50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organohlorni pesticidi plus polihlorovani bifenili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&lt; 50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organski hlor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&lt; 25 ng/l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PRIMERI REKONSTITUISANE VODE ISO VODA ZA ISPITIVANJE</w:t>
      </w:r>
      <w:r w:rsidRPr="00984859">
        <w:rPr>
          <w:rFonts w:ascii="Arial" w:eastAsia="Times New Roman" w:hAnsi="Arial" w:cs="Arial"/>
          <w:b/>
          <w:bCs/>
          <w:sz w:val="15"/>
          <w:szCs w:val="15"/>
          <w:vertAlign w:val="superscript"/>
          <w:lang w:eastAsia="sr-Latn-RS"/>
        </w:rPr>
        <w:t>1</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60"/>
        <w:gridCol w:w="1746"/>
        <w:gridCol w:w="5726"/>
      </w:tblGrid>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Osnovni rastvori (pojedinačne supstance)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Zapremine osnovnih rastvora koje dodati i dopuniti do 1 L vode</w:t>
            </w:r>
            <w:r w:rsidRPr="00984859">
              <w:rPr>
                <w:rFonts w:ascii="Arial" w:eastAsia="Times New Roman" w:hAnsi="Arial" w:cs="Arial"/>
                <w:b/>
                <w:bCs/>
                <w:sz w:val="15"/>
                <w:szCs w:val="15"/>
                <w:vertAlign w:val="superscript"/>
                <w:lang w:eastAsia="sr-Latn-RS"/>
              </w:rPr>
              <w:t>II</w:t>
            </w:r>
            <w:r w:rsidRPr="00984859">
              <w:rPr>
                <w:rFonts w:ascii="Arial" w:eastAsia="Times New Roman" w:hAnsi="Arial" w:cs="Arial"/>
                <w:lang w:eastAsia="sr-Latn-RS"/>
              </w:rPr>
              <w:t xml:space="preserve"> radi pripreme rekonstituisane vode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Konc. supstance u vodi</w:t>
            </w:r>
            <w:r w:rsidRPr="00984859">
              <w:rPr>
                <w:rFonts w:ascii="Arial" w:eastAsia="Times New Roman" w:hAnsi="Arial" w:cs="Arial"/>
                <w:b/>
                <w:bCs/>
                <w:sz w:val="15"/>
                <w:szCs w:val="15"/>
                <w:vertAlign w:val="superscript"/>
                <w:lang w:eastAsia="sr-Latn-RS"/>
              </w:rPr>
              <w:t>II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Kalcijum-hlorid</w:t>
            </w:r>
            <w:r w:rsidRPr="00984859">
              <w:rPr>
                <w:rFonts w:ascii="Arial" w:eastAsia="Times New Roman" w:hAnsi="Arial" w:cs="Arial"/>
                <w:lang w:eastAsia="sr-Latn-RS"/>
              </w:rPr>
              <w:br/>
              <w:t>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11,76 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ml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Magnezijum-sulfat</w:t>
            </w:r>
            <w:r w:rsidRPr="00984859">
              <w:rPr>
                <w:rFonts w:ascii="Arial" w:eastAsia="Times New Roman" w:hAnsi="Arial" w:cs="Arial"/>
                <w:lang w:eastAsia="sr-Latn-RS"/>
              </w:rPr>
              <w:br/>
              <w:t>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4,93 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ml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Natrijum-bikarbonat</w:t>
            </w:r>
            <w:r w:rsidRPr="00984859">
              <w:rPr>
                <w:rFonts w:ascii="Arial" w:eastAsia="Times New Roman" w:hAnsi="Arial" w:cs="Arial"/>
                <w:lang w:eastAsia="sr-Latn-RS"/>
              </w:rPr>
              <w:br/>
              <w:t>NaHCO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2,59 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ml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Kalcijum-hlorid</w:t>
            </w:r>
            <w:r w:rsidRPr="00984859">
              <w:rPr>
                <w:rFonts w:ascii="Arial" w:eastAsia="Times New Roman" w:hAnsi="Arial" w:cs="Arial"/>
                <w:lang w:eastAsia="sr-Latn-RS"/>
              </w:rPr>
              <w:br/>
              <w:t xml:space="preserve">KCl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0,23 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ml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II</w:t>
      </w:r>
      <w:r w:rsidRPr="00984859">
        <w:rPr>
          <w:rFonts w:ascii="Arial" w:eastAsia="Times New Roman" w:hAnsi="Arial" w:cs="Arial"/>
          <w:lang w:eastAsia="sr-Latn-RS"/>
        </w:rPr>
        <w:t xml:space="preserve"> Voda prihvatljive čistoće, npr. dejonizovana, destilovana ili voda dobijena reverznom osmozom, sa električnom provodljivošću ispod 10 μS/cm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ELANDT M4 I M7 MEDIJUM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Adaptacija na Elandt M4 i M7 medijum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Laboratorije su imale poteškoće kod direktnog prebacivanja dafnija u Elandt M4 i M7 medijum. Bolji uspeh se postiže postepenom aklimatizacijom, na primer premeštanje dafnija </w:t>
      </w:r>
      <w:r w:rsidRPr="00984859">
        <w:rPr>
          <w:rFonts w:ascii="Arial" w:eastAsia="Times New Roman" w:hAnsi="Arial" w:cs="Arial"/>
          <w:lang w:eastAsia="sr-Latn-RS"/>
        </w:rPr>
        <w:lastRenderedPageBreak/>
        <w:t xml:space="preserve">iz sopstvenog u 30% Elandt, pa u 60% Elandt pa tek onda u 100% Elandt. Može biti potrebno i do mesec dana aklimatizacionog perioda.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Priprema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Mikronutrijenti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Posebni osnovni rastvori (I) pojedinih mikronutrijenata pripremaju se korišćenjem vode prihvatljive čistoće, npr. dejonizovane, destilovane ili vode dobijene reverznom osmozom. Od ovako pripremljenih osnovnih rastvora, pravi se sledeći osnovni rastvor (II), koji sadrži sve potrebne mikroelemente.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48"/>
        <w:gridCol w:w="1288"/>
        <w:gridCol w:w="1764"/>
        <w:gridCol w:w="1554"/>
        <w:gridCol w:w="2078"/>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Osnovni rastvor (I): mikronutrijenti (pojedinačne supstance)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Količina koja se dodaje u vodu</w:t>
            </w:r>
            <w:r w:rsidRPr="00984859">
              <w:rPr>
                <w:rFonts w:ascii="Arial" w:eastAsia="Times New Roman" w:hAnsi="Arial" w:cs="Arial"/>
                <w:lang w:eastAsia="sr-Latn-RS"/>
              </w:rPr>
              <w:br/>
              <w:t xml:space="preserve">(mg/l)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(u odnosu na M4)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Za pripremu kombinovanog osnovnog rastvora (II), dodati sledeće zapremine osnovnih rastvora (I) i dopuniti do 1L vode*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BO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57.190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7.210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LiCl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6.120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RbCl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SrCl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MoO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CuCl</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ZnCl</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CoCl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x6H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KJ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SeO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43,8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VO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EDTA·2H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FeSO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1.991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EDTA i FeSO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pripremaju se pojedinačno, pomešaju i odmah autoklaviraju, što čini: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322"/>
        <w:gridCol w:w="1268"/>
        <w:gridCol w:w="1451"/>
        <w:gridCol w:w="1726"/>
        <w:gridCol w:w="2365"/>
      </w:tblGrid>
      <w:tr w:rsidR="00984859" w:rsidRPr="00984859" w:rsidTr="00984859">
        <w:trPr>
          <w:tblCellSpacing w:w="0" w:type="dxa"/>
        </w:trPr>
        <w:tc>
          <w:tcPr>
            <w:tcW w:w="125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L rastvora Fe - EDTA </w:t>
            </w:r>
          </w:p>
        </w:tc>
        <w:tc>
          <w:tcPr>
            <w:tcW w:w="7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 puta </w:t>
            </w:r>
          </w:p>
        </w:tc>
        <w:tc>
          <w:tcPr>
            <w:tcW w:w="9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w:t>
            </w:r>
          </w:p>
        </w:tc>
        <w:tc>
          <w:tcPr>
            <w:tcW w:w="13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Priprema Elandt M4 i M7 medijuma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M4 i M7 medijumi pripremaju se korišćenjem osnovnog rastvora (II), makronutrijenata i vitamina, na sledeći način: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842"/>
        <w:gridCol w:w="1634"/>
        <w:gridCol w:w="1890"/>
        <w:gridCol w:w="1383"/>
        <w:gridCol w:w="1383"/>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Količina koja se dodaje u vodu (mg/l)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(u odnosu na M4)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Količina osnovnog rastvora (II) koja se dodaje pri pripremi medijuma (mg/l)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rastvor (II) (kombinovani mikronutrijenti)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Osnovni rastvori makronutrijenata (pojedinačne supstance)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293.800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246.600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NaHCO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64.800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SiO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·9H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NaNO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Kombinovani vitaminski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Kombinovani vitaminski rastvor priprema se tako što se 3 vitamina dodaju u vodu na sledeći način: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740"/>
        <w:gridCol w:w="1644"/>
        <w:gridCol w:w="1644"/>
        <w:gridCol w:w="1552"/>
        <w:gridCol w:w="1552"/>
      </w:tblGrid>
      <w:tr w:rsidR="00984859" w:rsidRPr="00984859" w:rsidTr="00984859">
        <w:trPr>
          <w:tblCellSpacing w:w="0" w:type="dxa"/>
        </w:trPr>
        <w:tc>
          <w:tcPr>
            <w:tcW w:w="15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Tiamin-hidrohlorid </w:t>
            </w:r>
          </w:p>
        </w:tc>
        <w:tc>
          <w:tcPr>
            <w:tcW w:w="9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750 </w:t>
            </w:r>
          </w:p>
        </w:tc>
        <w:tc>
          <w:tcPr>
            <w:tcW w:w="9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puta </w:t>
            </w:r>
          </w:p>
        </w:tc>
        <w:tc>
          <w:tcPr>
            <w:tcW w:w="8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Cianokobalamin (B12)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Biotin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Kombinovani vitaminski rastvor se čuva u zamrzivaču, u malim porcijama. Vitaminski rastvor se dodaje u medijum neposredno pre upotrebe.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Da se izbegne taloženje soli pri pripremi medijuma, pojedini rastvori se razblažuju u 500 ml do 800 ml dejonizovane vode i dopune do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Receptura za M4 je prvi put objavljena u "Elendt, B. P. (1990). Selenium deficiency in crustacea; an ultrastructual approach to antennal damage in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Straus. Protoplasma, 154, 25-33".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C.3. ISPITIVANJE INHIBICIJE RASTA SLATKOVODNIH ALGI I CIJANOBAKTERIJA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zasniva se na Uputstvu za ispitivanje OECD 201 (2006)</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Metode ispitivanja se periodično preispituju i ažuriraju u cilju naučnog napretka. Metodu ispitivanja C.3. bilo je potrebno revidirati kako bi se uključile dodatne vrste i ispunili zahtevi procene opasnosti i klasifikacije hemikalija. Revizija je obavljena na osnovu širokog praktičnog iskustva, naučnog napretka u oblasti toksikoloških istraživanja na algama i široke regulatorne primene koja je usledila nakon njenog donošenja.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Pojedini izrazi upotrebljeni u ovoj metodi ispitivanja imaju sledeće značenje: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Biomasa jeste suva masa žive materije sadržane u populaciji izražena u odnosu na datu zapreminu; npr. mg algi/l rastvora za ispitivanje. Biomasa se obično definiše kao masa, ali se u ovom ispitivanju ova reč odnosi na masu po zapremini. U ovom ispitivanju se po pravilu mere i alternativni parametri za biomasu, kao što je broj ćelija, fluorescencija itd, pa se izraz biomasa odnosi i na te alternative mere.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Koeficijent varijacije jeste bezdimenzionalna mera varijabilnosti parametra, definisana kao odnos standardne devijacije i srednje vrednosti. Ova vrednost može biti izražena i u procentima. Srednji koeficijent varijacije prosečne specifične brzine rasta u ponavljanjima kontrolnih kultura izračunava se na sledeći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Izračuna se koeficijent varijacije (u daljem tekstu: CV) prosečne specifične brzine rasta iz dnevnih/etapnih brzina rasta za odgovarajuće ponavljanje i izrazi u procentima.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Izračuna se srednja vrednost svih izračunatih vrednosti iz tačke 1. kako bi se dobio srednji koeficijent varijacije dnevne/etapne specifične brzine rasta u ponavljanjima kontrolnih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EC</w:t>
      </w:r>
      <w:r w:rsidRPr="00984859">
        <w:rPr>
          <w:rFonts w:ascii="Arial" w:eastAsia="Times New Roman" w:hAnsi="Arial" w:cs="Arial"/>
          <w:sz w:val="15"/>
          <w:szCs w:val="15"/>
          <w:vertAlign w:val="subscript"/>
          <w:lang w:eastAsia="sr-Latn-RS"/>
        </w:rPr>
        <w:t xml:space="preserve">x </w:t>
      </w:r>
      <w:r w:rsidRPr="00984859">
        <w:rPr>
          <w:rFonts w:ascii="Arial" w:eastAsia="Times New Roman" w:hAnsi="Arial" w:cs="Arial"/>
          <w:lang w:eastAsia="sr-Latn-RS"/>
        </w:rPr>
        <w:t xml:space="preserve">jeste koncentracija ispitivane supstance rastvorene u podlozi za ispitivanje koja rezultira x%-tnim (npr. 50%) smanjenjem rasta ispitivanog organizma u okviru navedenog perioda izlaganja (koje izričito navesti ako odstupa od punog ili uobičajenog trajanja ispitivanja). Da se nedvosmisleno pokaže da li je vrednost EC dobijena iz brzine rasta (growth rate) ili iz prirasta (yield) koriste se simboli ErC i EyC.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Hranljiva podloga jeste kompletna sintetička podloga kulture u kojoj ispitivane alge rastu kad se izlože ispitivanoj supstanci. Ispitivana supstanca se po pravilu rastvara u podlozi koja se koristi tokom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Brzina rasta (prosečna specifična brzina rasta) jeste logaritamsko povećanje biomase u periodu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Najniža koncentracija sa zapaženim efektom (u daljem tekstu: LOEC) jeste najniža ispitivana koncentracija kod koje je tokom određenog perioda izlaganja zapažen statistički značajan negativni efekat supstance na rast (pri r &lt; 0,05) u poređenju sa kontrolom. Sve ispitivane koncentracije iznad LOEC imaju jednak ili veći štetan efekat od onoga koji je zabeležen pri LOEC. Ako se ova dva uslova ne mogu ispuniti, detaljno se objašnjava kako je odabran LOEC (a prema tome i NOEC).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Najviša koncentracija bez zapaženog efekta (u daljem tekstu: NOEC) jeste ispitivana koncentracija neposredno ispod LOEC.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Promenljiva odgovora jeste promenljiva za procenu toksičnosti izvedena iz bilo kojeg merenog parametra koji opisuje biomasu primenom različitih metoda izračunavanja. Kod ove metode brzina rasta i prirasta su promenljive odgovora dobijene direktnim merenjem biomase ili bilo kojeg navedenog zamenskog parametra.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Specifična brzina rasta jeste promenljiva odgovora definisana kao količnik razlike prirodnih logaritama posmatranog parametra (kod ove metode ispitivanja, biomasa) i odgovarajućeg vremenskog perioda.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Prirast jeste vrednost merne promenljive na kraju perioda izlaganja umanjena za vrednost merne promenljive na početku perioda izlaganja, kojom se izražava povećanje biomase tokom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PRIMENJIVOST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Ova metoda ispitivanja se najlakše primenjuje kod supstanci rastvorljivih u vodi za koje se može pretpostaviti da će u uslovima ispitivanja ostati u vodi. Kada se ispituju supstance koje su isparljive, jako adsorptivne, obojene, slabo rastvorljive u vodi i supstance koje mogu uticati na raspoloživost hranljivih materija ili minerala u podlozi za ispitivanje, možda će biti potrebno da se opisani postupak izmeni (npr. zatvoreni sistem, kondicioniranje sudova za ispitivanje). Smernice za neke izmene date su u literaturi</w:t>
      </w:r>
      <w:r w:rsidRPr="00984859">
        <w:rPr>
          <w:rFonts w:ascii="Arial" w:eastAsia="Times New Roman" w:hAnsi="Arial" w:cs="Arial"/>
          <w:b/>
          <w:bCs/>
          <w:sz w:val="15"/>
          <w:szCs w:val="15"/>
          <w:vertAlign w:val="superscript"/>
          <w:lang w:eastAsia="sr-Latn-RS"/>
        </w:rPr>
        <w:t>2,3,4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ispitivanja je da se odrede efekti supstanci na rast slatkovodnih mikroalgi i/ili cijanobakterija. Eksponencijalno rastući test organizmi izlažu se ispitivanoj supstanci u šaržnim kulturama, po pravilu tokom 72 sata. Iako ispitivanja relativno kratko traju mogu se oceniti efekti u nekoliko generacija.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Odgovor sistema sastoji se u smanjenju rasta niza kultura algi (ispitivane jedinice) koje su izložene različitim koncentracijama ispitivane supstance. Odgovor se ocenjuje kao funkcija koncentracije izlaganja u odnosu na prosečni rast ponovljenih, neizloženih kontrolnih kultura. Da bi se u punoj meri izrazio odgovor sistema na toksične efekte (optimalna osetljivost), kulturama se ostavlja dovoljno vremena da postignu neograničen eksponencijalni rast, uz dovoljno hranljivih materija i neprekidno osvetljenje kako bi se izmerilo smanjenje specifične brzine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 i inhibicija rasta kvantifikuju se merenjima biomase algi u zavisnosti od vremena. Biomasa algi definisana je kao suva masa po zapremini, npr. mg algi/l rastvora za ispitivanje. Suvu masu je teško meriti pa se koriste alternativni parametri. Od ovih alternativnih parametara najčešće se koristi broj ćelija. Ostali alternativni parametri su zapremina ćelija, fluorescencija, optička gustina, itd. Faktor konverzije između alternativnih parametara i biomase da bude poznat.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Praćeni parametari ispitivanja su inhibicija rasta, izražena kao logaritamsko povećanje biomase (prosečna specifična brzina rasta) u periodu izlaganja. Iz prosečnih specifičnih brzina rasta zabeleženih u seriji ispitivanih rastvora određuje se koncentracija koja izaziva određeno x%-tno smanjenje brzine rasta (npr. 50%), koja se izražava kao ErCx (npr. ErC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ova metoda ispitivanja mogla da se primeni, izračunavanje rezultata se zasniva na prosečnoj specifičnoj brzini rasta iz razloga navedenih u odeljku 2.2. ove metode. U ovoj metodi ispitivanja koristi se i dodatni promenljivi odgovor, prirast, koji je potreban da bi se ispunili određeni regulatorni zahtevi u nekim državama. Definiše se kao biomasa na kraju perioda izlaganja umanjena za biomasu na početku perioda izlaganja. Iz prirasta zabeleženog u seriji ispitivanih rastvora izračunava se koncentracija koja izaziva određeno x%-tno smanjenje prirasta (npr. 50%), koja se izražava kao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(npr.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Osim toga, može se statistički odrediti najniža koncentracija sa zapaženim efektom (LOEC) i najviša koncentracija bez zapaženog efekta (NOEC).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INFORMACIJE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Informacije o ispitivanoj supstanci, koje mogu biti korisne za određivanje uslova ispitivanja obuhvataju strukturnu formulu, čistoću, stabilnost na svetlu, stabilnost u uslovima ispitivanja, svojstva apsorpcije svetla, rKa i rezultate istraživanja konverzije, uključujući biorazgradljivost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Treba da budu poznati rastvorljivost u vodi, koeficijent raspodele oktanol/voda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 napon pare ispitivane supstance, i da bude na raspolaganju validirana metoda za kvantifikaciju </w:t>
      </w:r>
      <w:r w:rsidRPr="00984859">
        <w:rPr>
          <w:rFonts w:ascii="Arial" w:eastAsia="Times New Roman" w:hAnsi="Arial" w:cs="Arial"/>
          <w:lang w:eastAsia="sr-Latn-RS"/>
        </w:rPr>
        <w:lastRenderedPageBreak/>
        <w:t xml:space="preserve">supstance u rastvorima za ispitivanje sa dokumentovanim iskorišćenjem i granicom detekcije.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REFERENTNA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Jedna ili više referentnih supstanci kao npr. 3,5-dihlorfenol korišćen u međunarodnom međulaboratorijskom ispitivanju</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mogu se koristiti za proveru postupka ispitivanja. Kao referentna supstanca za zelene alge može se koristiti i kalijum dihromat. Poželjno je da se referentna supstanca ispituje najmanje dva puta godišnje.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VALIDNOST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ispitivanje bilo validno ispunjavaju se sledeći kriterijumi: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Biomasa u kontrolnim kulturama eksponencijalno se povećava najmanje za faktor 16 u periodu ispitivanja od 72 sata. To odgovara specifičnoj brzini rasta od 0,92 dana</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Kod vrsta koje se najčešće koriste, brzina rasta je obično znatno viša (videti Dodatak prvi ove metode). Ovaj kriterijum možda neće biti zadovoljen ako se koriste vrste koje rastu sporije od onih koje su navedene u Dodatku 1. ove metode. U tom slučaju period ispitivanja produžiti koliko je potrebno da se u kontrolnim kulturama dobije najmanje 16-struki rast, uz eskponencijalni rast tokom celokupnog perioda ispitivanja. Period ispitivanja može se skratiti na najmanje 48 sati da bi se održao neograničeni eksponencijalni rast tokom ispitivanja, pod uslovom da je postignut minimalni faktor povećanja 16.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Srednji koeficijent varijacije etapnih specifičnih brzina rasta (dan 0-1, 1-2 i 2-3, za ispitivanje koje traje 72 sata) u kontrolnim kulturama (videti odeljak 1.2. koeficijent varijacije) ne sme biti viši od 35%. Za izračunavanje etapne specifične brzine rasta videti odeljak 2.2.1. ove metode. Ovaj kriterijum važi za srednju vrednost koeficijenata varijacije izračunatih za ponavljanja kontrolnih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Kod ispitivanja sa vrstama </w:t>
      </w:r>
      <w:r w:rsidRPr="00984859">
        <w:rPr>
          <w:rFonts w:ascii="Arial" w:eastAsia="Times New Roman" w:hAnsi="Arial" w:cs="Arial"/>
          <w:i/>
          <w:iCs/>
          <w:lang w:eastAsia="sr-Latn-RS"/>
        </w:rPr>
        <w:t>Pseudokirchneriella subcapitata</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Desmodesmus subspicatus</w:t>
      </w:r>
      <w:r w:rsidRPr="00984859">
        <w:rPr>
          <w:rFonts w:ascii="Arial" w:eastAsia="Times New Roman" w:hAnsi="Arial" w:cs="Arial"/>
          <w:lang w:eastAsia="sr-Latn-RS"/>
        </w:rPr>
        <w:t xml:space="preserve"> koeficijent varijacije prosečnih specifičnih brzina rasta u ponavljanjima sa kontrolnim kulturama tokom ukupnog perioda ispitivanja ne sme biti viši od 7%. Kod ostalih vrsta koje se ređe ispituju ta vrednost ne sme biti viša od 10%.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Sudovi za ispitivanje i ostala aparatura koja dolazi u dodir sa ispitivanim rastvorima za ispitivanje u potpunosti su izrađeni od stakla ili drugog hemijski inertnog materijala. Aparaturu temeljno oprati kako organski i neorganski zagađivači ne bi uticali na rast algi ili na sastav rastvora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Posude koje se koriste tokom ispitivanja će po pravilu biti stakleni sudovi dovoljnih dimenzija da se osigura potrebna zapremina kulture za merenja tokom ispitivanja i dovoljan prenos mase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iz atmosfere (videti odeljak 1.8.9. ove metode). Zapremina tečnosti treba da bude dovoljna za analitička određivanja (videti odeljak 1.8.11.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Potrebna je sledeća oprema, odnosno delovi opreme: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Inkubator za gajenje: preporučuje se ormar ili komora u kojoj se može održavati odabrana temperatura inkubacije u granicama ± 2°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Instrumenti za merenje svetla: važno je napomenuti da metoda koja se koristi za merenje intenziteta svetla, a naročito vrsta prijemnika (senzora), može uticati na mernu vrednost. Merenja, ako je moguće, sprovoditi uz pomoć sferičnog prijemnika (4 </w:t>
      </w:r>
      <w:r w:rsidRPr="00984859">
        <w:rPr>
          <w:rFonts w:ascii="Arial" w:eastAsia="Times New Roman" w:hAnsi="Arial" w:cs="Arial"/>
          <w:i/>
          <w:iCs/>
          <w:lang w:eastAsia="sr-Latn-RS"/>
        </w:rPr>
        <w:t>π</w:t>
      </w:r>
      <w:r w:rsidRPr="00984859">
        <w:rPr>
          <w:rFonts w:ascii="Arial" w:eastAsia="Times New Roman" w:hAnsi="Arial" w:cs="Arial"/>
          <w:lang w:eastAsia="sr-Latn-RS"/>
        </w:rPr>
        <w:t xml:space="preserve">) (koji reaguje na direktno i reflektovano svetlo iz svih uglova iznad i ispod merne ravni) ili prijemnika 2 </w:t>
      </w:r>
      <w:r w:rsidRPr="00984859">
        <w:rPr>
          <w:rFonts w:ascii="Arial" w:eastAsia="Times New Roman" w:hAnsi="Arial" w:cs="Arial"/>
          <w:i/>
          <w:iCs/>
          <w:lang w:eastAsia="sr-Latn-RS"/>
        </w:rPr>
        <w:t>π</w:t>
      </w:r>
      <w:r w:rsidRPr="00984859">
        <w:rPr>
          <w:rFonts w:ascii="Arial" w:eastAsia="Times New Roman" w:hAnsi="Arial" w:cs="Arial"/>
          <w:lang w:eastAsia="sr-Latn-RS"/>
        </w:rPr>
        <w:t xml:space="preserve"> (koji reaguje na svetlo iz svih uglova iznad merne ravni).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Aparat za određivanje biomase algi. Broj ćelija, najčešće korišćeni alternativni parametar za biomasu algi, može se odrediti pomoću elektronskog brojača čestica, mikroskopa sa komorom za brojanje ili protočnog citometra. Ostali se alternativni parametri za biomasu mogu se izmeriti pomoću protočnog citometra, fluorimetra, spektrofotometra i kolorimetra. Korisno je izračunati faktor konverzije broj ćelija - suva masa. Da bi se kod merenja spektrofotometrom dobile korisne merne vrednosti pri niskim koncentracijama biomase, ponekad je potrebno upotrebiti kivete sa dužinom svetlosnog puta od najmanje 4 cm.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Ispitivani organizmi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Može se koristiti nekoliko vrsta slobodno plivajućih mikroalgi i cijanobakterija. Za sojeve navedene u Dodatku 1. ove metode dokazano je da su podesni za postupak ispitivanja iz ove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koriste druge vrste, navesti soj i/ili poreklo. Potrebno je uveriti se da se eksponencijalni rast odabranih ispitivanih algi može održati u preovlađujućim uslovima ispitivanja tokom celokupnog perioda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1.8.3. Hranljiva podloga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Preporučuju se dve alternativne hranljive podloge, OECD i AAP. Sastav tih podloga prikazan je u Dodatku 2. ove metode. Treba napomenuti da te dve podloge imaju različitu početnu pH vrednost i puferski kapacitet (za regulaciju povećanja pH vrednosti). Stoga se kod ispitivanja mogu dobiti različiti rezultati u zavisnosti od podloge koja se koristi, naročito kad se ispituju jonizujuće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određenim slučajevima je potrebno izmeniti hranljive podloge, npr. kad se ispituju metali i helatna sredstva, ili kad se ispitivanje sprovodi sa različitim pH vrednostima. Korišćenje izmenjene podloge detaljno se opisuje i obrazlaže</w:t>
      </w:r>
      <w:r w:rsidRPr="00984859">
        <w:rPr>
          <w:rFonts w:ascii="Arial" w:eastAsia="Times New Roman" w:hAnsi="Arial" w:cs="Arial"/>
          <w:b/>
          <w:bCs/>
          <w:sz w:val="15"/>
          <w:szCs w:val="15"/>
          <w:vertAlign w:val="superscript"/>
          <w:lang w:eastAsia="sr-Latn-RS"/>
        </w:rPr>
        <w:t>3,4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1.8.4. Početna koncentracija biomase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biomasa u ispitivanim kulturama jednaka je u svim ispitivanim kulturama i dovoljno niska da se može postići eksponencijalni rast tokom čitavog perioda inkubacije bez bojazni da bi se mogle iscrpiti zalihe hranljivih materija. Početna biomasa ne treba da bude viša od 0,5 mg/l suve mase. Preporučuju se sledeće početne koncentracije ćelija: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636"/>
        <w:gridCol w:w="3476"/>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Pseudokirchneriella subcapitata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5 ×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ćelija/ml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Desmodesmus subspicatus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2-5 ×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ćelija/ml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Navicula pelliculosa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ćelija/ml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Anabaena flos-aquae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ćelija/ml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Synechococcus leopoliensis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5 × 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 xml:space="preserve">5 </w:t>
            </w:r>
            <w:r w:rsidRPr="00984859">
              <w:rPr>
                <w:rFonts w:ascii="Arial" w:eastAsia="Times New Roman" w:hAnsi="Arial" w:cs="Arial"/>
                <w:lang w:eastAsia="sr-Latn-RS"/>
              </w:rPr>
              <w:t xml:space="preserve">ćelija/ml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1.8.5. Koncentracije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Raspon koncentracija u kojem se mogu očekivati efekti supstance može se odrediti na osnovu rezultata ispitivanja za određivanje raspona. Za konačno glavno ispitivanje odabrati </w:t>
      </w:r>
      <w:r w:rsidRPr="00984859">
        <w:rPr>
          <w:rFonts w:ascii="Arial" w:eastAsia="Times New Roman" w:hAnsi="Arial" w:cs="Arial"/>
          <w:lang w:eastAsia="sr-Latn-RS"/>
        </w:rPr>
        <w:lastRenderedPageBreak/>
        <w:t xml:space="preserve">najmanje pet koncentracija raspoređenih u geometrijskom nizu uz faktor koji ne prelazi 3,2. Kod ispitivanih supstanci čija je kriva koncentracija-odgovor ravna, ponekad je opravdano koristiti viši faktor. Serija koncentracija obuhvata područje u kojem se javlja inhibicija rasta algi 5%-75%.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1.8.6. Ponavljanja i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postavci ispitivanja predvideti po tri ponavljanja za svaku ispitivanu koncentraciju. Ako nije potrebno odrediti NOEC, postavka ispitivanja se može promeniti tako da se poveća broj koncentracija i smanji broj ponavljanja po koncentraciji. Broj kontrolnih ponavljanja je najmanje tri, a u idealnom slučaju dvostruko veći od broja ponavljanja za svaku ispitivanu koncentraciju.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analitička određivanja koncentracija ispitivane supstance može se pripremiti posebna serija rastvora za ispitivanje (videti odeljak 1.8.11.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za rastvaranje ispitivane supstance koristi rastvarač, u postavku ispitivanja se uključuju dodatne kontrole koje sadrže istu koncentraciju rastvarača kao i kod ispitivane kulture.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1.8.7. Priprema kulture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test alge prilagodile uslovima ispitivanja i obezbedilo da alge budu u fazi eksponencijalnog rasta u trenutku kada se koriste za inokulaciju rastvora za ispitivanje, kulturu inokuluma u podlozi za ispitivanje pripremiti 2 do 4 dana pre početka ispitivanja. Biomasu algi podesiti tako da se omogući da preovlada eksponencijalni rast u kulturi inokuluma do početka ispitivanja. Kulturu inokuluma inkubirati u istim uslovima kao ispitivane kulture. Merenjem povećanja biomase u kulturi inokuluma uveriti se da je rast u granicama normale za ispitivani soj u uslovima gajenja. Primer postupka gajenja kulture algi opisan je u Dodatku 3. ove metode. Da bi se izbegla istovremena deoba ćelija za vreme ispitivanja, može biti potrebno sprovesti još jedan korak umnožavanja kulture inokuluma.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1.8.8. Priprema rastvora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Svi rastvori za ispitivanje sadrže istu koncentraciju hranljive podloge i istu početnu biomasu ispitivanih algi. Rastvori za ispitivanje odabranih koncentracija obično se pripremaju mešanjem radnog rastvora ispitivane supstance sa hranljivom podlogom i kulturom inokuluma. Radni rastvori se po pravilu pripremaju rastvaranjem supstanci u podlozi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Rastvarači, npr. aceton, </w:t>
      </w:r>
      <w:r w:rsidRPr="00984859">
        <w:rPr>
          <w:rFonts w:ascii="Arial" w:eastAsia="Times New Roman" w:hAnsi="Arial" w:cs="Arial"/>
          <w:i/>
          <w:iCs/>
          <w:lang w:eastAsia="sr-Latn-RS"/>
        </w:rPr>
        <w:t>t</w:t>
      </w:r>
      <w:r w:rsidRPr="00984859">
        <w:rPr>
          <w:rFonts w:ascii="Arial" w:eastAsia="Times New Roman" w:hAnsi="Arial" w:cs="Arial"/>
          <w:lang w:eastAsia="sr-Latn-RS"/>
        </w:rPr>
        <w:t>-butil alkohol i dimetilformamid mogu da se koriste kao nosači za dodavanje supstanci slabo rastvorljivih u vodi u podlogu za ispitivanje</w:t>
      </w:r>
      <w:r w:rsidRPr="00984859">
        <w:rPr>
          <w:rFonts w:ascii="Arial" w:eastAsia="Times New Roman" w:hAnsi="Arial" w:cs="Arial"/>
          <w:b/>
          <w:bCs/>
          <w:sz w:val="15"/>
          <w:szCs w:val="15"/>
          <w:vertAlign w:val="superscript"/>
          <w:lang w:eastAsia="sr-Latn-RS"/>
        </w:rPr>
        <w:t>2,3</w:t>
      </w:r>
      <w:r w:rsidRPr="00984859">
        <w:rPr>
          <w:rFonts w:ascii="Arial" w:eastAsia="Times New Roman" w:hAnsi="Arial" w:cs="Arial"/>
          <w:lang w:eastAsia="sr-Latn-RS"/>
        </w:rPr>
        <w:t xml:space="preserve">. Koncentracija rastvarača ne sme da pređe 100 µl/l i istu koncentraciju dodati svim kulturama (uključujući kontrole) u serijama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1.8.9. Inkubacija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Sudovi za ispitivanje se zatvore vazdušno-propusnim čepovima. Posude se protresu i stave u inkubator za gajenje. Alge tokom ispitivanja držati u suspenziji da se olakša prenos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To se postiže stalnim trešenjem ili mešanjem. Kulture držati na temperaturi u rasponu od 21° C do 24° C uz toleranciju ± 2 °C. Kod vrsta koje nisu navedene u Dodatku 1, npr. tropske vrste, mogu odgovarati više temperature, pod uslovom da se mogu ispuniti kriterijumi validnosti. Preporučuje se da se sudovi nasumično rasporede u inkubatoru i svakodnevno razmeštaju po inkubatoru.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pH vrednost kontrolne podloge se tokom ispitivanja ne sme povećati za više od 1,5 jedinica. Kod metala i jedinjenja koji delimično jonizuju pri pH vrednostima oko ispitivane vrednosti ponekad je nužno ograničiti pomak pH vrednosti kako bi se dobili obnovljivi i dobro definisani rezultati. Pomak od &lt; 0,5 pH jedinica je tehnički izvodljiv i može se postići osiguravanjem odgovarajućeg prenosa mase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iz okolnog vazduha u ispitivani rastvor, npr. povećanjem brzine tresenja. Druga mogućnost je da se smanji potrošnja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smanjenjem početne biomase ili trajanja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površini gde se kulture inkubiraju osigurati neprekidno i ravnomerno fluorescentno osvetljenje npr. tipa hladno belo (cool-white) ili dnevno svetlo (daylight). Različiti sojevi algi i cijanobakterija imaju različite potrebe za svetlošću. Intenzitet svetla prilagoditi ispitivanim organizmima. Za preporučene vrste zelenih algi, intenzitet svetla na nivou rastvora za ispitivanje odabrati u rasponu od 60 do 120 µE·m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mereno u fotosintetički efikasnom spektralnom rasponu od 400 nm do 700 nm primenom odgovarajućeg prijemnika. Neke vrste, posebno </w:t>
      </w:r>
      <w:r w:rsidRPr="00984859">
        <w:rPr>
          <w:rFonts w:ascii="Arial" w:eastAsia="Times New Roman" w:hAnsi="Arial" w:cs="Arial"/>
          <w:i/>
          <w:iCs/>
          <w:lang w:eastAsia="sr-Latn-RS"/>
        </w:rPr>
        <w:t>Anabaena flos-aquae</w:t>
      </w:r>
      <w:r w:rsidRPr="00984859">
        <w:rPr>
          <w:rFonts w:ascii="Arial" w:eastAsia="Times New Roman" w:hAnsi="Arial" w:cs="Arial"/>
          <w:lang w:eastAsia="sr-Latn-RS"/>
        </w:rPr>
        <w:t>, rastu dobro na svetlu slabijeg intenziteta i jako svetlo ih može oštetiti. Kod tih vrsta odabrati prosečni intenzitet svetla u rasponu od 40 µE·m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do 60 µE·m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(Kod instrumenata za merenje intenziteta svetla baždarenih u luksima, raspon od 4.440 lux do 8.880 lux za hladno belo svetlo približno odgovara preporučenom intenzitetu svetla od 60 µE·m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do 120 µE·m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Intenzitet svetla u prostoru inkubacije ne sme odstupati više od ± 15% od prosečnog intenziteta svetla.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1.8.10.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po pravilu traje 72 sata. Ipak, ispitivanje može trajati i duže ili kraće, pod uslovom da mogu da se zadovolje svi kriterijumi validnosti iz odeljka 1.7.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1.8.11. Merenja i analitička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Biomasa algi se u svakom sudu određuje najmanje jedanput dnevno tokom ispitivanja. Ako se merenja sprovode na maloj zapremini pipetiranoj iz rastvora za ispitivanje, izvađeni rastvor ne zamenjivati.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Merenje biomase sprovodi se ručnim brojanjem ćelija pod mikroskopom ili elektronskim brojačem čestica (za broj ćelija i/ili biozapreminu). Mogu se koristiti i alternativne tehnike, npr. protočna citometrija, flourescencija hlorofila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ili </w:t>
      </w:r>
      <w:r w:rsidRPr="00984859">
        <w:rPr>
          <w:rFonts w:ascii="Arial" w:eastAsia="Times New Roman" w:hAnsi="Arial" w:cs="Arial"/>
          <w:i/>
          <w:iCs/>
          <w:lang w:eastAsia="sr-Latn-RS"/>
        </w:rPr>
        <w:t>in vivo</w:t>
      </w:r>
      <w:r w:rsidRPr="00984859">
        <w:rPr>
          <w:rFonts w:ascii="Arial" w:eastAsia="Times New Roman" w:hAnsi="Arial" w:cs="Arial"/>
          <w:b/>
          <w:bCs/>
          <w:sz w:val="15"/>
          <w:szCs w:val="15"/>
          <w:vertAlign w:val="superscript"/>
          <w:lang w:eastAsia="sr-Latn-RS"/>
        </w:rPr>
        <w:t>6,7</w:t>
      </w:r>
      <w:r w:rsidRPr="00984859">
        <w:rPr>
          <w:rFonts w:ascii="Arial" w:eastAsia="Times New Roman" w:hAnsi="Arial" w:cs="Arial"/>
          <w:lang w:eastAsia="sr-Latn-RS"/>
        </w:rPr>
        <w:t xml:space="preserve">, ili optička gustina, pod uslovom da se može dokazati zadovoljavajuća korelacija sa biomasom u okviru raspona biomasa koje se javljaju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pH vrednost rastvora meri se na početku i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je na raspolaganju analitički postupak za određivanje ispitivane supstance u rasponu koncentracija koje se koriste u ispitivanju, analizirati rastvore za ispitivanje kako bi se proverile početne koncentracije i održavanje koncentracija izlaganja tokom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Analiza koncentracije ispitivane supstance u jednoj niskoj i jednoj visokoj ispitivanoj koncentraciji na početku i kraju ispitivanja i koncentracije oko očekivane vrednosti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može biti dovoljna ukoliko se očekuje da će koncentracije izlaganja tokom ispitivanja odstupati manje od 20% od nominalnih vrednosti. Ako nije verovatno da će koncentracije ostati u okviru 80% do 120% nominalne vrednosti, preporučuje se analiza svih ispitivanih koncentracija na početku i na kraju ispitivanja. U slučaju isparljivih, nestabilnih i jako adsorptivnih ispitivanih supstanci preporučuje se da se tokom perioda izlaganja obave dodatna uzorkovanja i analize u razmacima od 24 sata kako bi se mogao bolje odrediti gubitak ispitivane supstance. Kod takvih supstanci biće potrebna dodatna ponavljanja. U svim slučajevima, koncentraciju ispitivane supstance određivati samo iz jednog ponavljanja </w:t>
      </w:r>
      <w:r w:rsidRPr="00984859">
        <w:rPr>
          <w:rFonts w:ascii="Arial" w:eastAsia="Times New Roman" w:hAnsi="Arial" w:cs="Arial"/>
          <w:lang w:eastAsia="sr-Latn-RS"/>
        </w:rPr>
        <w:lastRenderedPageBreak/>
        <w:t xml:space="preserve">za svaki uzorak ispitivane koncentracije (ili u srednjem uzorku koji se dobija sjedinjavanjem sadržaja svih ponavljanja).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 podlogama za ispitivanje koje su posebno pripremljene za analizu koncentracija izlaganja tokom ispitivanja postupati jednako kao sa podlogama na kojima se sprovodi ispitivanje tj. inokulisati ih algama i inkubirati u jednakim uslovima. Ako je potrebno da se izvrši analiza koncentracije rastvorene ispitivane supstance, može biti neophodno da se odvoje alge od podloge. Odvajanje se ako je moguće vrši laganim centrifugiranjem gde je g-sila tek tolika da se postigne taloženje algi.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može dokazati da se koncentracija ispitivane supstance tokom ukupnog trajanja ispitivanja na zadovoljavajući način održava u granicama ± 20% nominalne ili izmerene početne koncentracije, analiza rezultata se može zasnivati na nominalnim ili izmerenim početnim vrednostima. Ako je odstupanje od nominalne odnosno izmerene početne koncentracije veće od ± 20%, analiza rezultata se zasniva na srednjoj geometrijskoj koncentraciji tokom izlaganja ili modelima koji opisuju opadanje koncentracije ispitivane supstance</w:t>
      </w:r>
      <w:r w:rsidRPr="00984859">
        <w:rPr>
          <w:rFonts w:ascii="Arial" w:eastAsia="Times New Roman" w:hAnsi="Arial" w:cs="Arial"/>
          <w:b/>
          <w:bCs/>
          <w:sz w:val="15"/>
          <w:szCs w:val="15"/>
          <w:vertAlign w:val="superscript"/>
          <w:lang w:eastAsia="sr-Latn-RS"/>
        </w:rPr>
        <w:t>3,8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inhibicije rasta algi je dinamičniji sistem za ispitivanje u odnosu na većinu ispitivanja kratkotrajne toksičnosti u vodi. Stoga je ponekad teško odrediti stvarne koncentracije izlaganja, što naročito važi za ispitivanja adsorptivnih supstanci u niskim koncentracijama. U tom slučaju nestanak supstance iz rastvora adsorpcijom na rastuću biomasu algi ne znači da se ona izgubila iz sistema za ispitivanje. Kada se analizira rezultat ispitivanja, proveriti da li je smanjenje koncentracije ispitivane supstance tokom ispitivanja praćeno smanjenjem inhibicija rasta. Ako je to slučaj, može se razmotriti primena pogodnog modela koji opisuje opadanje koncentracije ispitivane supstance</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U protivnom, možda će biti potrebno da se izvrši analiza rezultata na osnovu početnih (nominalnih ili izmerenih) koncentracija.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1.8.12. Ostala posmatranja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ispitivanja izvršiti mikroskopsko posmatranje da se potvrdi normalan i zdrav izgled kulture inokuluma i uoče eventualne promene u izgledu algi (koje mogu biti posledica izlaganja ispitivanoj supstanci).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1.8.13. Granično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određenim okolnostima, npr. kad preliminarno ispitivanje ukazuje na to da ispitivana supstanca nema toksično delovanje u koncentracijama do 100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ili do njene granice rastvorljivosti u podlozi za ispitivanje (zavisno od toga šta je manje), može se izvršiti granično ispitivanje koje podrazumeva poređenje odgovora u jednoj kontrolnoj grupi i jednoj ispitivanoj grupi (100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ili koncentracija jednaka granici rastvorljivosti). Preporučuje se da se uz granično ispitivanje svakako izvrši analiza koncentracije izlaganja. Za granično ispitivanje važe svi gore pomenuti uslovi za ispitivanje i kriterijumi validnosti, s tim da broj ponavljanja u ispitivanoj grupi ne sme biti manji od šest. Promenljive odgovora u kontrolnoj i ispitivanoj grupi mogu se analizirati statističkim testom za poređenje srednjih vrednosti npr. Studentov t-test. Ako su varijanse dve grupe nejednake, izvršiti prilagođeni t-test za nejednake varijanse.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1.8.14. Modifikacija za jako obojene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Zračenje (intenzitet svetla) treba da bude u gornjem delu raspona propisanog za ovu metodu ispitivanja: 120µE 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ili više.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Put svetla skratiti smanjenjem zapremine rastvora za ispitivanje (u rasponu od 5 ml do 25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dovoljno promućkati (na primer umerenim trešenjem) kako bi se obezbedila visoka učestalost izlaganja algi visokom zračenju na površini kulture.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GRAFIČKI PRIKAZ KRIVE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Biomasa u posudama za ispitivanje može da se izrazi u jedinicama merenog alternativnog parametra (npr. broj ćelija, fluorescencija).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dobio grafički prikaz krivih rasta, izraditi tabelu procenjenih koncentracija biomase u ispitivanim i kontrolnim kulturama, zajedno sa koncentracijama ispitivanog materijala, koje se beleže sa rezolucijom od najmanje jednog celog sata, i vremenima merenja. U ovoj prvoj fazi mogu biti korisne i logaritamske i linearne skale, ali su logaritamske skale obavezne i uopšteno daju bolji prikaz promena uzorka rasta u periodu ispitivanja. Treba imati u vidu da kad se eksponencijalni rast prikaže na logaritamskoj skali, kao rezultat se dobije pravac, a nagib pravca pokazuje specifičnu brzinu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grafičkim prikazima proveriti da li kontrolne kulture rastu eksponencijalno i očekivanom brzinom tokom ispitivanja. Treba kritički preispitati sve tačke podataka i izgled grafika i proveriti sirove podatke i postupke kako bi se utvrdile eventualne greške. Posebno proveriti one tačke podataka kod kojih se čini da su odstupanja kao posledica sistemske greške. Ako je očigledno i/ili vrlo verovatno da se radi o greškama u postupku, konkretna tačka se obeležava kao vrednost koja se ne uklapa i isključuje se iz kasnije statističke analize. Nulta koncentracija algi u sudu sa jednim od dva ili tri ponavljanja može ukazivati na to da posuda nije pravilno inokulisana ili da nije bila dobro očišćena). U izveštaju o ispitivanju jasno navesti zašto je neka tačka odbačena kao vrednost koja se ne uklapa. Prihvatljivi razlozi su samo (retke) greške u postupku, ali ne i loša preciznost. Statistički postupci za utvrđivanje vrednosti koje se ne uklapaju imaju ograničenu primenu kod ove vrste problema i ne mogu zameniti stručno prosuđivanje. Vrednosti koje se ne uklapaju (označene kao takve) po mogućstvu zadržati među tačkama podataka koje se prikazuju u kasnijim grafičkim odnosno tabelarnim prikazima podataka.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PROMENLJIVE VELIČINE ODGOVORA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ispitivanja je da se utvrde efekti ispitivane supstance na rast algi. U ovoj metodi ispitivanja opisane su dve promenljive veličine odgovora, zbog različitog načina regulisanja u državama. Da bi rezultati ispitivanja bili prihvatljivi u svim državama, efekte ocenjivati primenom obe promenljive veličine odgovora: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Prosečna specifična brzina rasta: ova promenljiva veličina odgovora izračunava se na osnovu logaritamskog povećanja biomase u periodu ispitivanja, izraženog po danu;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Prirast: ova promenljiva veličina odgovora predstavlja razliku između biomase na kraju ispitivanja i početne biomase.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ova metoda ispitivanja mogla da se primeni izračunavanje rezultata treba da se zasniva na prosečnoj specifičnoj brzini rasta iz razloga navedenih u daljem tekstu. Treba napomenuti da vrednosti toksičnosti izračunate primenom te dve promenljive veličine odgovora nisu uporedive i tu razliku uzeti u obzir kod korišćenja rezultata ispitivanja. Ako su poštovani uslovi ispitivanja ove metode, vrednosti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koje se zasnivaju na prosečnoj </w:t>
      </w:r>
      <w:r w:rsidRPr="00984859">
        <w:rPr>
          <w:rFonts w:ascii="Arial" w:eastAsia="Times New Roman" w:hAnsi="Arial" w:cs="Arial"/>
          <w:lang w:eastAsia="sr-Latn-RS"/>
        </w:rPr>
        <w:lastRenderedPageBreak/>
        <w:t>specifičnoj brzini rasta (E</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uopšteno će biti više od rezultata zasnovanih na prirastu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zbog razlike u matematičkoj osnovi ta dva pristupa. To ne tumačiti kao razliku u osetljivosti dve promenljive veličine odgovora, već prosto prihvatiti da su te vrednosti matematički različite. Pojam prosečne specifične brzine rasta zasniva se na opštem obrascu eksponencijalnog rasta algi u kulturama koje nisu izložene ograničavajućim faktorima, gde se toksičnost procenjuje na osnovu učinaka na brzinu rasta nezavisno od apsolutne vrednosti specifične brzine rasta u kontrolnoj grupi, nagiba krive koncentracija-odgovor ili trajanja ispitivanja. Za razliku od toga, rezultati koji se zasnivaju na promenljivoj veličini odgovora "prirast" zavise od svih tih drugih promenljivih veličina.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zavisi od specifične brzine rasta vrsta algi koje se koriste u svakom ispitivanju i od maksimalne specifične stope rasta koja se može razlikovati između vrsta, pa čak i između sojeva algi. Ovu promenljivu odgovora ne koristiti za upoređivanje osetljivosti na otrove među vrstama algi, pa čak ni među različitim sojevima. Iako se, sa naučne tačke gledišta, proceni toksičnosti na osnovu prosečne specifične brzine rasta daje prednost, u ovu metodu ispitivanja uključene su i procene na osnovu prirasta kako bi se zadovoljili trenutni regulatorni zahtevi u nekim državama.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2.2.1. Prosečna brzina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Prosečna specifična brzina rasta u određenom periodu izračunava se kao logaritamsko povećanje biomase u svakom kontrolnom i ispitivanom sudu primenom jednačine: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5"/>
        <w:gridCol w:w="1276"/>
        <w:gridCol w:w="7381"/>
      </w:tblGrid>
      <w:tr w:rsidR="00984859" w:rsidRPr="00984859" w:rsidTr="00984859">
        <w:trPr>
          <w:tblCellSpacing w:w="0" w:type="dxa"/>
        </w:trPr>
        <w:tc>
          <w:tcPr>
            <w:tcW w:w="2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µ</w:t>
            </w:r>
            <w:r w:rsidRPr="00984859">
              <w:rPr>
                <w:rFonts w:ascii="Arial" w:eastAsia="Times New Roman" w:hAnsi="Arial" w:cs="Arial"/>
                <w:i/>
                <w:iCs/>
                <w:sz w:val="15"/>
                <w:szCs w:val="15"/>
                <w:vertAlign w:val="subscript"/>
                <w:lang w:eastAsia="sr-Latn-RS"/>
              </w:rPr>
              <w:t>i-j</w:t>
            </w:r>
            <w:r w:rsidRPr="00984859">
              <w:rPr>
                <w:rFonts w:ascii="Arial" w:eastAsia="Times New Roman" w:hAnsi="Arial" w:cs="Arial"/>
                <w:lang w:eastAsia="sr-Latn-RS"/>
              </w:rPr>
              <w:t xml:space="preserve"> = </w:t>
            </w:r>
          </w:p>
        </w:tc>
        <w:tc>
          <w:tcPr>
            <w:tcW w:w="70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lh</w:t>
            </w:r>
            <w:r w:rsidRPr="00984859">
              <w:rPr>
                <w:rFonts w:ascii="Arial" w:eastAsia="Times New Roman" w:hAnsi="Arial" w:cs="Arial"/>
                <w:lang w:eastAsia="sr-Latn-RS"/>
              </w:rPr>
              <w:t xml:space="preserve"> X</w:t>
            </w:r>
            <w:r w:rsidRPr="00984859">
              <w:rPr>
                <w:rFonts w:ascii="Arial" w:eastAsia="Times New Roman" w:hAnsi="Arial" w:cs="Arial"/>
                <w:sz w:val="15"/>
                <w:szCs w:val="15"/>
                <w:vertAlign w:val="subscript"/>
                <w:lang w:eastAsia="sr-Latn-RS"/>
              </w:rPr>
              <w:t>j</w:t>
            </w:r>
            <w:r w:rsidRPr="00984859">
              <w:rPr>
                <w:rFonts w:ascii="Arial" w:eastAsia="Times New Roman" w:hAnsi="Arial" w:cs="Arial"/>
                <w:lang w:eastAsia="sr-Latn-RS"/>
              </w:rPr>
              <w:t xml:space="preserve"> - </w:t>
            </w:r>
            <w:r w:rsidRPr="00984859">
              <w:rPr>
                <w:rFonts w:ascii="Arial" w:eastAsia="Times New Roman" w:hAnsi="Arial" w:cs="Arial"/>
                <w:i/>
                <w:iCs/>
                <w:lang w:eastAsia="sr-Latn-RS"/>
              </w:rPr>
              <w:t>ln X</w:t>
            </w:r>
            <w:r w:rsidRPr="00984859">
              <w:rPr>
                <w:rFonts w:ascii="Arial" w:eastAsia="Times New Roman" w:hAnsi="Arial" w:cs="Arial"/>
                <w:sz w:val="15"/>
                <w:szCs w:val="15"/>
                <w:vertAlign w:val="subscript"/>
                <w:lang w:eastAsia="sr-Latn-RS"/>
              </w:rPr>
              <w:t>i</w:t>
            </w:r>
          </w:p>
        </w:tc>
        <w:tc>
          <w:tcPr>
            <w:tcW w:w="40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(dan</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t</w:t>
            </w:r>
            <w:r w:rsidRPr="00984859">
              <w:rPr>
                <w:rFonts w:ascii="Arial" w:eastAsia="Times New Roman" w:hAnsi="Arial" w:cs="Arial"/>
                <w:sz w:val="15"/>
                <w:szCs w:val="15"/>
                <w:vertAlign w:val="subscript"/>
                <w:lang w:eastAsia="sr-Latn-RS"/>
              </w:rPr>
              <w:t>j</w:t>
            </w:r>
            <w:r w:rsidRPr="00984859">
              <w:rPr>
                <w:rFonts w:ascii="Arial" w:eastAsia="Times New Roman" w:hAnsi="Arial" w:cs="Arial"/>
                <w:i/>
                <w:iCs/>
                <w:lang w:eastAsia="sr-Latn-RS"/>
              </w:rPr>
              <w:t xml:space="preserve"> -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µ</w:t>
      </w:r>
      <w:r w:rsidRPr="00984859">
        <w:rPr>
          <w:rFonts w:ascii="Arial" w:eastAsia="Times New Roman" w:hAnsi="Arial" w:cs="Arial"/>
          <w:sz w:val="15"/>
          <w:szCs w:val="15"/>
          <w:vertAlign w:val="subscript"/>
          <w:lang w:eastAsia="sr-Latn-RS"/>
        </w:rPr>
        <w:t>i-j</w:t>
      </w:r>
      <w:r w:rsidRPr="00984859">
        <w:rPr>
          <w:rFonts w:ascii="Arial" w:eastAsia="Times New Roman" w:hAnsi="Arial" w:cs="Arial"/>
          <w:lang w:eastAsia="sr-Latn-RS"/>
        </w:rPr>
        <w:t xml:space="preserve"> jeste prosečna specifična brzina rasta od vremena i do vremena 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X</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biomasa u vremenu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X</w:t>
      </w:r>
      <w:r w:rsidRPr="00984859">
        <w:rPr>
          <w:rFonts w:ascii="Arial" w:eastAsia="Times New Roman" w:hAnsi="Arial" w:cs="Arial"/>
          <w:sz w:val="15"/>
          <w:szCs w:val="15"/>
          <w:vertAlign w:val="subscript"/>
          <w:lang w:eastAsia="sr-Latn-RS"/>
        </w:rPr>
        <w:t>j</w:t>
      </w:r>
      <w:r w:rsidRPr="00984859">
        <w:rPr>
          <w:rFonts w:ascii="Arial" w:eastAsia="Times New Roman" w:hAnsi="Arial" w:cs="Arial"/>
          <w:lang w:eastAsia="sr-Latn-RS"/>
        </w:rPr>
        <w:t xml:space="preserve"> jeste biomasa u vremenu 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svaku ispitivanu i kontrolnu grupu izračunati srednju vrednost brzine rasta sa procenom varijanse.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Izračuna se prosečna specifična brzina rasta za ukupno vreme ispitivanja (obično 0-3. dan); pritom se umesto izmerene početne vrednosti kao početna vrednost uzima nominalna inokulisana biomasa, jer se na taj način po pravilu postiže veća preciznost. Ako oprema koja se koristi za merenje biomase omogućava dovoljno precizno određivanje biomase i kod male biomase inokuluma (npr. protočni citometar), može se koristiti izmerena početna koncentracija biomase. Osim toga, odrediti etapnu brzinu rasta, koja se izračunava kao specifična brzina rasta za svaki dan ispitivanja (0-1, 1-2. i 2-3. dan) i proveriti da li je kontrolna brzina rasta stalna (videti kriterijume validnosti, odeljak 1.7. ove metode). Ako je specifična brzina rasta prvoga dana znatno niža od ukupne prosečne specifične brzine, to može ukazivati na fazu prilagođavanja. Iako faza prilagođavanja u kontrolnim kulturama može da se smanji i gotovo eliminiše pravilnim razmnožavanjem predkulture, kad su u pitanju izložene kulture, faza prilagođavanja može biti znak oporavka nakon prvobitnog toksičnog šoka ili smanjenog izlaganja usled gubitka ispitivane supstance (uključujući sorpciju na biomasu algi) nakon početnog izlaganja. Stoga se može oceniti etapni rast kako bi se ocenili efekti ispitivane supstance koji se javljaju tokom perioda izlaganja. Značajne razlike između etapne brzine rasta i prosečne brzine rasta ukazuju na odstupanje od stalnog eksponencijalnog rasta i upozoravaju da je potrebno detaljno preispitivanje kriva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Procenat inhibicije brzine rasta za pojedina ponavljanja u ispitivanim grupama izračunava se pomoću jednačine: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15"/>
        <w:gridCol w:w="1246"/>
        <w:gridCol w:w="7351"/>
      </w:tblGrid>
      <w:tr w:rsidR="00984859" w:rsidRPr="00984859" w:rsidTr="00984859">
        <w:trPr>
          <w:tblCellSpacing w:w="0" w:type="dxa"/>
        </w:trPr>
        <w:tc>
          <w:tcPr>
            <w:tcW w:w="2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 </w:t>
            </w:r>
          </w:p>
        </w:tc>
        <w:tc>
          <w:tcPr>
            <w:tcW w:w="70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µ</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 µ</w:t>
            </w:r>
            <w:r w:rsidRPr="00984859">
              <w:rPr>
                <w:rFonts w:ascii="Arial" w:eastAsia="Times New Roman" w:hAnsi="Arial" w:cs="Arial"/>
                <w:sz w:val="15"/>
                <w:szCs w:val="15"/>
                <w:vertAlign w:val="subscript"/>
                <w:lang w:eastAsia="sr-Latn-RS"/>
              </w:rPr>
              <w:t>T</w:t>
            </w:r>
          </w:p>
        </w:tc>
        <w:tc>
          <w:tcPr>
            <w:tcW w:w="40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µ</w:t>
            </w:r>
            <w:r w:rsidRPr="00984859">
              <w:rPr>
                <w:rFonts w:ascii="Arial" w:eastAsia="Times New Roman" w:hAnsi="Arial" w:cs="Arial"/>
                <w:sz w:val="15"/>
                <w:szCs w:val="15"/>
                <w:vertAlign w:val="subscript"/>
                <w:lang w:eastAsia="sr-Latn-RS"/>
              </w:rPr>
              <w:t>C</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jeste procenat inhibicije prosečne specifične brzine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µ</w:t>
      </w:r>
      <w:r w:rsidRPr="00984859">
        <w:rPr>
          <w:rFonts w:ascii="Arial" w:eastAsia="Times New Roman" w:hAnsi="Arial" w:cs="Arial"/>
          <w:sz w:val="15"/>
          <w:szCs w:val="15"/>
          <w:vertAlign w:val="subscript"/>
          <w:lang w:eastAsia="sr-Latn-RS"/>
        </w:rPr>
        <w:t xml:space="preserve">C </w:t>
      </w:r>
      <w:r w:rsidRPr="00984859">
        <w:rPr>
          <w:rFonts w:ascii="Arial" w:eastAsia="Times New Roman" w:hAnsi="Arial" w:cs="Arial"/>
          <w:lang w:eastAsia="sr-Latn-RS"/>
        </w:rPr>
        <w:t xml:space="preserve">jeste srednja vrednost prosečne specifične brzine rasta (m) u kontrolnoj grupi;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µ</w:t>
      </w:r>
      <w:r w:rsidRPr="00984859">
        <w:rPr>
          <w:rFonts w:ascii="Arial" w:eastAsia="Times New Roman" w:hAnsi="Arial" w:cs="Arial"/>
          <w:sz w:val="15"/>
          <w:szCs w:val="15"/>
          <w:vertAlign w:val="subscript"/>
          <w:lang w:eastAsia="sr-Latn-RS"/>
        </w:rPr>
        <w:t>T j</w:t>
      </w:r>
      <w:r w:rsidRPr="00984859">
        <w:rPr>
          <w:rFonts w:ascii="Arial" w:eastAsia="Times New Roman" w:hAnsi="Arial" w:cs="Arial"/>
          <w:lang w:eastAsia="sr-Latn-RS"/>
        </w:rPr>
        <w:t xml:space="preserve">este prosečna specifična brzina rasta ponavljanja u ispitivanoj grupi.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za pripremu rastvora za ispitivanje koriste rastvarači, za izračunavanje procenta inhibicije koristiti kontrole sa rastvaračem, a ne one bez rastvarača.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2.2.2. Prirast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Prirast se izračunava kao biomasa na kraju ispitivanja umanjena za početnu biomasu u svakom kontrolnom i ispitivanom sudu. Za svaku ispitivanu koncentraciju i kontrolu izračunati srednju vrednost prirasta sa procenom varijanse. Procenat inhibicije prirasta (% I</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 xml:space="preserve">) za pojedinačna ponavljanja u ispitivanoj grupi može se izračunati na sledeći način: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15"/>
        <w:gridCol w:w="1246"/>
        <w:gridCol w:w="7351"/>
      </w:tblGrid>
      <w:tr w:rsidR="00984859" w:rsidRPr="00984859" w:rsidTr="00984859">
        <w:trPr>
          <w:tblCellSpacing w:w="0" w:type="dxa"/>
        </w:trPr>
        <w:tc>
          <w:tcPr>
            <w:tcW w:w="2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 </w:t>
            </w:r>
          </w:p>
        </w:tc>
        <w:tc>
          <w:tcPr>
            <w:tcW w:w="70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Y</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 Y</w:t>
            </w:r>
            <w:r w:rsidRPr="00984859">
              <w:rPr>
                <w:rFonts w:ascii="Arial" w:eastAsia="Times New Roman" w:hAnsi="Arial" w:cs="Arial"/>
                <w:sz w:val="15"/>
                <w:szCs w:val="15"/>
                <w:vertAlign w:val="subscript"/>
                <w:lang w:eastAsia="sr-Latn-RS"/>
              </w:rPr>
              <w:t>T</w:t>
            </w:r>
          </w:p>
        </w:tc>
        <w:tc>
          <w:tcPr>
            <w:tcW w:w="40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Y</w:t>
            </w:r>
            <w:r w:rsidRPr="00984859">
              <w:rPr>
                <w:rFonts w:ascii="Arial" w:eastAsia="Times New Roman" w:hAnsi="Arial" w:cs="Arial"/>
                <w:sz w:val="15"/>
                <w:szCs w:val="15"/>
                <w:vertAlign w:val="subscript"/>
                <w:lang w:eastAsia="sr-Latn-RS"/>
              </w:rPr>
              <w:t>C</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 xml:space="preserve"> jeste procenat inhibicije prirasta;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Y</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jeste srednja vrednost prirasta u kontrolnoj grupi;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Y</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jeste vrednost prirasta ponavljanja u ispitivanoj grupi.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2.3 PRIKAZ KRIVE KONCENTRACIJA - ODGOVOR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Napravi se grafički prikaz procenta inhibicije u odnosu na logaritam koncentracije ispitivane supstance i dobijeni grafik se detaljno pregleda, zanemarujući sve tačke podataka koje su u prvoj fazi izdvojene kao vrednosti koje se ne uklapaju. Kroz tačke podataka povuče se glatka kriva prostim okom ili računarskom interpolacijom, kako bi se dobio prvi utisak odnosa koncentracija-odgovor, i zatim se nastavlja sa detaljnijom metodom, po mogućstvu računarskom statističkom metodom. Zavisno od predviđene upotrebe podataka, kvaliteta (preciznosti) i količine podataka kao i raspoloživosti alata za analizu podataka, može se doneti odluka (koja je ponekad sasvim opravdana) da se u ovoj fazi prekine analiza podataka i jednostavno očitaju ključne vrednosti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(i/ili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sa krive povučene prostim okom (videti i odeljak u nastavku o stimulatornim efektima). Neki od validnih razloga za nekorišćenje statističke metode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 obzirom na raspoložive podatke, računarskim metodima ne mogu se dobiti pouzdaniji rezultati od onih koji se mogu dobiti stručnim prosuđivanjem - može se desiti da neki računarski programi uopšte ne daju nikakvo pouzdano rešenje (iteracije ne konvergiraju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raspoloživi računarski programi nisu podesni za obradu efekata stimulacije rasta (videti u daljem tekstu).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2.4. STATISTIČKI POSTUPCI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Cilj je da se dobije kvantitativni odnos koncentracija-odgovor regresionom analizom. Ako se izvrši linearna transformacija podataka odgovora - npr. u jedinice probit, logit ili Vejbulovog modela</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 može se izvršiti ponderisana linearna regresija; ipak, prednost se daje postupcima nelinearne regresije, koje bolje rešavaju problem neizbežnih nepravilnosti podataka i odstupanja od pravilnih raspodela. Približavanjem nultoj ili potpunoj inhibiciji te nepravilnosti mogu transformacijom i dodatno da se povećaju i tako otežaju analizu</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Standardne analitičke metode koje koriste probit, logit ili Vejbulove transformacije namenjene su kvantalnim podacima (npr. smrtnost ili preživljavanje) i posebno se prilagođavaju da bi se mogle primeniti na podatke o rastu i biomasi. Konkretni postupci za određivanje vrednosti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iz kontinuiranih podataka mogu se naći u literaturi</w:t>
      </w:r>
      <w:r w:rsidRPr="00984859">
        <w:rPr>
          <w:rFonts w:ascii="Arial" w:eastAsia="Times New Roman" w:hAnsi="Arial" w:cs="Arial"/>
          <w:b/>
          <w:bCs/>
          <w:sz w:val="15"/>
          <w:szCs w:val="15"/>
          <w:vertAlign w:val="superscript"/>
          <w:lang w:eastAsia="sr-Latn-RS"/>
        </w:rPr>
        <w:t>10,11,12</w:t>
      </w:r>
      <w:r w:rsidRPr="00984859">
        <w:rPr>
          <w:rFonts w:ascii="Arial" w:eastAsia="Times New Roman" w:hAnsi="Arial" w:cs="Arial"/>
          <w:lang w:eastAsia="sr-Latn-RS"/>
        </w:rPr>
        <w:t xml:space="preserve">. Korišćenje nelinearne regresione analize detaljnije je opisano u Dodatku 4.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svaku promenljivu odgovora koja se analizira iz odnosa koncentracija - odgovor izračunati tačke na osnovu kojih se procenjuju vrednosti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Ako je moguće, za sve procene odrediti granice pouzdanosti od 95%. Valjanost podudaranja podataka odgovora sa regresionim modelom procenjuje se grafički ili statistički. Regresionu analizu vršiti na osnovu pojedinačnih odgovora u ponavljanjima, a ne na osnovu srednjih vrednosti ispitivanih grupa. Ukoliko je nelinearno podešavanje krive teško ili nemoguće zbog velike razuđenosti podataka, problem se može zaobići izračunavanjem regresije na srednjim vrednostima po grupama kao praktičnim načinom da se smanji uticaj mogućih vrednosti koje se ne uklapaju. Ako se koristi ova opcija, to navesti u izveštaju o ispitivanju kao odstupanje od uobičajenog postupka uz napomenu da prilagođavanje krive pojedinačnim ponavljanjima nije dalo dobar rezultat.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raspoloživi regresivni modeli/metode nisu podesni za podatke, procene EC</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i granice pouzdanosti mogu se dobiti i linearnom interpolacijom sa metodom ponovnog uzorkovanja sa ponavljanjem (bootstrapping)</w:t>
      </w:r>
      <w:r w:rsidRPr="00984859">
        <w:rPr>
          <w:rFonts w:ascii="Arial" w:eastAsia="Times New Roman" w:hAnsi="Arial" w:cs="Arial"/>
          <w:b/>
          <w:bCs/>
          <w:sz w:val="15"/>
          <w:szCs w:val="15"/>
          <w:vertAlign w:val="superscript"/>
          <w:lang w:eastAsia="sr-Latn-RS"/>
        </w:rPr>
        <w:t>13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procenu LOEC, a time i NOEC, u vezi sa efektima ispitivane supstance na brzinu rasta potrebno je uporediti srednje vrednosti obrade primenom tehnika analize varijanse (u daljem tekstu: ANOVA). Zatim srednju vrednost za svaku koncentraciju uporediti sa kontrolnom srednjom vrednošću primenom odgovarajuće metode višestrukog poređenja ili ispitivanja trenda. Ovde može biti koristan Danetov ili Vilijamsov test</w:t>
      </w:r>
      <w:r w:rsidRPr="00984859">
        <w:rPr>
          <w:rFonts w:ascii="Arial" w:eastAsia="Times New Roman" w:hAnsi="Arial" w:cs="Arial"/>
          <w:b/>
          <w:bCs/>
          <w:sz w:val="15"/>
          <w:szCs w:val="15"/>
          <w:vertAlign w:val="superscript"/>
          <w:lang w:eastAsia="sr-Latn-RS"/>
        </w:rPr>
        <w:t>14,15,16,17,18</w:t>
      </w:r>
      <w:r w:rsidRPr="00984859">
        <w:rPr>
          <w:rFonts w:ascii="Arial" w:eastAsia="Times New Roman" w:hAnsi="Arial" w:cs="Arial"/>
          <w:lang w:eastAsia="sr-Latn-RS"/>
        </w:rPr>
        <w:t>. Treba proveriti da li je pretpostavka homogenosti varijansi ANOVA realna. Procena se može izvršiti grafički ili formalnim testom</w:t>
      </w:r>
      <w:r w:rsidRPr="00984859">
        <w:rPr>
          <w:rFonts w:ascii="Arial" w:eastAsia="Times New Roman" w:hAnsi="Arial" w:cs="Arial"/>
          <w:b/>
          <w:bCs/>
          <w:sz w:val="15"/>
          <w:szCs w:val="15"/>
          <w:vertAlign w:val="superscript"/>
          <w:lang w:eastAsia="sr-Latn-RS"/>
        </w:rPr>
        <w:t>18</w:t>
      </w:r>
      <w:r w:rsidRPr="00984859">
        <w:rPr>
          <w:rFonts w:ascii="Arial" w:eastAsia="Times New Roman" w:hAnsi="Arial" w:cs="Arial"/>
          <w:lang w:eastAsia="sr-Latn-RS"/>
        </w:rPr>
        <w:t>. Pogodni su Leveneov i Bartletov test. Ako pretpostavka homogenosti varijansi nije zadovoljena, to se ponekad može ispraviti logaritamskom transformacijom podataka. Ako je heterogenost varijanse prevelika da bi se mogla ispraviti transformacijom, razmotriti mogućnost analize metodama kao što su Jonkhereovi "step-down" testovi trenda. Dodatne smernice za određivanje NOEC mogu se naći u literaturi</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Novija naučna saznanja dovela su do preporuke da se pojam NOEC napusti i zameni procenama tačaka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dobijenih regresijom. Za ovaj test sa algama nije utvrđena određena vrednost h. Izgleda da je raspon od 10% do 20% odgovarajući (zavisno od odabrane promenljive veličine odgovora), a poželjno je da se navedu obe vrednosti,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i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2.5. STIMULACIJA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Ponekad se pri niskim koncentracijama može zapaziti stimulacija rasta (negativna inhibicija). To može biti posledica hormezisa (toksička stimulacija) ili unošenja stimulativnih faktora </w:t>
      </w:r>
      <w:r w:rsidRPr="00984859">
        <w:rPr>
          <w:rFonts w:ascii="Arial" w:eastAsia="Times New Roman" w:hAnsi="Arial" w:cs="Arial"/>
          <w:lang w:eastAsia="sr-Latn-RS"/>
        </w:rPr>
        <w:lastRenderedPageBreak/>
        <w:t>rasta sa ispitivanim materijalom u upotrebljenu minimalnu podlogu. Treba imati u vidu da dodavanje neorganskih hranljivih materija ne bi smelo da ima nikakav direktan uticaj budući da podloga koja se koristi tokom ispitivanja treba stalno da sadrži višak hranljivih supstanci. Stimulacija pri niskim dozama se po pravilu može zanemariti kod izračunavanja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osim ako je ona ekstremno visoka. U slučaju ektremne stimulacije, ili kad je potrebno izračunati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za niske vrednosti h, ponekad je potrebno primeniti posebne postupke. Brisanje stimulativnih odgovora iz analize podataka izbegavati, a ako raspoloživi softver za prilagođavanje krive ne može da prihvati male vrednosti stimulacije, može se koristiti linearna interpolacija sa metodom ponovnog uzorkovanja sa ponavljanjem (bootstrapping). U slučaju ekstremne stimulacije može se razmotriti primena hormezis modela</w:t>
      </w:r>
      <w:r w:rsidRPr="00984859">
        <w:rPr>
          <w:rFonts w:ascii="Arial" w:eastAsia="Times New Roman" w:hAnsi="Arial" w:cs="Arial"/>
          <w:b/>
          <w:bCs/>
          <w:sz w:val="15"/>
          <w:szCs w:val="15"/>
          <w:vertAlign w:val="superscript"/>
          <w:lang w:eastAsia="sr-Latn-RS"/>
        </w:rPr>
        <w:t>19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2.6. NETOKSIČNA INHIBICIJA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Ispitivani materijali koji apsorbuju svetlo mogu izazvati smanjenje brzine rasta jer stvaranje senke smanjuje raspoloživu količinu svetla. Ove i druge slične fizičke efekte odvojiti od toksičnih efekata izmenom uslova ispitivanja i posebno ih navesti u izveštaju o ispitivanju. Smernice se mogu pronaći u literaturi</w:t>
      </w:r>
      <w:r w:rsidRPr="00984859">
        <w:rPr>
          <w:rFonts w:ascii="Arial" w:eastAsia="Times New Roman" w:hAnsi="Arial" w:cs="Arial"/>
          <w:b/>
          <w:bCs/>
          <w:sz w:val="15"/>
          <w:szCs w:val="15"/>
          <w:vertAlign w:val="superscript"/>
          <w:lang w:eastAsia="sr-Latn-RS"/>
        </w:rPr>
        <w:t>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agregatno stanje i relevantna fizičko-hemijska svojstva, uključujući granicu rastvorljivosti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za identifikaciju hemikalije, uključujući čistoću.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Ispitivanoj vrsti: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soj, dobavljač odnosno izvor i uslovi gajenja.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početka i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ispitivanja: sudovi za ispitivanje, zapremine kulture, gustina biomase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sastav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ispitivane koncentracije i ponavljanja (npr. broj ponavljanja, broj ispitivanih koncentracija i primenjena geometrijska progresija);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pripreme rastvora za ispitivanje, uključujući primenu rastvarača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inkubator za gajenje;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intenzitet i kvalitet svetla (izvor, homogenost);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ispitivane koncentracije: nominalne ispitivane koncentracije i rezultati analiza za određivanje koncentracije ispitivane supstance u posudama za ispitivanje. Treba navesti efikasnost metode i granicu kvantifikacije u ispitivanom matriksu;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 odstupanja od ove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 određivanja biomase i dokaz korelacije između izmerenog parametra i suve 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vrednosti na početku i kraju ispitivanja u svim obradama;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biomasa svake tikvice u svakoj mernoj tački i metod merenja biomase;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krive rasta (grafički prikaz biomase u zavisnosti od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izračunate promenljive odgovora za svako ponavljanje, uključujući srednje vrednosti i koeficijent varijacije za ponavljanja;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 prikaz odnosa koncentracija/efekat;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procene toksičnosti za promenljive odgovora, npr.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i odgovarajući intervali poverenja. Ako se izračunavaju LOEC i NOEC, njihove vrednosti i statističke metode koje su upotrebljene za određivanje;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se koristi ANOVA, veličina efekta koji se može utvrditi (npr. najmanja značajna razlika);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eventualna stimulacija rasta u bilo kojem uzorku;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 ostali zapaženi efekti, npr. morfološke promene algi;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uključujući mogući uticaj odstupanja od metode ispitivanja na rezultate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TG 201 (2006). Freshwater Alga and Cyanobacteria, Growth Inhibition Test.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ISO 1998: Water quality - Guidance for algal growth inhibition tests with poorly soluble materials, volatile compounds, metals and waster water. ISO/DIS 14442.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OECD 2000: Guidance Document on Aquatic Toxicity Testing of Difficult Substances and mixtures. Environmental Health and Safety Publications. Series on Testing and Assessment, no. 23.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ISO 1998: Water quality - Sampling - Part 16: General Guidance for Biotesting. ISO 5667-16.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ISO 1993: Water quality - Algal growth inhibition test. ISO 8692.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6. Mayer, P., Cuhel, R. and Nyholm, N. (1997). A simple in vitro fluorescence method for biomass measurements in algal growth inhibition tests. Water Research 31: 2525-2531.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Slovacey, R.E. and Hanna, P.J. In vivo fluorescence determinations of phytoplancton chlorophyll, Limnology &amp; Oceanography 22,5 (1977), pp.919-925.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Simpson, S.L., Roland, M.G.E., Stauber, J.L. and Batley, G.E. (2003). Effect of declining toxicant concentrations on algal bioassay endpoints. Environ. Toxicol. Chem 22, 2073-2079.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Christensen, E.R., Nyholm, N. (1984): Ecotoxicological Assays with Algae: Weibull Dose-Response Curves. Env. Sci. Technol. 19, 713-718.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Nyholm, N. Sørensen, P.S., Kusk, K.O. and Christensen, E.R. (1992): Statistical treatment of data from microbial toxicity tests. Environ. Toxicol. Chem. 11, 157-167.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Bruce, R.D., and Versteeg, D.J. (1992). A statistical procedure for modelling continuous toxicity data. Env. Toxicol. Chem. 11:1485-1494.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OECD. (2004). Guidance Document on Statistical Analysis of Ecotoxicity Data.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Norberg-King T.J. (1988). An interpolation estimate for chronic toxicity: The ICp approach. National Effluent Toxicity Assessment Center Technical Report 05-88. USEPA, Duluth, MN.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Dunnett, C.W. (1955). A multiple comparisons procedure for comparing several treatments with a control. J. Amer. Statist. Assoc. 50: 1096-1121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Dunnett, C.W. (1964). New tables for multiple comparisons with a control. Biometrics 20: 482-491.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Williams, D.A. (1971). A test for differences between treatment means when several dose levels are compared with a zero dose control. Biometrics 27: 103-117.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Williams, D.A. (1972). The comparison of several dose levels with a zero dose control. Biometrics 28: 510-531.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Draper, N.R. and Smith, H. (1981). Applied Regression Analysis, second edition. Wiley,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Brain P. and Cousens R. (1989). An equation to describe dose-responses where there is stimulation of growth at low doses. Weed Research, 29, 93-96.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DODATAK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SOJEVI KOJI SU SE POKAZALI POGODNIM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Zelene alge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w:t>
      </w:r>
      <w:r w:rsidRPr="00984859">
        <w:rPr>
          <w:rFonts w:ascii="Arial" w:eastAsia="Times New Roman" w:hAnsi="Arial" w:cs="Arial"/>
          <w:i/>
          <w:iCs/>
          <w:lang w:eastAsia="sr-Latn-RS"/>
        </w:rPr>
        <w:t>Pseudokirchneriella subcapitata</w:t>
      </w:r>
      <w:r w:rsidRPr="00984859">
        <w:rPr>
          <w:rFonts w:ascii="Arial" w:eastAsia="Times New Roman" w:hAnsi="Arial" w:cs="Arial"/>
          <w:lang w:eastAsia="sr-Latn-RS"/>
        </w:rPr>
        <w:t xml:space="preserve">, (ranije poznata kao </w:t>
      </w:r>
      <w:r w:rsidRPr="00984859">
        <w:rPr>
          <w:rFonts w:ascii="Arial" w:eastAsia="Times New Roman" w:hAnsi="Arial" w:cs="Arial"/>
          <w:i/>
          <w:iCs/>
          <w:lang w:eastAsia="sr-Latn-RS"/>
        </w:rPr>
        <w:t>Selenastrum capricornutum</w:t>
      </w:r>
      <w:r w:rsidRPr="00984859">
        <w:rPr>
          <w:rFonts w:ascii="Arial" w:eastAsia="Times New Roman" w:hAnsi="Arial" w:cs="Arial"/>
          <w:lang w:eastAsia="sr-Latn-RS"/>
        </w:rPr>
        <w:t xml:space="preserve">), ATCC 22662, CCAP 278/4, 61.81 SAG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w:t>
      </w:r>
      <w:r w:rsidRPr="00984859">
        <w:rPr>
          <w:rFonts w:ascii="Arial" w:eastAsia="Times New Roman" w:hAnsi="Arial" w:cs="Arial"/>
          <w:i/>
          <w:iCs/>
          <w:lang w:eastAsia="sr-Latn-RS"/>
        </w:rPr>
        <w:t>Desmodesmus subspicatus</w:t>
      </w:r>
      <w:r w:rsidRPr="00984859">
        <w:rPr>
          <w:rFonts w:ascii="Arial" w:eastAsia="Times New Roman" w:hAnsi="Arial" w:cs="Arial"/>
          <w:lang w:eastAsia="sr-Latn-RS"/>
        </w:rPr>
        <w:t xml:space="preserve"> (ranije poznata kao </w:t>
      </w:r>
      <w:r w:rsidRPr="00984859">
        <w:rPr>
          <w:rFonts w:ascii="Arial" w:eastAsia="Times New Roman" w:hAnsi="Arial" w:cs="Arial"/>
          <w:i/>
          <w:iCs/>
          <w:lang w:eastAsia="sr-Latn-RS"/>
        </w:rPr>
        <w:t>Scenedesmus subspicatus</w:t>
      </w:r>
      <w:r w:rsidRPr="00984859">
        <w:rPr>
          <w:rFonts w:ascii="Arial" w:eastAsia="Times New Roman" w:hAnsi="Arial" w:cs="Arial"/>
          <w:lang w:eastAsia="sr-Latn-RS"/>
        </w:rPr>
        <w:t xml:space="preserve">) 86.81 SAG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Dijatomeje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w:t>
      </w:r>
      <w:r w:rsidRPr="00984859">
        <w:rPr>
          <w:rFonts w:ascii="Arial" w:eastAsia="Times New Roman" w:hAnsi="Arial" w:cs="Arial"/>
          <w:i/>
          <w:iCs/>
          <w:lang w:eastAsia="sr-Latn-RS"/>
        </w:rPr>
        <w:t>Navicula pelliculosa</w:t>
      </w:r>
      <w:r w:rsidRPr="00984859">
        <w:rPr>
          <w:rFonts w:ascii="Arial" w:eastAsia="Times New Roman" w:hAnsi="Arial" w:cs="Arial"/>
          <w:lang w:eastAsia="sr-Latn-RS"/>
        </w:rPr>
        <w:t xml:space="preserve">, UTEX 664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Cijanobakterije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w:t>
      </w:r>
      <w:r w:rsidRPr="00984859">
        <w:rPr>
          <w:rFonts w:ascii="Arial" w:eastAsia="Times New Roman" w:hAnsi="Arial" w:cs="Arial"/>
          <w:i/>
          <w:iCs/>
          <w:lang w:eastAsia="sr-Latn-RS"/>
        </w:rPr>
        <w:t>Anabaena flos-aquae</w:t>
      </w:r>
      <w:r w:rsidRPr="00984859">
        <w:rPr>
          <w:rFonts w:ascii="Arial" w:eastAsia="Times New Roman" w:hAnsi="Arial" w:cs="Arial"/>
          <w:lang w:eastAsia="sr-Latn-RS"/>
        </w:rPr>
        <w:t xml:space="preserve">, UTEX 1444, ATCC 29413, CCAP 1403/13A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w:t>
      </w:r>
      <w:r w:rsidRPr="00984859">
        <w:rPr>
          <w:rFonts w:ascii="Arial" w:eastAsia="Times New Roman" w:hAnsi="Arial" w:cs="Arial"/>
          <w:i/>
          <w:iCs/>
          <w:lang w:eastAsia="sr-Latn-RS"/>
        </w:rPr>
        <w:t>Synechococcus leopoliensis</w:t>
      </w:r>
      <w:r w:rsidRPr="00984859">
        <w:rPr>
          <w:rFonts w:ascii="Arial" w:eastAsia="Times New Roman" w:hAnsi="Arial" w:cs="Arial"/>
          <w:lang w:eastAsia="sr-Latn-RS"/>
        </w:rPr>
        <w:t xml:space="preserve">, UTEX 625, CCAP 1405/1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Izvori sojeva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Preporučeni sojevi raspoloživi su u kulturama jedne vrste algi iz sledećih zbirki (abecednim redom):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ATCC: American Type Culture Collection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10801 University Boulevard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Manassas, Virginia 20110-2209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SJEDINJENE AMERIČKE DRŽAVE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CCAP, Culture Collection of Algae and Protozoa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Institute of Freshwater Ecology,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Windermere Laboratory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Far Sawrey, Amblerside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Cumbria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LA22 0LP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UJEDINJENO KRALJEVSTVO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SAG: Collection of Algal Cultures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Inst. Plant Physiology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University of Göttingen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Nicholausberger Weg 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3400 Göttingen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NEMAČKA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UTEX Culture Collection of Algae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Section of Molecular, Cellular and Developmental Biology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School of Biological Sciences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the University of Texas at Austin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Austin, Texas 78712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SJEDINJENE AMERIČKE DRŽAVE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Izgled i svojstva preporučenih vrsta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44"/>
        <w:gridCol w:w="1876"/>
        <w:gridCol w:w="1885"/>
        <w:gridCol w:w="1157"/>
        <w:gridCol w:w="1394"/>
        <w:gridCol w:w="1276"/>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P. subcapitata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D. subspicatus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N. pelliculosa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A. flos-aquae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S. leopoliensis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Izgled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Zakrivljene, uvijene, pojedinačne ćelije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Duguljaste, većinom pojedinačne ćelije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Štapićaste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Lanci duguljastih ćelija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Štapićaste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Veličina (D × Š)* µm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8-14 × 2-3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7-15 × 3-12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7,1 × 3,7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4,5 × 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 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Zapremina ćelija (µm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/ćelija)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40-60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60-80 </w:t>
            </w:r>
            <w:r w:rsidRPr="00984859">
              <w:rPr>
                <w:rFonts w:ascii="Arial" w:eastAsia="Times New Roman" w:hAnsi="Arial" w:cs="Arial"/>
                <w:sz w:val="15"/>
                <w:szCs w:val="15"/>
                <w:vertAlign w:val="super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40-50 </w:t>
            </w:r>
            <w:r w:rsidRPr="00984859">
              <w:rPr>
                <w:rFonts w:ascii="Arial" w:eastAsia="Times New Roman" w:hAnsi="Arial" w:cs="Arial"/>
                <w:sz w:val="15"/>
                <w:szCs w:val="15"/>
                <w:vertAlign w:val="super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30-40 </w:t>
            </w:r>
            <w:r w:rsidRPr="00984859">
              <w:rPr>
                <w:rFonts w:ascii="Arial" w:eastAsia="Times New Roman" w:hAnsi="Arial" w:cs="Arial"/>
                <w:sz w:val="15"/>
                <w:szCs w:val="15"/>
                <w:vertAlign w:val="super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w:t>
            </w:r>
            <w:r w:rsidRPr="00984859">
              <w:rPr>
                <w:rFonts w:ascii="Arial" w:eastAsia="Times New Roman" w:hAnsi="Arial" w:cs="Arial"/>
                <w:sz w:val="15"/>
                <w:szCs w:val="15"/>
                <w:vertAlign w:val="superscript"/>
                <w:lang w:eastAsia="sr-Latn-RS"/>
              </w:rPr>
              <w:t>[2]</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Suva masa ćelija (mg/ćelija)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2-3 × 10</w:t>
            </w:r>
            <w:r w:rsidRPr="00984859">
              <w:rPr>
                <w:rFonts w:ascii="Arial" w:eastAsia="Times New Roman" w:hAnsi="Arial" w:cs="Arial"/>
                <w:sz w:val="15"/>
                <w:szCs w:val="15"/>
                <w:vertAlign w:val="superscript"/>
                <w:lang w:eastAsia="sr-Latn-RS"/>
              </w:rPr>
              <w:t>-8</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3-4 × 10</w:t>
            </w:r>
            <w:r w:rsidRPr="00984859">
              <w:rPr>
                <w:rFonts w:ascii="Arial" w:eastAsia="Times New Roman" w:hAnsi="Arial" w:cs="Arial"/>
                <w:sz w:val="15"/>
                <w:szCs w:val="15"/>
                <w:vertAlign w:val="superscript"/>
                <w:lang w:eastAsia="sr-Latn-RS"/>
              </w:rPr>
              <w:t>-8</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3-4 × 10</w:t>
            </w:r>
            <w:r w:rsidRPr="00984859">
              <w:rPr>
                <w:rFonts w:ascii="Arial" w:eastAsia="Times New Roman" w:hAnsi="Arial" w:cs="Arial"/>
                <w:sz w:val="15"/>
                <w:szCs w:val="15"/>
                <w:vertAlign w:val="superscript"/>
                <w:lang w:eastAsia="sr-Latn-RS"/>
              </w:rPr>
              <w:t>-8</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1-2 × 10</w:t>
            </w:r>
            <w:r w:rsidRPr="00984859">
              <w:rPr>
                <w:rFonts w:ascii="Arial" w:eastAsia="Times New Roman" w:hAnsi="Arial" w:cs="Arial"/>
                <w:sz w:val="15"/>
                <w:szCs w:val="15"/>
                <w:vertAlign w:val="superscript"/>
                <w:lang w:eastAsia="sr-Latn-RS"/>
              </w:rPr>
              <w:t>-8</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2-3 × 10</w:t>
            </w:r>
            <w:r w:rsidRPr="00984859">
              <w:rPr>
                <w:rFonts w:ascii="Arial" w:eastAsia="Times New Roman" w:hAnsi="Arial" w:cs="Arial"/>
                <w:sz w:val="15"/>
                <w:szCs w:val="15"/>
                <w:vertAlign w:val="superscript"/>
                <w:lang w:eastAsia="sr-Latn-RS"/>
              </w:rPr>
              <w:t>-9</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Brzina rasta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dan</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2,0-2,4 </w:t>
            </w:r>
          </w:p>
        </w:tc>
      </w:tr>
      <w:tr w:rsidR="00984859" w:rsidRPr="00984859" w:rsidTr="00984859">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Mereno elektronskim brojačem čestica.</w:t>
            </w:r>
            <w:r w:rsidRPr="00984859">
              <w:rPr>
                <w:rFonts w:ascii="Arial" w:eastAsia="Times New Roman" w:hAnsi="Arial" w:cs="Arial"/>
                <w:lang w:eastAsia="sr-Latn-RS"/>
              </w:rPr>
              <w:br/>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Izračunato iz veličine.</w:t>
            </w:r>
            <w:r w:rsidRPr="00984859">
              <w:rPr>
                <w:rFonts w:ascii="Arial" w:eastAsia="Times New Roman" w:hAnsi="Arial" w:cs="Arial"/>
                <w:lang w:eastAsia="sr-Latn-RS"/>
              </w:rPr>
              <w:br/>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Najčešće zapažena brzina rasta u OECD podlozi pri intenzitetu svetla oko 70 µE·m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i temperaturi 21°C.</w:t>
            </w:r>
            <w:r w:rsidRPr="00984859">
              <w:rPr>
                <w:rFonts w:ascii="Arial" w:eastAsia="Times New Roman" w:hAnsi="Arial" w:cs="Arial"/>
                <w:lang w:eastAsia="sr-Latn-RS"/>
              </w:rPr>
              <w:br/>
              <w:t xml:space="preserve">* D × Š jeste dužina puta širina.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Posebne preporuke za gajenje i rukovanje preporučenim ispitivanim vrstama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Pseudokirchneriella subcapitata i Desmodesmus subspicatus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Ove zelene alge generalno se lako održavaju u različitim podlogama kulture. Informacije o pogodnim podlogama mogu se dobiti u zbirkama kultura. Po pravilu se radi o pojedinačnim ćelijama i merenja gustine ćelija mogu se jednostavno obaviti uz pomoć elektronskog brojača čestica ili mikroskopa.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Anabaena flos-aquae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držanje radne kulture mogu se koristiti različite hranljive podloge. Posebno je važno da se ne dozvoli da šaržna kultura kod obnavljanja ne prođe logaritamsku fazu rasta jer je tada regeneracija teška.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Anabaena flos-aquae</w:t>
      </w:r>
      <w:r w:rsidRPr="00984859">
        <w:rPr>
          <w:rFonts w:ascii="Arial" w:eastAsia="Times New Roman" w:hAnsi="Arial" w:cs="Arial"/>
          <w:lang w:eastAsia="sr-Latn-RS"/>
        </w:rPr>
        <w:t xml:space="preserve"> stvara skupine isprepletenih lanaca ćelija. Veličina skupina može biti različita, zavisno od uslova gajenja. Skupine ponekad razbiti ako se biomasa određuje brojanjem pod mikroskopom ili elektronskim brojačem čestica.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Da bi se smanjila varijabilnost rezultata brojanja, lanci se mogu razbiti ultrazvučnom obradom poduzoraka. Ultrazvučna obrada ne sme trajati duže nego što je potrebno da se lanci razbiju na kraće lance, jer se u protivnom ćelije mogu uništiti. Intenzitet i trajanje ultrazvučne obrade jednaki su kod svih 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hemocitometru izbrojati dovoljan broj polja (najmanje 400 ćelija) da bi se smanjila odstupanja. Time se poboljšava pouzdanost mikroskopskih određivanja gustine.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što se lanci ćelija razbiju pažljivom ultrazvučnom obradom, za određivanje ukupne količine ćelija </w:t>
      </w:r>
      <w:r w:rsidRPr="00984859">
        <w:rPr>
          <w:rFonts w:ascii="Arial" w:eastAsia="Times New Roman" w:hAnsi="Arial" w:cs="Arial"/>
          <w:i/>
          <w:iCs/>
          <w:lang w:eastAsia="sr-Latn-RS"/>
        </w:rPr>
        <w:t>Anabaena</w:t>
      </w:r>
      <w:r w:rsidRPr="00984859">
        <w:rPr>
          <w:rFonts w:ascii="Arial" w:eastAsia="Times New Roman" w:hAnsi="Arial" w:cs="Arial"/>
          <w:lang w:eastAsia="sr-Latn-RS"/>
        </w:rPr>
        <w:t xml:space="preserve"> može se koristiti elektronski brojač čestica. Ultrazvučnu energiju podesiti tako da se izbegne oštećenje ćelija.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dobila dobro izmešana i homogena suspenzija algi za inokulaciju posuda za ispitivanje, koristiti mešalicu bez odbojnika ("vorteks") ili sličan odgovarajući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Sudove za ispitivanje staviti na rotacionu ili horizontalnu tresilicu na oko 150 obrtaja u minuti. Drugi način da se smanji tendencija stvaranja grudvica kod </w:t>
      </w:r>
      <w:r w:rsidRPr="00984859">
        <w:rPr>
          <w:rFonts w:ascii="Arial" w:eastAsia="Times New Roman" w:hAnsi="Arial" w:cs="Arial"/>
          <w:i/>
          <w:iCs/>
          <w:lang w:eastAsia="sr-Latn-RS"/>
        </w:rPr>
        <w:t>Anabaena</w:t>
      </w:r>
      <w:r w:rsidRPr="00984859">
        <w:rPr>
          <w:rFonts w:ascii="Arial" w:eastAsia="Times New Roman" w:hAnsi="Arial" w:cs="Arial"/>
          <w:lang w:eastAsia="sr-Latn-RS"/>
        </w:rPr>
        <w:t xml:space="preserve"> je periodično mućkanje. Kod pojave grudvica paziti da se za merenje biomase dobiju reprezentativni uzorci. Ponekad je pre uzorkovanja potrebno snažno protresti sudove da bi se razbile grudvice algi.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Synechococcus leopoliensis.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držanje radne kulture mogu se koristiti različite hranljive podloge. Informacije o pogodnim podlogama mogu se dobiti u zbirkama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Synechococcus leopoliensis</w:t>
      </w:r>
      <w:r w:rsidRPr="00984859">
        <w:rPr>
          <w:rFonts w:ascii="Arial" w:eastAsia="Times New Roman" w:hAnsi="Arial" w:cs="Arial"/>
          <w:lang w:eastAsia="sr-Latn-RS"/>
        </w:rPr>
        <w:t xml:space="preserve"> raste u obliku pojedinačnih štapićastih ćelija. Ćelije su veoma male, što otežava merenje biomase brojanjem pod mikroskopom. Ovde mogu da pomognu elektronski brojači čestica opremljeni za brojanje čestica do veličine od oko 1 µm. Osim toga, mogu se koristiti fluorometrijska merenja </w:t>
      </w:r>
      <w:r w:rsidRPr="00984859">
        <w:rPr>
          <w:rFonts w:ascii="Arial" w:eastAsia="Times New Roman" w:hAnsi="Arial" w:cs="Arial"/>
          <w:i/>
          <w:iCs/>
          <w:lang w:eastAsia="sr-Latn-RS"/>
        </w:rPr>
        <w:t>in vitro</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Navicula pelliculosa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držanje radne kulture mogu se koristiti različite hranljive podloge. Informacije o pogodnim podlogama mogu se dobiti u zbirkama kultura. Voditi računa o tome da podloga sadrži silikat.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Navicula pelliculosa</w:t>
      </w:r>
      <w:r w:rsidRPr="00984859">
        <w:rPr>
          <w:rFonts w:ascii="Arial" w:eastAsia="Times New Roman" w:hAnsi="Arial" w:cs="Arial"/>
          <w:lang w:eastAsia="sr-Latn-RS"/>
        </w:rPr>
        <w:t xml:space="preserve"> može u određenim uslovima rasta da stvara naslage. Ćelije algi ponekad imaju tendenciju da se nakupljaju u površinskoj emulziji zbog proizvodnje lipida. U tim okolnostima kod uzimanja poduzoraka za određivanje biomase preduzimaju se posebne mere da bi se dobili reprezentativni uzorci. Ponekad je potrebno i snažno protresanje npr. uz pomoć mešalice bez odbojnika ("vorteks").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DODATAK 2.</w:t>
      </w:r>
      <w:r w:rsidRPr="00984859">
        <w:rPr>
          <w:rFonts w:ascii="Arial" w:eastAsia="Times New Roman" w:hAnsi="Arial" w:cs="Arial"/>
          <w:b/>
          <w:bCs/>
          <w:lang w:eastAsia="sr-Latn-RS"/>
        </w:rPr>
        <w:br/>
        <w:t xml:space="preserve">HRANLJIVE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Može se koristiti jedna od dve hranljive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Podloga OECD TG 201 jeste izvorna podloga Uputstva za ispitivanje OECD 201, takođe je u skladu sa standardom ISO 8692.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Podloga AAP US. EPA takođe je u skladu sa standardom ASTM.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Kod pripreme ovih podloga koristiti hemikalije čistoće PA ("pro analysis") odnosno hemikalije analitičke čistoće i dejonizovanu vodu.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Sastav podloge AAP (US. EPA) i podloge OECD TG 201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608"/>
        <w:gridCol w:w="1491"/>
        <w:gridCol w:w="1864"/>
        <w:gridCol w:w="1305"/>
        <w:gridCol w:w="1864"/>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Sastojak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EPA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OECD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mM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NaHCO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0,179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0,595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NaNO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0,300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0,280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0,0598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0,0590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0,0300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0,122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0,0609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0,00599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0,00919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0,000591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0,0640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0,000237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EDTA·2(H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0,300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0,000806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0,000269</w:t>
            </w:r>
            <w:r w:rsidRPr="00984859">
              <w:rPr>
                <w:rFonts w:ascii="Arial" w:eastAsia="Times New Roman" w:hAnsi="Arial" w:cs="Arial"/>
                <w:sz w:val="15"/>
                <w:szCs w:val="15"/>
                <w:vertAlign w:val="superscript"/>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BO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0,00300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0,185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0,00299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0,00201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0,00210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ZnCl</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0,00327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0,00300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0,0000220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0,00143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0,000006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0,00150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0,00000630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MoO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0,00726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0,00700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0,0000289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CuCl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0,00000007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0,00000006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pH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8,1 </w:t>
            </w:r>
          </w:p>
        </w:tc>
      </w:tr>
      <w:tr w:rsidR="00984859" w:rsidRPr="00984859" w:rsidTr="00984859">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sz w:val="15"/>
                <w:szCs w:val="15"/>
                <w:vertAlign w:val="superscript"/>
                <w:lang w:eastAsia="sr-Latn-RS"/>
              </w:rPr>
              <w:t>[*]</w:t>
            </w:r>
            <w:r w:rsidRPr="00984859">
              <w:rPr>
                <w:rFonts w:ascii="Arial" w:eastAsia="Times New Roman" w:hAnsi="Arial" w:cs="Arial"/>
                <w:lang w:eastAsia="sr-Latn-RS"/>
              </w:rPr>
              <w:t xml:space="preserve"> Molarni odnos EDTA - gvožđe je nešto veći od jedan. Time se sprečava taloženje gvožđa i istovremeno smanjuje heliranje teških metalnih jona.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ispitivanja sa dijatomejom </w:t>
      </w:r>
      <w:r w:rsidRPr="00984859">
        <w:rPr>
          <w:rFonts w:ascii="Arial" w:eastAsia="Times New Roman" w:hAnsi="Arial" w:cs="Arial"/>
          <w:i/>
          <w:iCs/>
          <w:lang w:eastAsia="sr-Latn-RS"/>
        </w:rPr>
        <w:t>Navicula pelliculosa</w:t>
      </w:r>
      <w:r w:rsidRPr="00984859">
        <w:rPr>
          <w:rFonts w:ascii="Arial" w:eastAsia="Times New Roman" w:hAnsi="Arial" w:cs="Arial"/>
          <w:lang w:eastAsia="sr-Latn-RS"/>
        </w:rPr>
        <w:t xml:space="preserve"> obe podloge dopuniti sa Na2SiO3·9H2O tako da se dobije koncentracija od 1,4 mg Si/l.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pH vrednost podloge određuje se kad se uspostavi karbonatna ravnoteža između podloge i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atmosferskom vazduhu. Približni odnos između pH na 25 °C i molarne koncentracije bikarbonata proizlazi iz formule: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pH</w:t>
      </w:r>
      <w:r w:rsidRPr="00984859">
        <w:rPr>
          <w:rFonts w:ascii="Arial" w:eastAsia="Times New Roman" w:hAnsi="Arial" w:cs="Arial"/>
          <w:i/>
          <w:iCs/>
          <w:sz w:val="15"/>
          <w:szCs w:val="15"/>
          <w:vertAlign w:val="subscript"/>
          <w:lang w:eastAsia="sr-Latn-RS"/>
        </w:rPr>
        <w:t xml:space="preserve">eq </w:t>
      </w:r>
      <w:r w:rsidRPr="00984859">
        <w:rPr>
          <w:rFonts w:ascii="Arial" w:eastAsia="Times New Roman" w:hAnsi="Arial" w:cs="Arial"/>
          <w:lang w:eastAsia="sr-Latn-RS"/>
        </w:rPr>
        <w:t xml:space="preserve">= 11,30 + </w:t>
      </w:r>
      <w:r w:rsidRPr="00984859">
        <w:rPr>
          <w:rFonts w:ascii="Arial" w:eastAsia="Times New Roman" w:hAnsi="Arial" w:cs="Arial"/>
          <w:i/>
          <w:iCs/>
          <w:lang w:eastAsia="sr-Latn-RS"/>
        </w:rPr>
        <w:t>log</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HCO3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15 mg NaHCO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pH</w:t>
      </w:r>
      <w:r w:rsidRPr="00984859">
        <w:rPr>
          <w:rFonts w:ascii="Arial" w:eastAsia="Times New Roman" w:hAnsi="Arial" w:cs="Arial"/>
          <w:sz w:val="15"/>
          <w:szCs w:val="15"/>
          <w:vertAlign w:val="subscript"/>
          <w:lang w:eastAsia="sr-Latn-RS"/>
        </w:rPr>
        <w:t>eq</w:t>
      </w:r>
      <w:r w:rsidRPr="00984859">
        <w:rPr>
          <w:rFonts w:ascii="Arial" w:eastAsia="Times New Roman" w:hAnsi="Arial" w:cs="Arial"/>
          <w:lang w:eastAsia="sr-Latn-RS"/>
        </w:rPr>
        <w:t xml:space="preserve"> = 7,5 (podloga U.S. EPA), a kod 50 mg NaHCO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/l, pH</w:t>
      </w:r>
      <w:r w:rsidRPr="00984859">
        <w:rPr>
          <w:rFonts w:ascii="Arial" w:eastAsia="Times New Roman" w:hAnsi="Arial" w:cs="Arial"/>
          <w:sz w:val="15"/>
          <w:szCs w:val="15"/>
          <w:vertAlign w:val="subscript"/>
          <w:lang w:eastAsia="sr-Latn-RS"/>
        </w:rPr>
        <w:t>eq</w:t>
      </w:r>
      <w:r w:rsidRPr="00984859">
        <w:rPr>
          <w:rFonts w:ascii="Arial" w:eastAsia="Times New Roman" w:hAnsi="Arial" w:cs="Arial"/>
          <w:lang w:eastAsia="sr-Latn-RS"/>
        </w:rPr>
        <w:t xml:space="preserve"> = 8,1 (podloga OECD).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Elementarni sastav podloga za ispitivanje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396"/>
        <w:gridCol w:w="2868"/>
        <w:gridCol w:w="2868"/>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Element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EPA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OECD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7,148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3,927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0,285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0,469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0,459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11,044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13,704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4,905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2,913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0,017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0,115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Priprema podloge OECD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24"/>
        <w:gridCol w:w="5908"/>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Hranljiva materija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u radnom rastvoru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Radni rastvor 1: makronutrijenti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Cl </w:t>
            </w:r>
            <w:r w:rsidRPr="00984859">
              <w:rPr>
                <w:rFonts w:ascii="Arial" w:eastAsia="Times New Roman" w:hAnsi="Arial" w:cs="Arial"/>
                <w:lang w:eastAsia="sr-Latn-RS"/>
              </w:rPr>
              <w:br/>
              <w:t>MgCl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1,5 g·l</w:t>
            </w:r>
            <w:r w:rsidRPr="00984859">
              <w:rPr>
                <w:rFonts w:ascii="Arial" w:eastAsia="Times New Roman" w:hAnsi="Arial" w:cs="Arial"/>
                <w:sz w:val="15"/>
                <w:szCs w:val="15"/>
                <w:vertAlign w:val="superscript"/>
                <w:lang w:eastAsia="sr-Latn-RS"/>
              </w:rPr>
              <w:t xml:space="preserve">-1 </w:t>
            </w:r>
            <w:r w:rsidRPr="00984859">
              <w:rPr>
                <w:rFonts w:ascii="Arial" w:eastAsia="Times New Roman" w:hAnsi="Arial" w:cs="Arial"/>
                <w:lang w:eastAsia="sr-Latn-RS"/>
              </w:rPr>
              <w:br/>
              <w:t>1,2 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1,8 g·l</w:t>
            </w:r>
            <w:r w:rsidRPr="00984859">
              <w:rPr>
                <w:rFonts w:ascii="Arial" w:eastAsia="Times New Roman" w:hAnsi="Arial" w:cs="Arial"/>
                <w:sz w:val="15"/>
                <w:szCs w:val="15"/>
                <w:vertAlign w:val="superscript"/>
                <w:lang w:eastAsia="sr-Latn-RS"/>
              </w:rPr>
              <w:t xml:space="preserve">-1 </w:t>
            </w:r>
            <w:r w:rsidRPr="00984859">
              <w:rPr>
                <w:rFonts w:ascii="Arial" w:eastAsia="Times New Roman" w:hAnsi="Arial" w:cs="Arial"/>
                <w:lang w:eastAsia="sr-Latn-RS"/>
              </w:rPr>
              <w:br/>
              <w:t>1,5 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0,16 g·l</w:t>
            </w:r>
            <w:r w:rsidRPr="00984859">
              <w:rPr>
                <w:rFonts w:ascii="Arial" w:eastAsia="Times New Roman" w:hAnsi="Arial" w:cs="Arial"/>
                <w:sz w:val="15"/>
                <w:szCs w:val="15"/>
                <w:vertAlign w:val="superscript"/>
                <w:lang w:eastAsia="sr-Latn-RS"/>
              </w:rPr>
              <w:t>-1</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Radni rastvor 2: gvožđe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EDTA·2H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64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100 mg·l</w:t>
            </w:r>
            <w:r w:rsidRPr="00984859">
              <w:rPr>
                <w:rFonts w:ascii="Arial" w:eastAsia="Times New Roman" w:hAnsi="Arial" w:cs="Arial"/>
                <w:sz w:val="15"/>
                <w:szCs w:val="15"/>
                <w:vertAlign w:val="superscript"/>
                <w:lang w:eastAsia="sr-Latn-RS"/>
              </w:rPr>
              <w:t>-1</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Radni rastvor 3: elementi u tragovima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BO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br/>
              <w:t>MnCl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ZnCl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CoCl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CoCl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CuCl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MoO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185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415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3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1,5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0,01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7 mg·l</w:t>
            </w:r>
            <w:r w:rsidRPr="00984859">
              <w:rPr>
                <w:rFonts w:ascii="Arial" w:eastAsia="Times New Roman" w:hAnsi="Arial" w:cs="Arial"/>
                <w:sz w:val="15"/>
                <w:szCs w:val="15"/>
                <w:vertAlign w:val="superscript"/>
                <w:lang w:eastAsia="sr-Latn-RS"/>
              </w:rPr>
              <w:t>-1</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Radni rastvor 4: bikarbonat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NaHCO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b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SiO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·9H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50 g·l</w:t>
            </w:r>
            <w:r w:rsidRPr="00984859">
              <w:rPr>
                <w:rFonts w:ascii="Arial" w:eastAsia="Times New Roman" w:hAnsi="Arial" w:cs="Arial"/>
                <w:sz w:val="15"/>
                <w:szCs w:val="15"/>
                <w:vertAlign w:val="superscript"/>
                <w:lang w:eastAsia="sr-Latn-RS"/>
              </w:rPr>
              <w:t>-1</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Radni rastvori se sterilišu membranskom filtracijom (srednji prečnik pora 0,2 µm) ili obradom u autoklavu (120° C, 15 min). Rastvori se čuvaju u mraku na temperaturi od 4°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Radni rastvori 2 i 4 ne sterilišu se u autoklavu, već isključivo membranskom filtracijom.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Hranljiva podloga priprema se dodavanjem odgovarajuće zapremine radnih rastvora 1-4 u vodu, i 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500 ml sterilisane vode doda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- 10 ml radnog rastvora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 ml radnog rastvora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 ml radnog rastvora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 ml radnog rastvora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Dopuni se sterilizovanom vodom do 1000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Treba ostaviti dovoljno vremena za uspostavljanje ravnoteže između podloge i atmosferskog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prema potrebi uduvavanjem sterilnog filtriranog vazduha u trajanju od nekoliko sati.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Priprema podloge AAP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U približno 900 ml dejonizovane ili destilovane vode doda se po 1 ml radnih rastvora iz A1.2.1. - A1.2.7. i razblaži do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A1.2. Pripremi se radni rastvori sa makronutrijentima rastvaranjem sledećih količina supstance u 500 ml dejonizovane ili destilovane vode. Reagensi A1.2.1, A1.2.2, A1.2.3. i A1.2.4. se mogu objediniti u jedan radni rastvor.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A1.2.1. NaNO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- 12,750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A1.2.2. MgCL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- 6,082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A1.2.3.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- 2,205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A1.2.4. Radni rastvor sa mikronutrijentima - (videti napomenu A1.3.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A1.2.5. 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- 7,350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A1.2.6.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- 0,522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A1.2.7. NaHCO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- 7,500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A1.2.8. 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SiO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·9H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 videti napomenu A1.1.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A1.1. - Koristiti samo kod ispitivanja s dijatomejama. Može se dodati direktno (202,4 mg) ili putem radnog rastvora tako da se dobije konačna koncentracija 20 mg/l Si u podlozi.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A1.3. Pripremi se radni rastvor sa makronutrijentima rastvaranjem sledećih količina supstance u 500 ml dejonizovane ili destilovane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A1.3.1. 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BO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- 92,760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A1.3.2. MnCl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- 207,690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A1.3.3. ZnCl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- 1,635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A1.3.4. 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- 79,880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A1.3.5. CoCl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- 0,714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A1.3.6. 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MoO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- 3,630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A1.3.7. CuCl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- 0,006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A1.3.8. 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EDTA·2H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- 150,000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[dinatrijum-etilendiamintetraacetat].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A1.3.9. 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SeO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·5H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O-0,005 mg videti napomenu A1.2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A1.2 Koristiti samo u podlozi za radne kulture sa dijatomejama.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A1.4. pH podesiti na 7,5 ± 0,1 sa 0,1 N ili 1,0 N NaOH ili HCl.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A1.5. Podloga se profiltrira u sterilnu posudu kroz membranski filter 0,22 μm, ako se koristi brojač čestica, ili kroz membranski filter 0,45-μm, ako se ne koristi brojač čestica.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A1.6. Podloga se do upotrebe čuva u mraku na temperaturi od oko 4° 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DODATAK 3.</w:t>
      </w:r>
      <w:r w:rsidRPr="00984859">
        <w:rPr>
          <w:rFonts w:ascii="Arial" w:eastAsia="Times New Roman" w:hAnsi="Arial" w:cs="Arial"/>
          <w:b/>
          <w:bCs/>
          <w:lang w:eastAsia="sr-Latn-RS"/>
        </w:rPr>
        <w:br/>
        <w:t xml:space="preserve">PRIMER POSTUPKA ZA GAJENJE KULTURE ALGI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Opšte napomene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Gajenje kultura u skladu sa ovim postupkom sprovodi se radi dobijanja kultura algi za toksikološka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koristiti odgovarajuće metode kako se kulture algi ne bi kontaminirale bakterijama. Aksenične kulture mogu biti poželjne, ali se uspostavljaju i koriste kulture koje sadrže samo jednu vrstu algi.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postupke obavljati u sterilnim uslovima kako bi se izbeglo zagađenje bakterijama i drugim algama.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Oprema i materijali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Deo prvi ove metode, odeljak 1.8.1.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Postupci za dobijanje kultura algi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Priprema hranljivih rastvora (podloga)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hranljive soli podloge pripremaju se kao koncentrovani radni rastvori i čuvaju na tamnom i hladnom mestu. Ovi rastvori se sterilišu filtracijom ili obradom u autoklavu.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Podloga se priprema dodavanjem odgovarajuće količine radnog rastvora u sterilnu destilovanu vodu, pazeći da ne dođe do infekcije. Kod čvrstih podloga dodaje se 0,8% agara.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Radna 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Radne kulture su male kulture algi koje se redovno presejavaju u svežu podlogu i koriste kao polazni ispitivani materijal. Ako se kulture ne koriste redovno, one se nanose na kosi agar. Kulture se presejavaju u svežu podlogu najmanje jedanput u dva meseca.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Radne kulture se gaje u erlenmajerima koji sadrže odgovarajuću podlogu (oko 100 ml). Kada se alge inkubiraju na 20° C uz neprekidno osvetljenje, potrebno je nedeljno presejavanje.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presejavanja, određena količina "stare" kulture se prenese sterilnim pipetama u sud sa svežom podlogom tako da kod brzorastućih vrsta početna koncentracija bude oko 100 puta niža nego u staroj kulturi.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Brzina rasta vrste može se odrediti iz krive rasta. Ako je ona poznata, moguće je proceniti gustinu pri kojoj kulturu preneti u novu podlogu. To se čini pre nego što kultura dostigne fazu odumiranja.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Predkultura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Predkultura treba da da određenu količinu algi koje su pogodne za inokulaciju ispitivanih kultura. Predkultura se inkubira u uslovima ispitivanja i koristi dok još eksponencijalno raste, po pravilu nakon perioda inkubacije od 2 dana do 4 dana. Kulture algi koje sadrže deformisane ili abnormalne ćelije odbaciti.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DODATAK 4.</w:t>
      </w:r>
      <w:r w:rsidRPr="00984859">
        <w:rPr>
          <w:rFonts w:ascii="Arial" w:eastAsia="Times New Roman" w:hAnsi="Arial" w:cs="Arial"/>
          <w:b/>
          <w:bCs/>
          <w:lang w:eastAsia="sr-Latn-RS"/>
        </w:rPr>
        <w:br/>
        <w:t xml:space="preserve">ANALIZA PODATAKA NELINEARNOM REGRESIJOM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Opšte napomene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ispitivanja sa algama i drugih ispitivanja mikrobiološkog rasta - rasta biomase odgovor je po prirodi stvari kontinuirana ili metrička promenljiva: brzina procesa, ako se koristi brzina rasta, odnosno njen vremenski integral, ako je odabrana biomasa. Oba parametra se stavljaju u odnos prema odgovarajućem srednjem odgovoru ponavljanja neizloženih kontrola koje najjače reaguju na date uslove - u ispitivanju sa algama najvažniji faktori su svetlost i temperatura. Sistem je podeljen ili homogen, a biomasa se može posmatrati kao kontinuum bez razmatranja pojedinačnih ćelija. Raspodela varijanse za odgovore kakvi se javljaju kod ovakvih sistema zavisi isključivo od probnih faktora (koji se obično opisuju putem log-normalnih ili normalnih raspodela greške). To je u suprotnosti sa tipičnim odgovorima kod bioanalize sa kvantalnim podacima, gde se tolerancija (po pravilu sa binomnom raspodelom) pojedinačnih organizama često smatra dominantnom komponentom varijanse. Ovde su odgovori kontrola nula ili na nivou osnovne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najjednostavnijem slučaju normirani odnosno relativni odgovor, </w:t>
      </w:r>
      <w:r w:rsidRPr="00984859">
        <w:rPr>
          <w:rFonts w:ascii="Arial" w:eastAsia="Times New Roman" w:hAnsi="Arial" w:cs="Arial"/>
          <w:i/>
          <w:iCs/>
          <w:lang w:eastAsia="sr-Latn-RS"/>
        </w:rPr>
        <w:t>r</w:t>
      </w:r>
      <w:r w:rsidRPr="00984859">
        <w:rPr>
          <w:rFonts w:ascii="Arial" w:eastAsia="Times New Roman" w:hAnsi="Arial" w:cs="Arial"/>
          <w:lang w:eastAsia="sr-Latn-RS"/>
        </w:rPr>
        <w:t xml:space="preserve">, ravnomerno opada od 1 (nulta inhibicija) do 0 (stopostotna inhibicija). Treba zapaziti da su svi odgovori povezani sa greškom i da se očigledne negativne inhibicije mogu izračunati samo kao rezultat slučajne greške.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Regresiona analiza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Modeli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regresione analize je da se kvantitativno opiše kriva koncentracija-odgovor u obliku matematičke regresione funkcije </w:t>
      </w:r>
      <w:r w:rsidRPr="00984859">
        <w:rPr>
          <w:rFonts w:ascii="Arial" w:eastAsia="Times New Roman" w:hAnsi="Arial" w:cs="Arial"/>
          <w:i/>
          <w:iCs/>
          <w:lang w:eastAsia="sr-Latn-RS"/>
        </w:rPr>
        <w:t>Y</w:t>
      </w:r>
      <w:r w:rsidRPr="00984859">
        <w:rPr>
          <w:rFonts w:ascii="Arial" w:eastAsia="Times New Roman" w:hAnsi="Arial" w:cs="Arial"/>
          <w:lang w:eastAsia="sr-Latn-RS"/>
        </w:rPr>
        <w:t xml:space="preserve"> = </w:t>
      </w:r>
      <w:r w:rsidRPr="00984859">
        <w:rPr>
          <w:rFonts w:ascii="Arial" w:eastAsia="Times New Roman" w:hAnsi="Arial" w:cs="Arial"/>
          <w:i/>
          <w:iCs/>
          <w:lang w:eastAsia="sr-Latn-RS"/>
        </w:rPr>
        <w:t>f</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C</w:t>
      </w:r>
      <w:r w:rsidRPr="00984859">
        <w:rPr>
          <w:rFonts w:ascii="Arial" w:eastAsia="Times New Roman" w:hAnsi="Arial" w:cs="Arial"/>
          <w:lang w:eastAsia="sr-Latn-RS"/>
        </w:rPr>
        <w:t xml:space="preserve">) ili češće </w:t>
      </w:r>
      <w:r w:rsidRPr="00984859">
        <w:rPr>
          <w:rFonts w:ascii="Arial" w:eastAsia="Times New Roman" w:hAnsi="Arial" w:cs="Arial"/>
          <w:i/>
          <w:iCs/>
          <w:lang w:eastAsia="sr-Latn-RS"/>
        </w:rPr>
        <w:t>F</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Z</w:t>
      </w:r>
      <w:r w:rsidRPr="00984859">
        <w:rPr>
          <w:rFonts w:ascii="Arial" w:eastAsia="Times New Roman" w:hAnsi="Arial" w:cs="Arial"/>
          <w:lang w:eastAsia="sr-Latn-RS"/>
        </w:rPr>
        <w:t xml:space="preserve">), gde je </w:t>
      </w:r>
      <w:r w:rsidRPr="00984859">
        <w:rPr>
          <w:rFonts w:ascii="Arial" w:eastAsia="Times New Roman" w:hAnsi="Arial" w:cs="Arial"/>
          <w:i/>
          <w:iCs/>
          <w:lang w:eastAsia="sr-Latn-RS"/>
        </w:rPr>
        <w:t>Z</w:t>
      </w:r>
      <w:r w:rsidRPr="00984859">
        <w:rPr>
          <w:rFonts w:ascii="Arial" w:eastAsia="Times New Roman" w:hAnsi="Arial" w:cs="Arial"/>
          <w:lang w:eastAsia="sr-Latn-RS"/>
        </w:rPr>
        <w:t xml:space="preserve"> = </w:t>
      </w:r>
      <w:r w:rsidRPr="00984859">
        <w:rPr>
          <w:rFonts w:ascii="Arial" w:eastAsia="Times New Roman" w:hAnsi="Arial" w:cs="Arial"/>
          <w:i/>
          <w:iCs/>
          <w:lang w:eastAsia="sr-Latn-RS"/>
        </w:rPr>
        <w:t>log C</w:t>
      </w:r>
      <w:r w:rsidRPr="00984859">
        <w:rPr>
          <w:rFonts w:ascii="Arial" w:eastAsia="Times New Roman" w:hAnsi="Arial" w:cs="Arial"/>
          <w:lang w:eastAsia="sr-Latn-RS"/>
        </w:rPr>
        <w:t xml:space="preserve">. Inverzna funkcija </w:t>
      </w:r>
      <w:r w:rsidRPr="00984859">
        <w:rPr>
          <w:rFonts w:ascii="Arial" w:eastAsia="Times New Roman" w:hAnsi="Arial" w:cs="Arial"/>
          <w:i/>
          <w:iCs/>
          <w:lang w:eastAsia="sr-Latn-RS"/>
        </w:rPr>
        <w:t>C</w:t>
      </w:r>
      <w:r w:rsidRPr="00984859">
        <w:rPr>
          <w:rFonts w:ascii="Arial" w:eastAsia="Times New Roman" w:hAnsi="Arial" w:cs="Arial"/>
          <w:lang w:eastAsia="sr-Latn-RS"/>
        </w:rPr>
        <w:t xml:space="preserve"> = </w:t>
      </w:r>
      <w:r w:rsidRPr="00984859">
        <w:rPr>
          <w:rFonts w:ascii="Arial" w:eastAsia="Times New Roman" w:hAnsi="Arial" w:cs="Arial"/>
          <w:i/>
          <w:iCs/>
          <w:lang w:eastAsia="sr-Latn-RS"/>
        </w:rPr>
        <w:t>f</w:t>
      </w:r>
      <w:r w:rsidRPr="00984859">
        <w:rPr>
          <w:rFonts w:ascii="Arial" w:eastAsia="Times New Roman" w:hAnsi="Arial" w:cs="Arial"/>
          <w:lang w:eastAsia="sr-Latn-RS"/>
        </w:rPr>
        <w:t>-1 (</w:t>
      </w:r>
      <w:r w:rsidRPr="00984859">
        <w:rPr>
          <w:rFonts w:ascii="Arial" w:eastAsia="Times New Roman" w:hAnsi="Arial" w:cs="Arial"/>
          <w:i/>
          <w:iCs/>
          <w:lang w:eastAsia="sr-Latn-RS"/>
        </w:rPr>
        <w:t>Y</w:t>
      </w:r>
      <w:r w:rsidRPr="00984859">
        <w:rPr>
          <w:rFonts w:ascii="Arial" w:eastAsia="Times New Roman" w:hAnsi="Arial" w:cs="Arial"/>
          <w:lang w:eastAsia="sr-Latn-RS"/>
        </w:rPr>
        <w:t>) omogućava izračunavanje vrednosti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uključujući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i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i njihove granice pouzdanosti od 95%. Pokazalo se da nekoliko jednostavnih matematičkih funkcija uspešno opisuju odnose koncentracija-odgovor koji se dobijaju u ispitivanjima inhibicije rasta algi. Te funkcije obuhvataju npr. logističku jednačinu, nesimetričnu Vejbulovu jednačinu i funkciju log-normalne raspodele, koje sve predstavljaju sigmoidne krive koje se asimptotski približavaju vrednosti 1 kad C → 0 i nuli kad C → beskonačno.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poslednje vreme, kao alternativa asimptotskim modelima predlaže se korišćenje modela neprekinute funkcije s pragom (npr. Kojmanov model "inhibicije rasta populacije", Kooijman </w:t>
      </w:r>
      <w:r w:rsidRPr="00984859">
        <w:rPr>
          <w:rFonts w:ascii="Arial" w:eastAsia="Times New Roman" w:hAnsi="Arial" w:cs="Arial"/>
          <w:i/>
          <w:iCs/>
          <w:lang w:eastAsia="sr-Latn-RS"/>
        </w:rPr>
        <w:t>et al</w:t>
      </w:r>
      <w:r w:rsidRPr="00984859">
        <w:rPr>
          <w:rFonts w:ascii="Arial" w:eastAsia="Times New Roman" w:hAnsi="Arial" w:cs="Arial"/>
          <w:lang w:eastAsia="sr-Latn-RS"/>
        </w:rPr>
        <w:t xml:space="preserve">., 1996). Kod ovog modela polazi se od pretpostavke da u koncentracijama ispod određenog praga (EC0+) nema nikakvih efekata; EC0+ se procenjuje ekstrapolacijom odnosa koncentracija - odgovor sa presekom u osi koncentracije primenom jednostavne neprekinute funkcije, koja nije diferencijabilna u polaznoj tački.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Treba zapaziti da se analiza može pojednostaviti metodom najmanjih kvadrata (uz pretpostavku stalne varijanse) ili ponderisanih kvadrata, ako se ispravlja heterogenost varijanse.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Postupak se može ukratko opisati na sledeći način: odabere se odgovarajuća funkcionalna jednačina, </w:t>
      </w:r>
      <w:r w:rsidRPr="00984859">
        <w:rPr>
          <w:rFonts w:ascii="Arial" w:eastAsia="Times New Roman" w:hAnsi="Arial" w:cs="Arial"/>
          <w:i/>
          <w:iCs/>
          <w:lang w:eastAsia="sr-Latn-RS"/>
        </w:rPr>
        <w:t>Y</w:t>
      </w:r>
      <w:r w:rsidRPr="00984859">
        <w:rPr>
          <w:rFonts w:ascii="Arial" w:eastAsia="Times New Roman" w:hAnsi="Arial" w:cs="Arial"/>
          <w:lang w:eastAsia="sr-Latn-RS"/>
        </w:rPr>
        <w:t xml:space="preserve"> = </w:t>
      </w:r>
      <w:r w:rsidRPr="00984859">
        <w:rPr>
          <w:rFonts w:ascii="Arial" w:eastAsia="Times New Roman" w:hAnsi="Arial" w:cs="Arial"/>
          <w:i/>
          <w:iCs/>
          <w:lang w:eastAsia="sr-Latn-RS"/>
        </w:rPr>
        <w:t>f</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C</w:t>
      </w:r>
      <w:r w:rsidRPr="00984859">
        <w:rPr>
          <w:rFonts w:ascii="Arial" w:eastAsia="Times New Roman" w:hAnsi="Arial" w:cs="Arial"/>
          <w:lang w:eastAsia="sr-Latn-RS"/>
        </w:rPr>
        <w:t xml:space="preserve">), i prilagodi podacima nelinearnom regresijom. Poželjno je da se umesto srednjih vrednosti ponavljanja koriste merenja pojedinačnih uzoraka/sudova kako bi se iz podataka izvuklo što je moguće više informacija. Sa druge strane, ako je varijansa visoka, praktična iskustva pokazuju da srednje vrednosti ponavljanja mogu dati pouzdaniju matematičku procenu uz manji uticaj sistemskih problema nego što je to slučaj kada se zadrže pojedinačne tačke.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Napravi se grafički prikaz podešene krive i izmerenih vrednosti i proveri da li je podešavanje ispravno obavljeno. Ovde se naročito korisnom može pokazati analiza reziduala. Ako funkcionalni odnos koji je odabran za prilagođavanje krive koncentracija-odgovor ne opisuje dobro čitavu krivu ili neki njen bitni deo, npr. odgovor pri niskim koncentracijama, za prilagođavanje krive izabrati neku drugu opciju - npr. nesimetrična kriva Vejbul funkcije umesto simetrične. Negativne inhibicije mogu da predstavljaju problem npr. kod funkcije log-normalne raspodele, i da zahtevaju da se upotrebi i alternativna regresiona funkcija. Nije preporučljivo da se tim negativnim vrednostima dodeli vrednost nula ili mala pozitivna vrednost jer se time iskrivljuje raspodela grešaka. Ponekad je primereno napraviti posebno prilagođavanje određenih delova krive, npr. deo krive sa niskom inhibicijom kako bi se dobila procena vrednosti EC</w:t>
      </w:r>
      <w:r w:rsidRPr="00984859">
        <w:rPr>
          <w:rFonts w:ascii="Arial" w:eastAsia="Times New Roman" w:hAnsi="Arial" w:cs="Arial"/>
          <w:sz w:val="15"/>
          <w:szCs w:val="15"/>
          <w:vertAlign w:val="subscript"/>
          <w:lang w:eastAsia="sr-Latn-RS"/>
        </w:rPr>
        <w:t xml:space="preserve">low x. </w:t>
      </w:r>
      <w:r w:rsidRPr="00984859">
        <w:rPr>
          <w:rFonts w:ascii="Arial" w:eastAsia="Times New Roman" w:hAnsi="Arial" w:cs="Arial"/>
          <w:lang w:eastAsia="sr-Latn-RS"/>
        </w:rPr>
        <w:t xml:space="preserve">Iz prilagođene jednačine se izračunaju ("inverznom procenom" </w:t>
      </w:r>
      <w:r w:rsidRPr="00984859">
        <w:rPr>
          <w:rFonts w:ascii="Arial" w:eastAsia="Times New Roman" w:hAnsi="Arial" w:cs="Arial"/>
          <w:i/>
          <w:iCs/>
          <w:lang w:eastAsia="sr-Latn-RS"/>
        </w:rPr>
        <w:t>C</w:t>
      </w:r>
      <w:r w:rsidRPr="00984859">
        <w:rPr>
          <w:rFonts w:ascii="Arial" w:eastAsia="Times New Roman" w:hAnsi="Arial" w:cs="Arial"/>
          <w:lang w:eastAsia="sr-Latn-RS"/>
        </w:rPr>
        <w:t xml:space="preserve"> = </w:t>
      </w:r>
      <w:r w:rsidRPr="00984859">
        <w:rPr>
          <w:rFonts w:ascii="Arial" w:eastAsia="Times New Roman" w:hAnsi="Arial" w:cs="Arial"/>
          <w:i/>
          <w:iCs/>
          <w:lang w:eastAsia="sr-Latn-RS"/>
        </w:rPr>
        <w:t>f</w:t>
      </w:r>
      <w:r w:rsidRPr="00984859">
        <w:rPr>
          <w:rFonts w:ascii="Arial" w:eastAsia="Times New Roman" w:hAnsi="Arial" w:cs="Arial"/>
          <w:lang w:eastAsia="sr-Latn-RS"/>
        </w:rPr>
        <w:t>-1 (</w:t>
      </w:r>
      <w:r w:rsidRPr="00984859">
        <w:rPr>
          <w:rFonts w:ascii="Arial" w:eastAsia="Times New Roman" w:hAnsi="Arial" w:cs="Arial"/>
          <w:i/>
          <w:iCs/>
          <w:lang w:eastAsia="sr-Latn-RS"/>
        </w:rPr>
        <w:t>Y</w:t>
      </w:r>
      <w:r w:rsidRPr="00984859">
        <w:rPr>
          <w:rFonts w:ascii="Arial" w:eastAsia="Times New Roman" w:hAnsi="Arial" w:cs="Arial"/>
          <w:lang w:eastAsia="sr-Latn-RS"/>
        </w:rPr>
        <w:t>)) karakteristične procene tačaka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i dokumentuje najmanje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jedna ili dve procene EC</w:t>
      </w:r>
      <w:r w:rsidRPr="00984859">
        <w:rPr>
          <w:rFonts w:ascii="Arial" w:eastAsia="Times New Roman" w:hAnsi="Arial" w:cs="Arial"/>
          <w:sz w:val="15"/>
          <w:szCs w:val="15"/>
          <w:vertAlign w:val="subscript"/>
          <w:lang w:eastAsia="sr-Latn-RS"/>
        </w:rPr>
        <w:t xml:space="preserve">low x. </w:t>
      </w:r>
      <w:r w:rsidRPr="00984859">
        <w:rPr>
          <w:rFonts w:ascii="Arial" w:eastAsia="Times New Roman" w:hAnsi="Arial" w:cs="Arial"/>
          <w:lang w:eastAsia="sr-Latn-RS"/>
        </w:rPr>
        <w:t>Iskustva sa praktičnim ispitivanjima pokazuju da je test sa algama dovoljno precizan da se po pravilu može dobiti dovoljno tačna procena kod inhibicije od 10%, pod uslovom da su tačke podataka dovoljne - osim ako se pri niskim koncentracija javlja stimulacija rasta kao faktor prilagođavanja. Preciznost procene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često je znatno veća od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jer je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obično smešten u približno linearnom delu centralne krive koncentracija-odgovor. Ponekad se EC10 teško tumači zbog stimulacije rasta. Prema tome, iako se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po pravilu može dobiti sa dovoljnom tačnošću, preporučuje se da se uz njega uvek navede i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Ponderi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Varijansa eksperimenta uopšteno nije stalna i obično uključuje proporcionalnu komponentu; stoga je uvek dobro izvršiti ponderisanu regresiju.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W</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 xml:space="preserve"> = 1/Var(r</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Mnogi regresioni programi nude mogućnost ponderisane regresione analize primenom pondera koji su navedeni u tabeli. Ponderi se radi jednostavnosti normiraju množenjem sa n/S w</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 je broj tačaka podataka) tako da njihov zbir bude 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Normalizovanje odgovora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Normalizovanjem srednjeg odgovora kontrola javljaju se neki temeljni problemi i dobija prilično komplikovana struktura varijanse. Deljenjem odgovora sa srednjim odgovorom kontrola da bi se dobio procenat inhibicije uvodi se dodatna greška koja proizlazi iz greške srednje kontrolne vrednosti. Osim u slučaju kad je ta greška zanemarljivo mala, ponderi regresije i granice pouzdanosti ispravljaju se za kovarijansu sa kontrolom</w:t>
      </w:r>
      <w:r w:rsidRPr="00984859">
        <w:rPr>
          <w:rFonts w:ascii="Arial" w:eastAsia="Times New Roman" w:hAnsi="Arial" w:cs="Arial"/>
          <w:b/>
          <w:bCs/>
          <w:sz w:val="15"/>
          <w:szCs w:val="15"/>
          <w:vertAlign w:val="superscript"/>
          <w:lang w:eastAsia="sr-Latn-RS"/>
        </w:rPr>
        <w:t>17</w:t>
      </w:r>
      <w:r w:rsidRPr="00984859">
        <w:rPr>
          <w:rFonts w:ascii="Arial" w:eastAsia="Times New Roman" w:hAnsi="Arial" w:cs="Arial"/>
          <w:lang w:eastAsia="sr-Latn-RS"/>
        </w:rPr>
        <w:t xml:space="preserve">. Ovde je važna </w:t>
      </w:r>
      <w:r w:rsidRPr="00984859">
        <w:rPr>
          <w:rFonts w:ascii="Arial" w:eastAsia="Times New Roman" w:hAnsi="Arial" w:cs="Arial"/>
          <w:lang w:eastAsia="sr-Latn-RS"/>
        </w:rPr>
        <w:lastRenderedPageBreak/>
        <w:t xml:space="preserve">preciznost procene srednje vrednosti kontrolnih odgovora kako bi se smanjila ukupna varijansa relativnog odgovora.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indeks i se odnosi na koncentraciju </w:t>
      </w:r>
      <w:r w:rsidRPr="00984859">
        <w:rPr>
          <w:rFonts w:ascii="Arial" w:eastAsia="Times New Roman" w:hAnsi="Arial" w:cs="Arial"/>
          <w:i/>
          <w:iCs/>
          <w:lang w:eastAsia="sr-Latn-RS"/>
        </w:rPr>
        <w:t>i</w:t>
      </w:r>
      <w:r w:rsidRPr="00984859">
        <w:rPr>
          <w:rFonts w:ascii="Arial" w:eastAsia="Times New Roman" w:hAnsi="Arial" w:cs="Arial"/>
          <w:lang w:eastAsia="sr-Latn-RS"/>
        </w:rPr>
        <w:t xml:space="preserve">, a indeks 0 na kontrolu.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Y</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 relativni odgovor = </w:t>
      </w:r>
      <w:r w:rsidRPr="00984859">
        <w:rPr>
          <w:rFonts w:ascii="Arial" w:eastAsia="Times New Roman" w:hAnsi="Arial" w:cs="Arial"/>
          <w:i/>
          <w:iCs/>
          <w:lang w:eastAsia="sr-Latn-RS"/>
        </w:rPr>
        <w:t>r</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w:t>
      </w:r>
      <w:r w:rsidRPr="00984859">
        <w:rPr>
          <w:rFonts w:ascii="Arial" w:eastAsia="Times New Roman" w:hAnsi="Arial" w:cs="Arial"/>
          <w:i/>
          <w:iCs/>
          <w:lang w:eastAsia="sr-Latn-RS"/>
        </w:rPr>
        <w:t>r</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1 - </w:t>
      </w:r>
      <w:r w:rsidRPr="00984859">
        <w:rPr>
          <w:rFonts w:ascii="Arial" w:eastAsia="Times New Roman" w:hAnsi="Arial" w:cs="Arial"/>
          <w:i/>
          <w:iCs/>
          <w:lang w:eastAsia="sr-Latn-RS"/>
        </w:rPr>
        <w:t>I</w:t>
      </w:r>
      <w:r w:rsidRPr="00984859">
        <w:rPr>
          <w:rFonts w:ascii="Arial" w:eastAsia="Times New Roman" w:hAnsi="Arial" w:cs="Arial"/>
          <w:lang w:eastAsia="sr-Latn-RS"/>
        </w:rPr>
        <w:t xml:space="preserve"> = </w:t>
      </w:r>
      <w:r w:rsidRPr="00984859">
        <w:rPr>
          <w:rFonts w:ascii="Symbol" w:eastAsia="Times New Roman" w:hAnsi="Symbol" w:cs="Arial"/>
          <w:i/>
          <w:iCs/>
          <w:lang w:eastAsia="sr-Latn-RS"/>
        </w:rPr>
        <w:t></w:t>
      </w:r>
      <w:r w:rsidRPr="00984859">
        <w:rPr>
          <w:rFonts w:ascii="Arial" w:eastAsia="Times New Roman" w:hAnsi="Arial" w:cs="Arial"/>
          <w:lang w:eastAsia="sr-Latn-RS"/>
        </w:rPr>
        <w:t>(</w:t>
      </w:r>
      <w:r w:rsidRPr="00984859">
        <w:rPr>
          <w:rFonts w:ascii="Arial" w:eastAsia="Times New Roman" w:hAnsi="Arial" w:cs="Arial"/>
          <w:i/>
          <w:iCs/>
          <w:lang w:eastAsia="sr-Latn-RS"/>
        </w:rPr>
        <w:t>C</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 varijansu: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Var(Y</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 = Var(r</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 xml:space="preserve"> / r</w:t>
      </w:r>
      <w:r w:rsidRPr="00984859">
        <w:rPr>
          <w:rFonts w:ascii="Arial" w:eastAsia="Times New Roman" w:hAnsi="Arial" w:cs="Arial"/>
          <w:i/>
          <w:iCs/>
          <w:sz w:val="15"/>
          <w:szCs w:val="15"/>
          <w:vertAlign w:val="subscript"/>
          <w:lang w:eastAsia="sr-Latn-RS"/>
        </w:rPr>
        <w:t>0</w:t>
      </w:r>
      <w:r w:rsidRPr="00984859">
        <w:rPr>
          <w:rFonts w:ascii="Arial" w:eastAsia="Times New Roman" w:hAnsi="Arial" w:cs="Arial"/>
          <w:i/>
          <w:iCs/>
          <w:lang w:eastAsia="sr-Latn-RS"/>
        </w:rPr>
        <w:t xml:space="preserve">) </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 (</w:t>
      </w:r>
      <w:r w:rsidRPr="00984859">
        <w:rPr>
          <w:rFonts w:ascii="Symbol" w:eastAsia="Times New Roman" w:hAnsi="Symbol" w:cs="Arial"/>
          <w:i/>
          <w:iCs/>
          <w:lang w:eastAsia="sr-Latn-RS"/>
        </w:rPr>
        <w:t></w:t>
      </w:r>
      <w:r w:rsidRPr="00984859">
        <w:rPr>
          <w:rFonts w:ascii="Arial" w:eastAsia="Times New Roman" w:hAnsi="Arial" w:cs="Arial"/>
          <w:i/>
          <w:iCs/>
          <w:lang w:eastAsia="sr-Latn-RS"/>
        </w:rPr>
        <w:t>Y</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 xml:space="preserve"> / </w:t>
      </w:r>
      <w:r w:rsidRPr="00984859">
        <w:rPr>
          <w:rFonts w:ascii="Symbol" w:eastAsia="Times New Roman" w:hAnsi="Symbol" w:cs="Arial"/>
          <w:i/>
          <w:iCs/>
          <w:lang w:eastAsia="sr-Latn-RS"/>
        </w:rPr>
        <w:t></w:t>
      </w:r>
      <w:r w:rsidRPr="00984859">
        <w:rPr>
          <w:rFonts w:ascii="Arial" w:eastAsia="Times New Roman" w:hAnsi="Arial" w:cs="Arial"/>
          <w:i/>
          <w:iCs/>
          <w:lang w:eastAsia="sr-Latn-RS"/>
        </w:rPr>
        <w:t>r</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w:t>
      </w:r>
      <w:r w:rsidRPr="00984859">
        <w:rPr>
          <w:rFonts w:ascii="Arial" w:eastAsia="Times New Roman" w:hAnsi="Arial" w:cs="Arial"/>
          <w:i/>
          <w:iCs/>
          <w:sz w:val="15"/>
          <w:szCs w:val="15"/>
          <w:vertAlign w:val="superscript"/>
          <w:lang w:eastAsia="sr-Latn-RS"/>
        </w:rPr>
        <w:t>2</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 Var(r</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 + (</w:t>
      </w:r>
      <w:r w:rsidRPr="00984859">
        <w:rPr>
          <w:rFonts w:ascii="Symbol" w:eastAsia="Times New Roman" w:hAnsi="Symbol" w:cs="Arial"/>
          <w:i/>
          <w:iCs/>
          <w:lang w:eastAsia="sr-Latn-RS"/>
        </w:rPr>
        <w:t></w:t>
      </w:r>
      <w:r w:rsidRPr="00984859">
        <w:rPr>
          <w:rFonts w:ascii="Arial" w:eastAsia="Times New Roman" w:hAnsi="Arial" w:cs="Arial"/>
          <w:i/>
          <w:iCs/>
          <w:lang w:eastAsia="sr-Latn-RS"/>
        </w:rPr>
        <w:t>Y</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 xml:space="preserve"> / </w:t>
      </w:r>
      <w:r w:rsidRPr="00984859">
        <w:rPr>
          <w:rFonts w:ascii="Symbol" w:eastAsia="Times New Roman" w:hAnsi="Symbol" w:cs="Arial"/>
          <w:i/>
          <w:iCs/>
          <w:lang w:eastAsia="sr-Latn-RS"/>
        </w:rPr>
        <w:t></w:t>
      </w:r>
      <w:r w:rsidRPr="00984859">
        <w:rPr>
          <w:rFonts w:ascii="Arial" w:eastAsia="Times New Roman" w:hAnsi="Arial" w:cs="Arial"/>
          <w:i/>
          <w:iCs/>
          <w:lang w:eastAsia="sr-Latn-RS"/>
        </w:rPr>
        <w:t>r</w:t>
      </w:r>
      <w:r w:rsidRPr="00984859">
        <w:rPr>
          <w:rFonts w:ascii="Arial" w:eastAsia="Times New Roman" w:hAnsi="Arial" w:cs="Arial"/>
          <w:i/>
          <w:iCs/>
          <w:sz w:val="15"/>
          <w:szCs w:val="15"/>
          <w:vertAlign w:val="subscript"/>
          <w:lang w:eastAsia="sr-Latn-RS"/>
        </w:rPr>
        <w:t>0</w:t>
      </w:r>
      <w:r w:rsidRPr="00984859">
        <w:rPr>
          <w:rFonts w:ascii="Arial" w:eastAsia="Times New Roman" w:hAnsi="Arial" w:cs="Arial"/>
          <w:i/>
          <w:iCs/>
          <w:lang w:eastAsia="sr-Latn-RS"/>
        </w:rPr>
        <w:t>)</w:t>
      </w:r>
      <w:r w:rsidRPr="00984859">
        <w:rPr>
          <w:rFonts w:ascii="Arial" w:eastAsia="Times New Roman" w:hAnsi="Arial" w:cs="Arial"/>
          <w:i/>
          <w:iCs/>
          <w:sz w:val="15"/>
          <w:szCs w:val="15"/>
          <w:vertAlign w:val="superscript"/>
          <w:lang w:eastAsia="sr-Latn-RS"/>
        </w:rPr>
        <w:t>2</w:t>
      </w:r>
      <w:r w:rsidRPr="00984859">
        <w:rPr>
          <w:rFonts w:ascii="Arial" w:eastAsia="Times New Roman" w:hAnsi="Arial" w:cs="Arial"/>
          <w:i/>
          <w:iCs/>
          <w:lang w:eastAsia="sr-Latn-RS"/>
        </w:rPr>
        <w:t xml:space="preserve"> x Var(r</w:t>
      </w:r>
      <w:r w:rsidRPr="00984859">
        <w:rPr>
          <w:rFonts w:ascii="Arial" w:eastAsia="Times New Roman" w:hAnsi="Arial" w:cs="Arial"/>
          <w:i/>
          <w:iCs/>
          <w:sz w:val="15"/>
          <w:szCs w:val="15"/>
          <w:vertAlign w:val="subscript"/>
          <w:lang w:eastAsia="sr-Latn-RS"/>
        </w:rPr>
        <w:t>0</w:t>
      </w:r>
      <w:r w:rsidRPr="00984859">
        <w:rPr>
          <w:rFonts w:ascii="Arial" w:eastAsia="Times New Roman" w:hAnsi="Arial" w:cs="Arial"/>
          <w:i/>
          <w:iCs/>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budući da 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w:t>
      </w:r>
      <w:r w:rsidRPr="00984859">
        <w:rPr>
          <w:rFonts w:ascii="Symbol" w:eastAsia="Times New Roman" w:hAnsi="Symbol" w:cs="Arial"/>
          <w:lang w:eastAsia="sr-Latn-RS"/>
        </w:rPr>
        <w:t></w:t>
      </w:r>
      <w:r w:rsidRPr="00984859">
        <w:rPr>
          <w:rFonts w:ascii="Arial" w:eastAsia="Times New Roman" w:hAnsi="Arial" w:cs="Arial"/>
          <w:lang w:eastAsia="sr-Latn-RS"/>
        </w:rPr>
        <w:t>Y</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 </w:t>
      </w:r>
      <w:r w:rsidRPr="00984859">
        <w:rPr>
          <w:rFonts w:ascii="Symbol" w:eastAsia="Times New Roman" w:hAnsi="Symbol" w:cs="Arial"/>
          <w:lang w:eastAsia="sr-Latn-RS"/>
        </w:rPr>
        <w:t></w:t>
      </w: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 1 / r</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i (</w:t>
      </w:r>
      <w:r w:rsidRPr="00984859">
        <w:rPr>
          <w:rFonts w:ascii="Symbol" w:eastAsia="Times New Roman" w:hAnsi="Symbol" w:cs="Arial"/>
          <w:lang w:eastAsia="sr-Latn-RS"/>
        </w:rPr>
        <w:t></w:t>
      </w:r>
      <w:r w:rsidRPr="00984859">
        <w:rPr>
          <w:rFonts w:ascii="Arial" w:eastAsia="Times New Roman" w:hAnsi="Arial" w:cs="Arial"/>
          <w:lang w:eastAsia="sr-Latn-RS"/>
        </w:rPr>
        <w:t>Y</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 </w:t>
      </w:r>
      <w:r w:rsidRPr="00984859">
        <w:rPr>
          <w:rFonts w:ascii="Symbol" w:eastAsia="Times New Roman" w:hAnsi="Symbol" w:cs="Arial"/>
          <w:lang w:eastAsia="sr-Latn-RS"/>
        </w:rPr>
        <w:t></w:t>
      </w: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 r</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 r</w:t>
      </w:r>
      <w:r w:rsidRPr="00984859">
        <w:rPr>
          <w:rFonts w:ascii="Arial" w:eastAsia="Times New Roman" w:hAnsi="Arial" w:cs="Arial"/>
          <w:sz w:val="15"/>
          <w:szCs w:val="15"/>
          <w:vertAlign w:val="subscript"/>
          <w:lang w:eastAsia="sr-Latn-RS"/>
        </w:rPr>
        <w:t>0</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uz normalnu raspodelu podataka i ponavljanja m</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 m</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Var(r</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 = σ</w:t>
      </w:r>
      <w:r w:rsidRPr="00984859">
        <w:rPr>
          <w:rFonts w:ascii="Arial" w:eastAsia="Times New Roman" w:hAnsi="Arial" w:cs="Arial"/>
          <w:i/>
          <w:iCs/>
          <w:sz w:val="15"/>
          <w:szCs w:val="15"/>
          <w:vertAlign w:val="superscript"/>
          <w:lang w:eastAsia="sr-Latn-RS"/>
        </w:rPr>
        <w:t>2</w:t>
      </w:r>
      <w:r w:rsidRPr="00984859">
        <w:rPr>
          <w:rFonts w:ascii="Arial" w:eastAsia="Times New Roman" w:hAnsi="Arial" w:cs="Arial"/>
          <w:i/>
          <w:iCs/>
          <w:lang w:eastAsia="sr-Latn-RS"/>
        </w:rPr>
        <w:t>/m</w:t>
      </w:r>
      <w:r w:rsidRPr="00984859">
        <w:rPr>
          <w:rFonts w:ascii="Arial" w:eastAsia="Times New Roman" w:hAnsi="Arial" w:cs="Arial"/>
          <w:i/>
          <w:iCs/>
          <w:sz w:val="15"/>
          <w:szCs w:val="15"/>
          <w:vertAlign w:val="subscript"/>
          <w:lang w:eastAsia="sr-Latn-RS"/>
        </w:rPr>
        <w:t>i</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varijansa relativnog odgovora </w:t>
      </w:r>
      <w:r w:rsidRPr="00984859">
        <w:rPr>
          <w:rFonts w:ascii="Arial" w:eastAsia="Times New Roman" w:hAnsi="Arial" w:cs="Arial"/>
          <w:i/>
          <w:iCs/>
          <w:lang w:eastAsia="sr-Latn-RS"/>
        </w:rPr>
        <w:t>Y</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 prema tome: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Var(Y</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 = σ</w:t>
      </w:r>
      <w:r w:rsidRPr="00984859">
        <w:rPr>
          <w:rFonts w:ascii="Arial" w:eastAsia="Times New Roman" w:hAnsi="Arial" w:cs="Arial"/>
          <w:i/>
          <w:iCs/>
          <w:sz w:val="15"/>
          <w:szCs w:val="15"/>
          <w:vertAlign w:val="superscript"/>
          <w:lang w:eastAsia="sr-Latn-RS"/>
        </w:rPr>
        <w:t>2</w:t>
      </w:r>
      <w:r w:rsidRPr="00984859">
        <w:rPr>
          <w:rFonts w:ascii="Arial" w:eastAsia="Times New Roman" w:hAnsi="Arial" w:cs="Arial"/>
          <w:i/>
          <w:iCs/>
          <w:lang w:eastAsia="sr-Latn-RS"/>
        </w:rPr>
        <w:t>/(r</w:t>
      </w:r>
      <w:r w:rsidRPr="00984859">
        <w:rPr>
          <w:rFonts w:ascii="Arial" w:eastAsia="Times New Roman" w:hAnsi="Arial" w:cs="Arial"/>
          <w:i/>
          <w:iCs/>
          <w:sz w:val="15"/>
          <w:szCs w:val="15"/>
          <w:vertAlign w:val="subscript"/>
          <w:lang w:eastAsia="sr-Latn-RS"/>
        </w:rPr>
        <w:t>0</w:t>
      </w:r>
      <w:r w:rsidRPr="00984859">
        <w:rPr>
          <w:rFonts w:ascii="Arial" w:eastAsia="Times New Roman" w:hAnsi="Arial" w:cs="Arial"/>
          <w:i/>
          <w:iCs/>
          <w:sz w:val="15"/>
          <w:szCs w:val="15"/>
          <w:vertAlign w:val="superscript"/>
          <w:lang w:eastAsia="sr-Latn-RS"/>
        </w:rPr>
        <w:t>2</w:t>
      </w:r>
      <w:r w:rsidRPr="00984859">
        <w:rPr>
          <w:rFonts w:ascii="Arial" w:eastAsia="Times New Roman" w:hAnsi="Arial" w:cs="Arial"/>
          <w:i/>
          <w:iCs/>
          <w:lang w:eastAsia="sr-Latn-RS"/>
        </w:rPr>
        <w:t xml:space="preserve"> m</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)+r</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sz w:val="15"/>
          <w:szCs w:val="15"/>
          <w:vertAlign w:val="superscript"/>
          <w:lang w:eastAsia="sr-Latn-RS"/>
        </w:rPr>
        <w:t>2</w:t>
      </w:r>
      <w:r w:rsidRPr="00984859">
        <w:rPr>
          <w:rFonts w:ascii="Arial" w:eastAsia="Times New Roman" w:hAnsi="Arial" w:cs="Arial"/>
          <w:i/>
          <w:iCs/>
          <w:lang w:eastAsia="sr-Latn-RS"/>
        </w:rPr>
        <w:t xml:space="preserve"> x σ</w:t>
      </w:r>
      <w:r w:rsidRPr="00984859">
        <w:rPr>
          <w:rFonts w:ascii="Arial" w:eastAsia="Times New Roman" w:hAnsi="Arial" w:cs="Arial"/>
          <w:i/>
          <w:iCs/>
          <w:sz w:val="15"/>
          <w:szCs w:val="15"/>
          <w:vertAlign w:val="superscript"/>
          <w:lang w:eastAsia="sr-Latn-RS"/>
        </w:rPr>
        <w:t>2</w:t>
      </w:r>
      <w:r w:rsidRPr="00984859">
        <w:rPr>
          <w:rFonts w:ascii="Arial" w:eastAsia="Times New Roman" w:hAnsi="Arial" w:cs="Arial"/>
          <w:i/>
          <w:iCs/>
          <w:lang w:eastAsia="sr-Latn-RS"/>
        </w:rPr>
        <w:t>/r</w:t>
      </w:r>
      <w:r w:rsidRPr="00984859">
        <w:rPr>
          <w:rFonts w:ascii="Arial" w:eastAsia="Times New Roman" w:hAnsi="Arial" w:cs="Arial"/>
          <w:i/>
          <w:iCs/>
          <w:sz w:val="15"/>
          <w:szCs w:val="15"/>
          <w:vertAlign w:val="subscript"/>
          <w:lang w:eastAsia="sr-Latn-RS"/>
        </w:rPr>
        <w:t>o</w:t>
      </w:r>
      <w:r w:rsidRPr="00984859">
        <w:rPr>
          <w:rFonts w:ascii="Arial" w:eastAsia="Times New Roman" w:hAnsi="Arial" w:cs="Arial"/>
          <w:i/>
          <w:iCs/>
          <w:sz w:val="15"/>
          <w:szCs w:val="15"/>
          <w:vertAlign w:val="superscript"/>
          <w:lang w:eastAsia="sr-Latn-RS"/>
        </w:rPr>
        <w:t>4</w:t>
      </w:r>
      <w:r w:rsidRPr="00984859">
        <w:rPr>
          <w:rFonts w:ascii="Arial" w:eastAsia="Times New Roman" w:hAnsi="Arial" w:cs="Arial"/>
          <w:i/>
          <w:iCs/>
          <w:lang w:eastAsia="sr-Latn-RS"/>
        </w:rPr>
        <w:t xml:space="preserve"> m</w:t>
      </w:r>
      <w:r w:rsidRPr="00984859">
        <w:rPr>
          <w:rFonts w:ascii="Arial" w:eastAsia="Times New Roman" w:hAnsi="Arial" w:cs="Arial"/>
          <w:i/>
          <w:iCs/>
          <w:sz w:val="15"/>
          <w:szCs w:val="15"/>
          <w:vertAlign w:val="subscript"/>
          <w:lang w:eastAsia="sr-Latn-RS"/>
        </w:rPr>
        <w:t>0</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Greška srednje kontrolne vrednosti je obrnuto proporcionalna kvadratnom korenu broja prosečnih kontrolnih ponavljanja i stoga je ponekad opravdano uključiti podatke iz ranijih ispitivanja, čime se može znatno smanjiti greška. Alternativni postupak je da se umesto normiranja podataka i prilagođavanja apsolutnih odgovora uključujući podatke o kontrolnim odgovorima, kontrolni odgovor uvede kao dodatni parametar koji se prilagođava nelinearnom regresijom. Ova metoda uz uobičajenu jednačinu regresije sa 2 parametra zahteva prilagođavanje 3 parametra, tako da je potrebno više tačaka podataka nego što je to slučaj kod nelinearne regresije podataka normiranih korišćenjem unapred definisanog kontrolnog odgovora.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Inverzni intervali pouzdanosti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Izračunavanje intervala poverenja nelinearne regresije inverznom procenom je prilično složeno i ne predstavlja standardnu opciju u uobičajenim statističkim računarskim programskim paketima. Približne granice pouzdanosti mogu se dobiti standardnim programima nelinearne regresije sa reparametrizacijom (Brus i Versteeg, 1992), što podrazumeva preradu matematičke jednačine tako da se na mesto parametara za procenu uvrste željene procene tačaka, npr.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i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(Ako je funkcija I = </w:t>
      </w:r>
      <w:r w:rsidRPr="00984859">
        <w:rPr>
          <w:rFonts w:ascii="Arial" w:eastAsia="Times New Roman" w:hAnsi="Arial" w:cs="Arial"/>
          <w:i/>
          <w:iCs/>
          <w:lang w:eastAsia="sr-Latn-RS"/>
        </w:rPr>
        <w:t>f</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α, β</w:t>
      </w:r>
      <w:r w:rsidRPr="00984859">
        <w:rPr>
          <w:rFonts w:ascii="Arial" w:eastAsia="Times New Roman" w:hAnsi="Arial" w:cs="Arial"/>
          <w:lang w:eastAsia="sr-Latn-RS"/>
        </w:rPr>
        <w:t xml:space="preserve">, koncentracija), funkciju </w:t>
      </w:r>
      <w:r w:rsidRPr="00984859">
        <w:rPr>
          <w:rFonts w:ascii="Arial" w:eastAsia="Times New Roman" w:hAnsi="Arial" w:cs="Arial"/>
          <w:i/>
          <w:iCs/>
          <w:lang w:eastAsia="sr-Latn-RS"/>
        </w:rPr>
        <w:t>f</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α, β</w:t>
      </w:r>
      <w:r w:rsidRPr="00984859">
        <w:rPr>
          <w:rFonts w:ascii="Arial" w:eastAsia="Times New Roman" w:hAnsi="Arial" w:cs="Arial"/>
          <w:lang w:eastAsia="sr-Latn-RS"/>
        </w:rPr>
        <w:t>, koncentracija) zameniti identičnom funkcijom g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koncentracija), koristeći definicijske odnose </w:t>
      </w:r>
      <w:r w:rsidRPr="00984859">
        <w:rPr>
          <w:rFonts w:ascii="Arial" w:eastAsia="Times New Roman" w:hAnsi="Arial" w:cs="Arial"/>
          <w:i/>
          <w:iCs/>
          <w:lang w:eastAsia="sr-Latn-RS"/>
        </w:rPr>
        <w:t>f</w:t>
      </w:r>
      <w:r w:rsidRPr="00984859">
        <w:rPr>
          <w:rFonts w:ascii="Arial" w:eastAsia="Times New Roman" w:hAnsi="Arial" w:cs="Arial"/>
          <w:lang w:eastAsia="sr-Latn-RS"/>
        </w:rPr>
        <w:t xml:space="preserve"> (α</w:t>
      </w:r>
      <w:r w:rsidRPr="00984859">
        <w:rPr>
          <w:rFonts w:ascii="Arial" w:eastAsia="Times New Roman" w:hAnsi="Arial" w:cs="Arial"/>
          <w:i/>
          <w:iCs/>
          <w:lang w:eastAsia="sr-Latn-RS"/>
        </w:rPr>
        <w:t>, β</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 0,1 and </w:t>
      </w:r>
      <w:r w:rsidRPr="00984859">
        <w:rPr>
          <w:rFonts w:ascii="Arial" w:eastAsia="Times New Roman" w:hAnsi="Arial" w:cs="Arial"/>
          <w:i/>
          <w:iCs/>
          <w:lang w:eastAsia="sr-Latn-RS"/>
        </w:rPr>
        <w:t>f</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α, β</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5</w:t>
      </w:r>
      <w:r w:rsidRPr="00984859">
        <w:rPr>
          <w:rFonts w:ascii="Arial" w:eastAsia="Times New Roman" w:hAnsi="Arial" w:cs="Arial"/>
          <w:lang w:eastAsia="sr-Latn-RS"/>
        </w:rPr>
        <w:t xml:space="preserve">0) = 0,5.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Direktnije izračunavanje dobija se ako se zadrži izvorna jednačina i upotrebi Tejlorov razvoj oko srednjih vrednosti </w:t>
      </w:r>
      <w:r w:rsidRPr="00984859">
        <w:rPr>
          <w:rFonts w:ascii="Arial" w:eastAsia="Times New Roman" w:hAnsi="Arial" w:cs="Arial"/>
          <w:i/>
          <w:iCs/>
          <w:lang w:eastAsia="sr-Latn-RS"/>
        </w:rPr>
        <w:t>r</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r</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poslednje vreme postale su popularne metode ponovnog uzorkovanja sa ponavljanjem ("bootstrap" metode). Te metode uključuju procenu empirijske raspodele varijanse na osnovu izmerenih podataka i učestalog uzorkovanja primenom generatora slučajnih brojeva.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 Kooijman, S.A.L.M.; Hanstveit, A.O.; Nyholm, N. (1996): No-effect concentrations in algal growth inhibition tests. Water Research, 30, 1625-1632.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Bruce, R.D. and Versteeg, D.J.(1992) A Statistical Procedure for Modelling Continuous Ecotoxicity Data. Env. Toxicol. Chem.11, 1485-1494.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Andersen, J.S., Holst, H., Spliid, H., Andersen, H., Baun, A. &amp; Nyholm, N. (1998): Continuous ecotoxicological data evaluated relative to a control response. Journal of Agricultural, Biological and Environmental Statistics, 3, 405-420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C.4. ODREĐIVANJE BRZE BIORAZGRADLJIVOSTI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OPŠTA RAZMATRANJA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trijažu hemikalija prema brzoj biorazgradljivosti u aerobnom vodenom medijumu koriste se sledeće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Nestajanje DOC (Metoda C.4-A);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Modifikovana OECD trijaža - Nestajanje DOC (Metoda C.4-B);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Razvijanje metode C.4-B (Modifikovani Sturm test) (Metoda C.4-C);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Manometrijska respirometrija (Metoda C.4-D);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Ispitivanje u zatvorenoj boci (Metoda C.4-E);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MITI ispitivanje (Metoda C.4-F).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Opšta i zajednička razmatranja svih šest metoda data su u odeljku 1. U odeljku 2. do 7. dati su posebni detalji za pojedine metode. Prilozi sadrže definicije, formule i uputstva.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Međulaboratorijsko poređenje, koje je 1988. godine sproveo OECD, pokazalo je da metode daju postojane rezultate. Zavisno od fizičkih svojstava ispitivane hemikalije, prioritet ima jedna ili druga metoda.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Rastvoreni kiseonik (Dissolved Oxygen, u daljem tekstu: DO) jeste koncentracija kiseonika rastvorenog u uzorku vode, izražava se u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Biohemijska potrošnja kiseonika (u daljem tekstu: BPK) jeste količina kiseonika koju utroše mikroorganizmi pri razgradnji ispitivanog jedinjenja, izražava se u gramima. BPK se takođe izražava kao gram potrošenog kiseonika po gramu ispitivanog jedinjenja (videti Metodu C.5. koja je data u ovom prilogu).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Hemijska potrošnja kiseonika (u daljem tekstu: HPK) jeste količina kiseonika potrošenog u toku oksidacije ispitivanog jedinjenja sa vrućim, kiselim bihromatom; daje meru količine </w:t>
      </w:r>
      <w:r w:rsidRPr="00984859">
        <w:rPr>
          <w:rFonts w:ascii="Arial" w:eastAsia="Times New Roman" w:hAnsi="Arial" w:cs="Arial"/>
          <w:lang w:eastAsia="sr-Latn-RS"/>
        </w:rPr>
        <w:lastRenderedPageBreak/>
        <w:t xml:space="preserve">prisutne supstance koja oksidiše. Izražava se u gramima, i kao gram kiseonika potrošenog po gramu ispitivanog jedinjenja.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Rastvoreni organski ugljenik (Dissolved Organic Carbon, u daljem tekstu: DOC) jeste organski ugljenik prisutan u rastvoru ili onaj koji prolazi kroz 0,45 </w:t>
      </w:r>
      <w:r w:rsidRPr="00984859">
        <w:rPr>
          <w:rFonts w:ascii="Arial" w:eastAsia="Times New Roman" w:hAnsi="Arial" w:cs="Arial"/>
          <w:i/>
          <w:iCs/>
          <w:lang w:eastAsia="sr-Latn-RS"/>
        </w:rPr>
        <w:t>µ</w:t>
      </w:r>
      <w:r w:rsidRPr="00984859">
        <w:rPr>
          <w:rFonts w:ascii="Arial" w:eastAsia="Times New Roman" w:hAnsi="Arial" w:cs="Arial"/>
          <w:lang w:eastAsia="sr-Latn-RS"/>
        </w:rPr>
        <w:t xml:space="preserve"> filter ili ostaje u supernatantu nakon centrifugiranja na 40.000 m/s</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 4000 g) u toku 15 minuta.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Teoretska potrošnja kiseonika (Theoretical Oxygen Demand, u daljem tekstu: ThOD) jeste ukupna količina kiseonika (u mg) potrebna da se hemikalija potpuno oksidiše. Izračunava se iz molekulske formule (videti odeljak 2.2. ove metode) i takođe se izražava u mg potrebnog kiseonika po mg ispitivanog jedinjenja.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Teoretski ugljen-dioksid (Theoretical Carbon Dioxide, u daljem tekstu: ThC.4-B) jeste izračunata količina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mg), koja nastaje iz poznatog ili izmerenog sadržaja ugljenika u ispitivanom jedinjenju, kada se ono u potpunosti mineralizuje; takođe se izražava u mg ugljen-dioksida po mg ispitivanog jedinjenja.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organski ugljenik (Total Organic Carbon, u daljem tekstu: TOC) uzorka jeste suma organskog ugljenika u rastvoru i onog u suspenziji.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IC (Inorganic Carbon) jeste neorganski ugljenik.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ugljenik (Total Carbon, u daljem tekstu: TC) jeste suma organskog i neorganskog ugljenika prisutnog u uzorku.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MITI (Ministry Of International Trade And Industry, Japan) jeste Ministarstvo međunarodne trgovine i industrije Japana.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Primarna biorazgradnja jeste promena u hemijskoj strukturi supstance izazvana biološkim delovanjem, koja dovodi do gubitka specifičnog svojstva te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Potpuna biorazgradnja (aerobna) jeste nivo razgradnje koji se postiže kada ispitivano jedinjenje u potpunosti iskoriste mikroorganizmi, pri čemu nastaju ugljen-dioksid, voda, mineralne soli i nove ćelijske strukture (biomase).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Brzo biorazgradljiva supstanca jeste arbitrarna klasifikacija hemikalija koje su prošle određene specifične skrining testove za potpunu biorazgradljivost. Ovi testovi su toliko striktni da se smatra da se takva jedinjenja brzo i potpuno biorazgrađuju u vodenoj životnoj sredini pri aerobnim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Inherentno biorazgradljiva supstanca jeste klasifikacija hemikalija za koje, na osnovu ispitivanja biorazgradljivosti, postoji nedvosmislen dokaz da podležu biorazgradnji (primarnoj ili potpunoj).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Uklonjivost jeste podložnost jedinjenja uklanjanju putem biološkog prečišćavanja otpadnih voda, bez negativnog uticaja na uobičajeni proces obrade otpadnih voda. Brzo biorazgradljiva jedinjenja se mogu ukloniti, ali ne i sva inherentno biorazgradljiva jedinjenja. Procesu uklanjanja mogu doprineti i abiotički procesi.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kašnjenja jeste vreme od inokulacije, u ispitivanju nestanka, pa do momenta kada razgradnja dostigne nivo od najmanje 10%. Vreme kašnjenja veoma često varira i teško se reprodukuje.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Vreme razgradnje nastupa nakon vremena kašnjenja i traje do momenta kada se dostigne 90% od maksimalnog nivoa razgradnje.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Desetodnevni period je period od 10 dana koji nastupa odmah pošto se dostigne nivo razgradnje od 10%.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IZBOR ODGOVARAJUĆE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izbor najprikladnije metode, neophodni su podaci o rastvorljivosti, naponu pare i adsorpcionim svojstvima hemikalije. Treba poznavati hemijsku strukturu ili formulu da bi se izračunale teoretske vrednosti, odnosno proveriti izmerene vrednosti parametara, npr. ThOD, ThC.4-B, DOC, TOC i HPK (videti Deo drugi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Hemikalije čija rastvorljivost nije niža od 100 mg/l mogu se ispitivati svim metodama ako nisu isparljive i ako se ne adsorbuju. Za one hemikalije koje su slabo rastvorljive u vodi, isparljive ili se adsorbuju, pogodne metode su naznačene u Tabeli 1. Mogući načini postupanja sa hemikalijama koje su slabo rastvorljive u vodi i koje su isparljive opisan je u Delu trećem ove metode. Srednje isparljive hemikalije mogu se ispitati pomoću metode Nestajanje DOC(Metoda C.4-A), ako u ispitivanim posudama (koje treba da budu adekvatno zapušene) ima dovoljno prostora za gas. U ovom slučaju, obavezno se postavlja abiotička kontrola kako bi se uzeo u obzir i bilo kakav fizički gubitak.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Primenljivost metoda ispitivanja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117"/>
        <w:gridCol w:w="2230"/>
        <w:gridCol w:w="1842"/>
        <w:gridCol w:w="916"/>
        <w:gridCol w:w="1027"/>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ispitivanja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Analitička metoda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Prikladnost za supstance: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koje su slabo rastvorljive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koje su </w:t>
            </w:r>
            <w:r w:rsidRPr="00984859">
              <w:rPr>
                <w:rFonts w:ascii="Arial" w:eastAsia="Times New Roman" w:hAnsi="Arial" w:cs="Arial"/>
                <w:lang w:eastAsia="sr-Latn-RS"/>
              </w:rPr>
              <w:br/>
              <w:t xml:space="preserve">isparljive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koje se </w:t>
            </w:r>
            <w:r w:rsidRPr="00984859">
              <w:rPr>
                <w:rFonts w:ascii="Arial" w:eastAsia="Times New Roman" w:hAnsi="Arial" w:cs="Arial"/>
                <w:lang w:eastAsia="sr-Latn-RS"/>
              </w:rPr>
              <w:br/>
              <w:t>adsorbuju</w:t>
            </w:r>
            <w:r w:rsidRPr="00984859">
              <w:rPr>
                <w:rFonts w:ascii="Arial" w:eastAsia="Times New Roman" w:hAnsi="Arial" w:cs="Arial"/>
                <w:sz w:val="20"/>
                <w:szCs w:val="20"/>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Nestajanje DOC</w:t>
            </w:r>
            <w:r w:rsidRPr="00984859">
              <w:rPr>
                <w:rFonts w:ascii="Arial" w:eastAsia="Times New Roman" w:hAnsi="Arial" w:cs="Arial"/>
                <w:lang w:eastAsia="sr-Latn-RS"/>
              </w:rPr>
              <w:br/>
              <w:t xml:space="preserve">(Metoda C.4-A)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Rastvoreni organski ugljenik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Modifikovana OECD trijaža - Nestajanje DOC</w:t>
            </w:r>
            <w:r w:rsidRPr="00984859">
              <w:rPr>
                <w:rFonts w:ascii="Arial" w:eastAsia="Times New Roman" w:hAnsi="Arial" w:cs="Arial"/>
                <w:lang w:eastAsia="sr-Latn-RS"/>
              </w:rPr>
              <w:br/>
              <w:t xml:space="preserve">(Metoda C.4-B)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Rastvoreni organski ugljenik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Razvijanje C.4-B</w:t>
            </w:r>
            <w:r w:rsidRPr="00984859">
              <w:rPr>
                <w:rFonts w:ascii="Arial" w:eastAsia="Times New Roman" w:hAnsi="Arial" w:cs="Arial"/>
                <w:lang w:eastAsia="sr-Latn-RS"/>
              </w:rPr>
              <w:br/>
              <w:t xml:space="preserve">(Metoda C.4-C)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Respirometrija:</w:t>
            </w:r>
            <w:r w:rsidRPr="00984859">
              <w:rPr>
                <w:rFonts w:ascii="Arial" w:eastAsia="Times New Roman" w:hAnsi="Arial" w:cs="Arial"/>
                <w:lang w:eastAsia="sr-Latn-RS"/>
              </w:rPr>
              <w:br/>
              <w:t xml:space="preserve">razvijanje C.4-B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Manometrijska respirometrija</w:t>
            </w:r>
            <w:r w:rsidRPr="00984859">
              <w:rPr>
                <w:rFonts w:ascii="Arial" w:eastAsia="Times New Roman" w:hAnsi="Arial" w:cs="Arial"/>
                <w:lang w:eastAsia="sr-Latn-RS"/>
              </w:rPr>
              <w:br/>
              <w:t xml:space="preserve">(Metoda C.4-D)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Man. respirometrija:</w:t>
            </w:r>
            <w:r w:rsidRPr="00984859">
              <w:rPr>
                <w:rFonts w:ascii="Arial" w:eastAsia="Times New Roman" w:hAnsi="Arial" w:cs="Arial"/>
                <w:lang w:eastAsia="sr-Latn-RS"/>
              </w:rPr>
              <w:br/>
              <w:t xml:space="preserve">potrošnja kiseonika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u zatvorenoj boci (Metoda C.4-E)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Respirometrija:</w:t>
            </w:r>
            <w:r w:rsidRPr="00984859">
              <w:rPr>
                <w:rFonts w:ascii="Arial" w:eastAsia="Times New Roman" w:hAnsi="Arial" w:cs="Arial"/>
                <w:lang w:eastAsia="sr-Latn-RS"/>
              </w:rPr>
              <w:br/>
              <w:t xml:space="preserve">rastvoreni kiseonik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MITI ispitivanje </w:t>
            </w:r>
            <w:r w:rsidRPr="00984859">
              <w:rPr>
                <w:rFonts w:ascii="Arial" w:eastAsia="Times New Roman" w:hAnsi="Arial" w:cs="Arial"/>
                <w:lang w:eastAsia="sr-Latn-RS"/>
              </w:rPr>
              <w:br/>
              <w:t xml:space="preserve">(Metoda C.4-F)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Respirometrija:</w:t>
            </w:r>
            <w:r w:rsidRPr="00984859">
              <w:rPr>
                <w:rFonts w:ascii="Arial" w:eastAsia="Times New Roman" w:hAnsi="Arial" w:cs="Arial"/>
                <w:lang w:eastAsia="sr-Latn-RS"/>
              </w:rPr>
              <w:br/>
              <w:t xml:space="preserve">potrošnja kiseonika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tumačenje dobijenih rezultata neophodni su podaci o stepenu čistoće ili relativnom udelu glavnih sastojaka ispitivanog materijala, posebno kad su vrednosti rezultata niske ili granične.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o toksičnom dejstvu ispitivane hemikalije na bakterije (videti Deo četvrti ove metode) mogu biti vrlo korisni pri izboru prikladnih koncentracija za ispitivanje. Navedeni podaci mogu biti od suštinske važnosti za ispravno tumačenje niskih vrednosti biorazgradnje.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REFERENTE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proveru postupka ispituju se referentne hemikalije koje ispunjavaju kriterijume brze biorazgradljivosti i to tako što se uporedo sa ispitivanim postave i posude sa referentnom supstancom.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Podesne hemikalije su anilin (sveže destilovan), natrijum acetat i natrijum benzoat. Referentne hemikalije razgrađuju se primenom ovih metoda čak i kad namerno nije dodat nikakav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Sugerisano je da treba tražiti referentnu hemikaliju koja je brzo biorazgradljiva, ali zahteva dodavanje inokuluma. Predložen je kalijum hidrogen-ftalat, ali je neophodno da se pribavi još dokaza za ovu supstancu pre nego što se ona prihvati kao referentna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respirometrijskim ispitivanjima, jedinjenja koji sadrže azot mogu uticati na potrošnju kiseonika usled nitrifikacije (videti Deo drugi i peti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 ili suspenzija ispitivane supstance u mineralnoj podlozi inokuliše se i inkubira u aerobnim uslovima u mraku ili pod difuznim osvetljenjem. Količina DOC u ispitivanom rastvoru koja je poreklom iz inokuluma je što niža u poređenju sa količinom DOC iz ispitivane supstance. Računa se i na endogenu aktivnost inokuluma. Uporedo se postavlja slepa proba sa inokulumom, ali bez ispitivane supstance, iako se endogena aktivnost ćelija u prisustvu supstance ne poklapa sa onom u endogenoj kontroli. Uporedo se ispituje i referentna supstanca, kako bi se proverilo izvođenje samog postupka.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razgradnje sledi određivanje parametara poput DOC, produkcija C.4-B i potrošnja kiseonika, a merenja se sprovode u dovoljno čestim vremenskim intervalima kako bi se omogućilo utvrđivanje početka i kraja biorazgradnje. Merenje se sprovodi kontinuirano automatskim respirometrima. DOC se ponekad meri uporedo sa nekim drugim parametrom, i to na početku ili na kraju ispitivanja. Procena primarne razgradnje ispitivane supstance, kao i utvrđivanje koncentracija međuproizvoda koji mogu nastati, može se utvrditi pomoću specifične hemijske analize (obavezno u MITI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obično traje 28 dana. Ispitivanje se može završiti i pre isteka 28 dana, odnosno čim kriva biorazgradnje dostigne plato u najmanje tri određivanja. Ispitivanje se može produžiti posle 28 dana kada se po krivoj može videti da je biorazgradnja započeta, ali plato nije dostignut 28. dana.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KRITERIJUMI KVALITETA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Ponovljivost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Zbog prirode biorazgradnje i mešanih populacija bakterija koje se koriste kao inokulumi, ispitivanje se sprovodi najmanje u duplikatu.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Što je veća početna koncentracija mikroorganizama koja se prvobitno dodaje u ispitivanu podlogu, to je manje odstupanje između replika. Međulaboratorijska ispitivanja su pokazala da mogu postojati velika odstupanja među rezultatima dobijenih u različitim laboratorijama, mada se dobro slaganje obično postiže sa lako biorazgradljivim jedinjenjima.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Prihvatljivost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Ispitivanje se smatra validnim ukoliko na kraju ispitivanja ili na kraju 10-dnevnog perioda, zavisno od slučaja, razlika između krajnjih vrednosti, dobijenih pri dostizanju platoa razgradnje ispitivane supstance u ponovljenim ispitivanjima, iznosi manje od 20% i ako je procenat razgradnje referentne supstance dostigao nivo za brzu biorazgradljivosti od 14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ni jedan od ovih uslova nije ispunjen, ispitivanje se ponavlja. Usled isključivosti metode, niske vrednosti nužno ne znače da ispitivana supstanca nije biorazgradljiva u uslovima životne sredine, ali ukazuju da je potrebno još rada da se ustanovi biorazgradljivost.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u ispitivanju toksičnosti, koje uključuje i ispitivanu supstancu i referentnu hemikaliju, desi manje od 35% razgradnje (na osnovu DOC) ili manje od 25% (na osnovu ThOD ili ThC.4-B) u roku od 14 dana, za ispitivanu hemikaliju se može pretpostaviti da je inhibitorna (videti Deo četvrti ove metode). Serije ispitivanja se ponavljaju, ako je moguće korišćenjem niže koncentracije ispitivane hemikalije, odnosno više koncentracije inokuluma, ali ne više od 30 mg/l čvrste faze.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OPŠTE PROCEDURE I PREPARATI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Opšti uslovi koji se primenjuju u ispitivanjima navedeni su u Tabeli 2. Oprema i drugi uslovi ispitivanja specifični za svaku pojedinu metodu ispitivanja navedeni su u kod opisa konkretne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2: Uslovi u toku ispitivanja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759"/>
        <w:gridCol w:w="1154"/>
        <w:gridCol w:w="1136"/>
        <w:gridCol w:w="1628"/>
        <w:gridCol w:w="1149"/>
        <w:gridCol w:w="1241"/>
        <w:gridCol w:w="1065"/>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Test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Nestajanje DOC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Razvijanje C.4-B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Manometrijska respirometrija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Modif. OECD skrining test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Ispitivanje u zatvorenoj boci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MITI</w:t>
            </w:r>
            <w:r w:rsidRPr="00984859">
              <w:rPr>
                <w:rFonts w:ascii="Arial" w:eastAsia="Times New Roman" w:hAnsi="Arial" w:cs="Arial"/>
                <w:lang w:eastAsia="sr-Latn-RS"/>
              </w:rPr>
              <w:br/>
              <w:t xml:space="preserve">Ispitivanje (I)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ispitivane supstance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kao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DOC/l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ThOD/l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Koncentracija inokuluma</w:t>
            </w:r>
            <w:r w:rsidRPr="00984859">
              <w:rPr>
                <w:rFonts w:ascii="Arial" w:eastAsia="Times New Roman" w:hAnsi="Arial" w:cs="Arial"/>
                <w:lang w:eastAsia="sr-Latn-RS"/>
              </w:rPr>
              <w:br/>
              <w:t xml:space="preserve">(u ćelijama/l, približno)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30 mg/l SS</w:t>
            </w:r>
            <w:r w:rsidRPr="00984859">
              <w:rPr>
                <w:rFonts w:ascii="Arial" w:eastAsia="Times New Roman" w:hAnsi="Arial" w:cs="Arial"/>
                <w:lang w:eastAsia="sr-Latn-RS"/>
              </w:rPr>
              <w:br/>
              <w:t>ili ≤ 100 ml efluenta/l</w:t>
            </w:r>
            <w:r w:rsidRPr="00984859">
              <w:rPr>
                <w:rFonts w:ascii="Arial" w:eastAsia="Times New Roman" w:hAnsi="Arial" w:cs="Arial"/>
                <w:lang w:eastAsia="sr-Latn-RS"/>
              </w:rPr>
              <w:br/>
              <w:t>(10</w:t>
            </w:r>
            <w:r w:rsidRPr="00984859">
              <w:rPr>
                <w:rFonts w:ascii="Arial" w:eastAsia="Times New Roman" w:hAnsi="Arial" w:cs="Arial"/>
                <w:sz w:val="15"/>
                <w:szCs w:val="15"/>
                <w:vertAlign w:val="superscript"/>
                <w:lang w:eastAsia="sr-Latn-RS"/>
              </w:rPr>
              <w:t>7</w:t>
            </w: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8</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0,5 ml sekund. efluenta/l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5 ml efluenta/l</w:t>
            </w:r>
            <w:r w:rsidRPr="00984859">
              <w:rPr>
                <w:rFonts w:ascii="Arial" w:eastAsia="Times New Roman" w:hAnsi="Arial" w:cs="Arial"/>
                <w:lang w:eastAsia="sr-Latn-RS"/>
              </w:rPr>
              <w:br/>
              <w:t>(10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6</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30 mg/l SS</w:t>
            </w:r>
            <w:r w:rsidRPr="00984859">
              <w:rPr>
                <w:rFonts w:ascii="Arial" w:eastAsia="Times New Roman" w:hAnsi="Arial" w:cs="Arial"/>
                <w:lang w:eastAsia="sr-Latn-RS"/>
              </w:rPr>
              <w:br/>
              <w:t>(10</w:t>
            </w:r>
            <w:r w:rsidRPr="00984859">
              <w:rPr>
                <w:rFonts w:ascii="Arial" w:eastAsia="Times New Roman" w:hAnsi="Arial" w:cs="Arial"/>
                <w:sz w:val="15"/>
                <w:szCs w:val="15"/>
                <w:vertAlign w:val="superscript"/>
                <w:lang w:eastAsia="sr-Latn-RS"/>
              </w:rPr>
              <w:t>7</w:t>
            </w:r>
            <w:r w:rsidRPr="00984859">
              <w:rPr>
                <w:rFonts w:ascii="Arial" w:eastAsia="Times New Roman" w:hAnsi="Arial" w:cs="Arial"/>
                <w:lang w:eastAsia="sr-Latn-RS"/>
              </w:rPr>
              <w:t>-10</w:t>
            </w:r>
            <w:r w:rsidRPr="00984859">
              <w:rPr>
                <w:rFonts w:ascii="Arial" w:eastAsia="Times New Roman" w:hAnsi="Arial" w:cs="Arial"/>
                <w:sz w:val="15"/>
                <w:szCs w:val="15"/>
                <w:vertAlign w:val="superscript"/>
                <w:lang w:eastAsia="sr-Latn-RS"/>
              </w:rPr>
              <w:t>8</w:t>
            </w: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elemenata u mineralnoj podlozi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Fe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pH </w:t>
            </w:r>
          </w:p>
        </w:tc>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7,4 ± 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najbolje </w:t>
            </w:r>
            <w:r w:rsidRPr="00984859">
              <w:rPr>
                <w:rFonts w:ascii="Arial" w:eastAsia="Times New Roman" w:hAnsi="Arial" w:cs="Arial"/>
                <w:lang w:eastAsia="sr-Latn-RS"/>
              </w:rPr>
              <w:lastRenderedPageBreak/>
              <w:t xml:space="preserve">7,0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Temperatura </w:t>
            </w:r>
          </w:p>
        </w:tc>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22°C ± 2°C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25°C ± 1°C </w:t>
            </w:r>
          </w:p>
        </w:tc>
      </w:tr>
      <w:tr w:rsidR="00984859" w:rsidRPr="00984859" w:rsidTr="00984859">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SS - suspendovane čvrste materije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Voda za razblaživanje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Koristi se dejonizovana ili destilovana voda, koja ne sadrži toksične supstance (npr. jone Cu</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u inhibitornim koncentracijama. Voda ne sme sadržati više od 10% organskog ugljenika koji je unet sa ispitivanim materijalom. Visoka čistoća vode za razblaživanje neophodna je da se eliminišu visoke vrednosti u slepim probama. Kontaminacija može nastati zbog prirodno prisutnih nečistoća, kao i zbog smola jonskih izmenjivača i proizvoda razgradnje poreklom od bakterija i algi. U svakoj ispitivanoj seriji koristi se voda iz istog kontejnera, prethodno proverena pomoću DOC analize. Takva provera nije neophodna za ispitivanje u zatvorenoj boci, ali voda treba da ima malu potrošnju kiseonika.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Osnovni rastvori mineralnih materija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pripremili ispitivani rastvori, pripremaju se osnovni rastvori mineralnih materija u odgovarajućim koncentracijama. Mogu se koristiti sledeći osnovni rastvori (sa različitim faktorima razblaženja) za metode: nestajanje DOC, modifikovani OECD skrining test, razvijanje C.4-B, manometrijska respirometrija ispitivanje u zatvorenoj boci.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Faktori razblaženja i priprema mineralne podloge specifična za MITI ispitivanje dati su u konkretnoj metodi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Pomoću reagenasa analitičke čistoće pripremaju se osnovni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rastvoriti u vodi i dopuniti do 1 L (pH rastvora da bude 7,4):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- 8,50 g 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 xml:space="preserve">4 </w:t>
      </w:r>
      <w:r w:rsidRPr="00984859">
        <w:rPr>
          <w:rFonts w:ascii="Arial" w:eastAsia="Times New Roman" w:hAnsi="Arial" w:cs="Arial"/>
          <w:lang w:eastAsia="sr-Latn-RS"/>
        </w:rPr>
        <w:t xml:space="preserve">(kalijum-dihidrogenfosfat);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- 21,75 gK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 xml:space="preserve">4 </w:t>
      </w:r>
      <w:r w:rsidRPr="00984859">
        <w:rPr>
          <w:rFonts w:ascii="Arial" w:eastAsia="Times New Roman" w:hAnsi="Arial" w:cs="Arial"/>
          <w:lang w:eastAsia="sr-Latn-RS"/>
        </w:rPr>
        <w:t xml:space="preserve">(dikalijum-hidrogenfosfat);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- 33,40 gNa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(dinatrijum-hidrogenfosfat dihidrat);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- 0,50 gNH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Cl (amonijum-hlorid);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rastvoriti u vodi i dopuniti do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- 27,50 g CaCl</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xml:space="preserve">(kalcijum-hlorid, bezvodni)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- 36,40 g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(kalcijum-hlorid dihidrat);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rastvoriti u vodi i dopuniti do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- 22,50 g 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(magnezijum-sulfat heptahidrat);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rastvoriti u vodi i dopuniti do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- 0,25 g 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(gvožđe(III)-hlorid heksahidrat).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Za izbegavanje pripreme ovog rastvora neposredno pre upotrebe, dodaje se jedna kapljica koncentrovane HCl ili 0,4 g/l natrijumove soli EDTA (etilendiamintetra sirćetna kiselina).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1.7.3. Osnovni rastvori hemikalija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zavisnosti od potrebe, rastvori se od 1 g do 10 g ispitivane ili referentne hemikalije u dejonizovanoj vodi i dopuni do 1 L nakon što rastvorljivost premaši vrednost 1 g/l. U suprotnom, osnovni rastvori se pripremaju u mineralnoj podlozi ili se hemikalija dodaje direktno u mineralnu podlogu. Za postupanje sa slabije rastvorljivim hemikalijama, videti Deo treći ove metode. U MITI ispitivanju (Metoda C.4-F) ne dozvoljava se upotreba rastvarača ni emulgatora.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1.7.4. Inokulumi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Inokulum može da potiče iz raznih izvora, kao što su: aktivni mulj, otpadna voda (dehlorisana), površinske vode i zemljište ili iz smeše ovih izvora. Ako se u ispitivanjima nestajanja DOC, razvijanja C.4-B i manometrijskoj respirometriji koristi aktivni mulj, mulj se uzima iz postrojenja za prečišćavanje otpadnih voda ili iz uređaja laboratorijskog tipa, koji prima pretežno otpadnu vodu iz domaćinstava. Pokazalo se da je rasipanje rezultata veće kad se koriste inokulumi iz drugih izvora. Za modifikovani OECD skrining test i ispitivanje u zatvorenoj boci, potreban je razređeniji inokulum bez folikula mulja, pa se uzima sekundarni efluent iz postrojenja za prečišćavanje komunalnih otpadnih voda ili uređaja laboratorijskog tipa. Za MITI ispitivanje, inokulum se izvodi iz mešanih izvora i dat je u konkretnoj metodi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1.7.4.1. Inokulum iz aktivnog mulja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Svež uzorak aktivnog mulja uzima se iz aeracionog bazena postrojenja za prečišćavanje otpadnih voda ili uređaja laboratorijskog tipa u kojem se pretežno obrađuje komunalna otpadna voda. Veće grube čestice po potrebi se uklanjaju pomoću filtracije kroz fino sito, a mulj se nakon toga čuva u aerobnim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Alternativno, nakon uklanjanja većih čestica, mulj se taloži ili centrifugira (npr. na 100 g u toku 10 minuta). Supernatant se baca. Mulj se može isprati u mineralnoj podlozi. Koncentrovani mulj se suspenduje u mineralnoj podlozi da se dobije koncentracija od 3 g do 5 g suspendovanih materija po litru i aeracija se sprovodi do upotrebe.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Mulj se uzima iz konvencionalnog uređaja koji ispravno radi. Mulj isprati ukoliko se uzima iz velikog uređaja za prečišćavanje ili se smatra da sadrži inhibitore. Nakon što se temeljno promeša, resuspendovani mulj se taloži ili centrifugira, supernatant se baca, a isprani mulj se ponovno resuspenduje u novoj zapremini mineralne podloge. Postupak se ponavlja sve dok se iz mulja ne odstrani višak supstrata ili inhibitora.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što se postigne potpuna resuspenzija ili sa neobrađenim muljem, uzima se uzorak neposredno pre određivanja suve mase suspendovanih materija.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Sledeća alternativa je homogenizacija aktivnog mulja (od 3 g/l do 5 g/l suspendovanih materija). Mulj se meša u mehaničkoj mešalici u toku 2 minuta umerenom brzinom. Promešani mulj se taloži 30 minuta ili duže, po potrebi, a tečni deo koji se koristi kao inokulum dekantuje se na 10 ml mineralne podloge.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1.7.4.2. Ostali izvori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Inokulum može da se uzme iz sekundarnog efluenta iz postrojenja za prečišćavanje ili uređaja laboratorijskog tipa koji prima uglavnom otpadne vode iz domaćinstava. Uzme se sveži uzorak i čuva u aerobnim uslovima u toku transporta. Uzorak se taloži u toku 1 sata ili filtrira kroz grubi filter papir, a efluent ili filtrat se dekantuje i čuva u aerobnim uslovima do upotrebe. Može se koristiti do 100 ml ove vrste inokuluma po litru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Izvor inokuluma mogu da budu i površinske vode. U tom slučaju uzima se uzorak odgovarajuće površinske vode, npr. iz reke ili jezera, i čuva u aerobnim uslovima do upotrebe. Po potrebi, inokulum se koncentriše filtriranjem ili centrifugiranjem.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1.7.5. Prekondicioniranje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Inokulumi se mogu prekondicionirati za ispitivane uslove, ali se ne mogu preadaptirati za ispitivanu hemikaliju. Prekondicioniranje se sastoji od aeracije aktivnog mulja u mineralnoj podlozi ili sekundarnom efluentu u toku 5 do 7 dana na ispitivanoj temperaturi. Prekondicioniranje nekada poboljšava preciznost postupka ispitivanja, jer smanjuje vrednosti slepe probe. Smatra se da nije potrebno prekondicionirati MITI inokulum.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1.7.6. Abiotička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 potrebi se proverava moguća abiotička razgradnja ispitivane supstance određivanjem uklanjanja DOC, potrošnje kiseonika i razvijanja ugljen-dioksida u sterilnim kontrolama koje ne sadrže inokulum. Sterilizacija se vrši filtracijom kroz membranu promera od 0,2 µm do 0,45 µm ili dodavanjem odgovarajuće toksične supstance u odgovarajućoj koncentraciji. Ako se koristi membranska filtracija, uzorci se uzimaju aseptički da se održi sterilnost. Testovi koji mere biorazgradnju kao uklanjanje DOC, posebno sa inokulumima aktivnog mulja, sadrže i abiotičku kontrolu, koja je inokulisana i otrovana, osim u slučaju kad se prethodno isključila adsorpcija ispitivane hemikalije.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1.7.7. Broj posuda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Broj posuda u tipičnom načinu ispitivanja dat je u pojedinačnom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koristiti sledeće vrste posuda: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ispitivana suspenzija: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sadrži ispitivanu supstancu i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slepa proba sa inokulumom: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sadrži samo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kontrola postupka: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sadrži referentnu supstancu i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sterilna abiotička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sadrži ispitivanu supstancu (videti odeljak 1.7.6.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5) kontrola adsorpcije: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sadrži ispitivanu supstancu, inokulum i sredstvo za sterilizaciju;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kontrola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sadrži ispitivanu supstancu, referentnu supstancu i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Određivanje u ispitivanoj suspenziji i slepoj probi sa inokulumom obavezno se rade uporedo. Savetuje se da se i određivanja u ostalim posudama rade uporedo.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Uporedo određivanje nekada nije moguće. Vodi se računa da se uzme dovoljno uzoraka i izvrši dovoljno merenja da se može proceniti procenat uklanjanja nakon desetodnevnog perioda.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PODACI I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izračunava procenat razgradnje (Dt) koriste se srednje vrednosti dvostrukih merenja parametara u posudi za ispitivanje i slepoj probi sa inokulumom. Formule za izračunavanje date su u pojedinim metodama ispitivanja. Tok razgradnje prikazuje se grafički i pokazuje se desetodnevni period. Izračunava se i prikazuje procenat uklanjanja koji je postignut na kraju desetodnevnog perioda i vrednost na platou ili na kraju ispitivanja, u zavisnosti šta je primerenije.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respirometrijskim ispitivanjima jedinjenja koja sadrže azot mogu uticati na potrošnju kiseonika zbog nitrifikacije (videti Deo drugi i Deo peti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Razgradnja merena pomoću određivanja 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razgradnje (D</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u trenutku uzimanja uzorka izračunava se posebno za svaku posudu koja sadrži ispitivanu supstancu pomoću srednjih vrednosti DOC iz dva merenja da bi se mogla proceniti prihvatljivost ispitivanja (videti odeljak 1.6.2. ove metode). Procenat razgradnje se izračunava prema jednačini: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12"/>
        <w:gridCol w:w="210"/>
        <w:gridCol w:w="287"/>
        <w:gridCol w:w="665"/>
        <w:gridCol w:w="270"/>
        <w:gridCol w:w="7268"/>
      </w:tblGrid>
      <w:tr w:rsidR="00984859" w:rsidRPr="00984859" w:rsidTr="00984859">
        <w:trPr>
          <w:tblCellSpacing w:w="0" w:type="dxa"/>
        </w:trPr>
        <w:tc>
          <w:tcPr>
            <w:tcW w:w="0" w:type="auto"/>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w:t>
            </w:r>
          </w:p>
        </w:tc>
        <w:tc>
          <w:tcPr>
            <w:tcW w:w="0" w:type="auto"/>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423B91D9" wp14:editId="025700CF">
                  <wp:extent cx="104775" cy="657225"/>
                  <wp:effectExtent l="0" t="0" r="9525" b="9525"/>
                  <wp:docPr id="114" name="Picture 114" descr="C:\Program Files (x86)\ParagrafLex\browser\Files\Old\t\t2013_12\t12_0570_s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Program Files (x86)\ParagrafLex\browser\Files\Old\t\t2013_12\t12_0570_s08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657225"/>
                          </a:xfrm>
                          <a:prstGeom prst="rect">
                            <a:avLst/>
                          </a:prstGeom>
                          <a:noFill/>
                          <a:ln>
                            <a:noFill/>
                          </a:ln>
                        </pic:spPr>
                      </pic:pic>
                    </a:graphicData>
                  </a:graphic>
                </wp:inline>
              </w:drawing>
            </w:r>
          </w:p>
        </w:tc>
        <w:tc>
          <w:tcPr>
            <w:tcW w:w="0" w:type="auto"/>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400" w:type="pct"/>
            <w:noWrap/>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5EC6C9E8" wp14:editId="0B3CB8C8">
                  <wp:extent cx="142875" cy="638175"/>
                  <wp:effectExtent l="0" t="0" r="9525" b="9525"/>
                  <wp:docPr id="113" name="Picture 113" descr="C:\Program Files (x86)\ParagrafLex\browser\Files\Old\t\t2013_12\t12_0570_s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Program Files (x86)\ParagrafLex\browser\Files\Old\t\t2013_12\t12_0570_s089.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638175"/>
                          </a:xfrm>
                          <a:prstGeom prst="rect">
                            <a:avLst/>
                          </a:prstGeom>
                          <a:noFill/>
                          <a:ln>
                            <a:noFill/>
                          </a:ln>
                        </pic:spPr>
                      </pic:pic>
                    </a:graphicData>
                  </a:graphic>
                </wp:inline>
              </w:drawing>
            </w:r>
          </w:p>
        </w:tc>
        <w:tc>
          <w:tcPr>
            <w:tcW w:w="4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00" w:type="pct"/>
            <w:tcBorders>
              <w:top w:val="single" w:sz="2" w:space="0" w:color="000000"/>
              <w:left w:val="single" w:sz="2" w:space="0" w:color="000000"/>
              <w:bottom w:val="single" w:sz="6" w:space="0" w:color="000000"/>
              <w:right w:val="single" w:sz="2" w:space="0" w:color="000000"/>
            </w:tcBorders>
            <w:noWrap/>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bt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bo</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 xml:space="preserve">t </w:t>
      </w:r>
      <w:r w:rsidRPr="00984859">
        <w:rPr>
          <w:rFonts w:ascii="Arial" w:eastAsia="Times New Roman" w:hAnsi="Arial" w:cs="Arial"/>
          <w:lang w:eastAsia="sr-Latn-RS"/>
        </w:rPr>
        <w:t xml:space="preserve">jeste procenat razgradnje u vremenu 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srednja početna koncentracija DOC u inokulisanoj podlozi koja sadrži ispitivanu supstancu (u mg DOC/l);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jeste srednja koncentracija DOC u inokulisanoj podlozi koja sadrži ispitivanu supstancu u vremenu t (u mg DOC/l);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b0</w:t>
      </w:r>
      <w:r w:rsidRPr="00984859">
        <w:rPr>
          <w:rFonts w:ascii="Arial" w:eastAsia="Times New Roman" w:hAnsi="Arial" w:cs="Arial"/>
          <w:lang w:eastAsia="sr-Latn-RS"/>
        </w:rPr>
        <w:t xml:space="preserve"> jeste srednja početna koncentracija DOC u mineralnoj podlozi inokulisanoj slepom probom (u mg DOC/l);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C</w:t>
      </w:r>
      <w:r w:rsidRPr="00984859">
        <w:rPr>
          <w:rFonts w:ascii="Arial" w:eastAsia="Times New Roman" w:hAnsi="Arial" w:cs="Arial"/>
          <w:sz w:val="15"/>
          <w:szCs w:val="15"/>
          <w:vertAlign w:val="subscript"/>
          <w:lang w:eastAsia="sr-Latn-RS"/>
        </w:rPr>
        <w:t xml:space="preserve">bt </w:t>
      </w:r>
      <w:r w:rsidRPr="00984859">
        <w:rPr>
          <w:rFonts w:ascii="Arial" w:eastAsia="Times New Roman" w:hAnsi="Arial" w:cs="Arial"/>
          <w:lang w:eastAsia="sr-Latn-RS"/>
        </w:rPr>
        <w:t xml:space="preserve">jeste srednja koncentracija DOC u mineralnoj podlozi inokulisanom slepom probom u vremenu t (u mg DOC/l).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koncentracije mere se eksperimentalno.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Razgradnja koja se meri pomoću specifične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Primarna biorazgradnja, kad postoje podaci za specifičnu analizu, izračunava se prema formuli: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12"/>
        <w:gridCol w:w="210"/>
        <w:gridCol w:w="287"/>
        <w:gridCol w:w="641"/>
        <w:gridCol w:w="270"/>
        <w:gridCol w:w="7292"/>
      </w:tblGrid>
      <w:tr w:rsidR="00984859" w:rsidRPr="00984859" w:rsidTr="00984859">
        <w:trPr>
          <w:tblCellSpacing w:w="0" w:type="dxa"/>
        </w:trPr>
        <w:tc>
          <w:tcPr>
            <w:tcW w:w="1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w:t>
            </w:r>
          </w:p>
        </w:tc>
        <w:tc>
          <w:tcPr>
            <w:tcW w:w="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33897F90" wp14:editId="3CEF85EA">
                  <wp:extent cx="104775" cy="657225"/>
                  <wp:effectExtent l="0" t="0" r="9525" b="9525"/>
                  <wp:docPr id="112" name="Picture 112" descr="C:\Program Files (x86)\ParagrafLex\browser\Files\Old\t\t2013_12\t12_0570_s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Program Files (x86)\ParagrafLex\browser\Files\Old\t\t2013_12\t12_0570_s08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657225"/>
                          </a:xfrm>
                          <a:prstGeom prst="rect">
                            <a:avLst/>
                          </a:prstGeom>
                          <a:noFill/>
                          <a:ln>
                            <a:noFill/>
                          </a:ln>
                        </pic:spPr>
                      </pic:pic>
                    </a:graphicData>
                  </a:graphic>
                </wp:inline>
              </w:drawing>
            </w:r>
          </w:p>
        </w:tc>
        <w:tc>
          <w:tcPr>
            <w:tcW w:w="1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350" w:type="pct"/>
            <w:noWrap/>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4BF12A3D" wp14:editId="7DEE43E4">
                  <wp:extent cx="142875" cy="638175"/>
                  <wp:effectExtent l="0" t="0" r="9525" b="9525"/>
                  <wp:docPr id="111" name="Picture 111" descr="C:\Program Files (x86)\ParagrafLex\browser\Files\Old\t\t2013_12\t12_0570_s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Program Files (x86)\ParagrafLex\browser\Files\Old\t\t2013_12\t12_0570_s089.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638175"/>
                          </a:xfrm>
                          <a:prstGeom prst="rect">
                            <a:avLst/>
                          </a:prstGeom>
                          <a:noFill/>
                          <a:ln>
                            <a:noFill/>
                          </a:ln>
                        </pic:spPr>
                      </pic:pic>
                    </a:graphicData>
                  </a:graphic>
                </wp:inline>
              </w:drawing>
            </w:r>
          </w:p>
        </w:tc>
        <w:tc>
          <w:tcPr>
            <w:tcW w:w="42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50" w:type="pct"/>
            <w:tcBorders>
              <w:top w:val="single" w:sz="2" w:space="0" w:color="000000"/>
              <w:left w:val="single" w:sz="2" w:space="0" w:color="000000"/>
              <w:bottom w:val="single" w:sz="6" w:space="0" w:color="000000"/>
              <w:right w:val="single" w:sz="2" w:space="0" w:color="000000"/>
            </w:tcBorders>
            <w:noWrap/>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S</w:t>
            </w:r>
            <w:r w:rsidRPr="00984859">
              <w:rPr>
                <w:rFonts w:ascii="Arial" w:eastAsia="Times New Roman" w:hAnsi="Arial" w:cs="Arial"/>
                <w:sz w:val="15"/>
                <w:szCs w:val="15"/>
                <w:vertAlign w:val="subscript"/>
                <w:lang w:eastAsia="sr-Latn-RS"/>
              </w:rPr>
              <w:t>a</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 xml:space="preserve">t </w:t>
      </w:r>
      <w:r w:rsidRPr="00984859">
        <w:rPr>
          <w:rFonts w:ascii="Arial" w:eastAsia="Times New Roman" w:hAnsi="Arial" w:cs="Arial"/>
          <w:lang w:eastAsia="sr-Latn-RS"/>
        </w:rPr>
        <w:t xml:space="preserve">jeste procenat razgradnje u vremenu t koje uobičajeno iznosi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jeste ostatak ispitivane supstance u inokulisanoj podlozi na kraju ispitivanja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jeste ostatak ispitivane supstance u slepoj probi sa vodom/podlogom kojoj je dodata samo ispitivana supstanca (mg).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1.8.3. Abiotička razgradnja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abiotičke razgradnje, kad se koristi abiotička sterilna kontrola, izračuna se pomoću formuli: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390"/>
        <w:gridCol w:w="581"/>
        <w:gridCol w:w="6141"/>
      </w:tblGrid>
      <w:tr w:rsidR="00984859" w:rsidRPr="00984859" w:rsidTr="00984859">
        <w:trPr>
          <w:tblCellSpacing w:w="0" w:type="dxa"/>
        </w:trPr>
        <w:tc>
          <w:tcPr>
            <w:tcW w:w="8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%abiotičke razgradnje = </w:t>
            </w:r>
          </w:p>
        </w:tc>
        <w:tc>
          <w:tcPr>
            <w:tcW w:w="5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s(0)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s(t)</w:t>
            </w:r>
          </w:p>
        </w:tc>
        <w:tc>
          <w:tcPr>
            <w:tcW w:w="36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s(0) </w:t>
      </w:r>
      <w:r w:rsidRPr="00984859">
        <w:rPr>
          <w:rFonts w:ascii="Arial" w:eastAsia="Times New Roman" w:hAnsi="Arial" w:cs="Arial"/>
          <w:lang w:eastAsia="sr-Latn-RS"/>
        </w:rPr>
        <w:t xml:space="preserve">jeste DOC koncentracija u sterilnoj kontroli na dan 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s(t) </w:t>
      </w:r>
      <w:r w:rsidRPr="00984859">
        <w:rPr>
          <w:rFonts w:ascii="Arial" w:eastAsia="Times New Roman" w:hAnsi="Arial" w:cs="Arial"/>
          <w:lang w:eastAsia="sr-Latn-RS"/>
        </w:rPr>
        <w:t xml:space="preserve">jeste DOC koncentracija u sterilnoj kontroli na dan </w:t>
      </w:r>
      <w:r w:rsidRPr="00984859">
        <w:rPr>
          <w:rFonts w:ascii="Arial" w:eastAsia="Times New Roman" w:hAnsi="Arial" w:cs="Arial"/>
          <w:i/>
          <w:iCs/>
          <w:lang w:eastAsia="sr-Latn-RS"/>
        </w:rPr>
        <w:t>t</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ispitivanim i referentnim hemikalijama i njihovim čistoćama;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uslovima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inokulumu: priroda i mesto/mesta uzimanja uzorka, koncentracija i svaka obrada prekondicioniranjem;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udelu i prirodi industrijskog otpada prisutnog u otpadnoj vodi (ako je poznato);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dužini ispitivanja i temperaturi;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 slučaju slabo rastvorljivih ispitivanih hemikalija, podatke o pripremi ukoliko je bilo,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primenjenoj metodi ispitivanja (daju se naučni razlozi i objašnjenja za svaku izmenu u postupku);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obrascu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svakoj primećenoj pojavi inhibicije;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svakoj primećenoj abiotičkoj razgradnji;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specifičnim hemijskim analizama, ako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analitičkim podacima o međuproizvodima, ako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grafičkim prikazima procenta razgradnje u vremenu za određenu ispitivanu i referentnu supstancu; faza odgode, faza razgradnje, desetodnevni period i nagib jasno se označavaju (videti odeljak 1.2. ove metode). Ako je ispitivanje zadovoljilo kriterijume prihvatljivosti, srednje vrednosti procenta razgradnje u posudama koje sadrže ispitivanu supstancu mogu se upotrebiti za izradu grafičkog prikaza;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procentu uklanjanja nakon desetodnevnog perioda, kao i na platou ili na kraju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METODA ISPITIVANJA NESTAJANJE DOC </w:t>
      </w:r>
      <w:r w:rsidRPr="00984859">
        <w:rPr>
          <w:rFonts w:ascii="Arial" w:eastAsia="Times New Roman" w:hAnsi="Arial" w:cs="Arial"/>
          <w:b/>
          <w:bCs/>
          <w:lang w:eastAsia="sr-Latn-RS"/>
        </w:rPr>
        <w:br/>
        <w:t xml:space="preserve">(METODA C.4-A)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Izmerena zapremina inokulisane mineralne podloge koja sadrži poznatu koncentraciju ispitivane supstance (10 mg DOC/l do 40 mg DOC/l) kao jedini nominalni izvor organskog ugljenika aeriše se u mraku ili pod difuznim osvetljenjem na temperaturi od 22° C ± 2°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razgradnje sledi DOC analiza u čestim vremenskim intervalima u toku perioda od 28 dana. Stepen biorazgradnje izračunava se prikazivanjem koncentracije uklonjenog DOC (korigovan za onaj DOC u kontroli sa inokulisanom slepom probom) kao procenta od koncentracije prisutne na početku. Stepen primarne biorazgradnje može se izračunati i iz dopunske hemijske analize sprovedene na početku i na kraju inkubacije.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Oprema za ispitivanje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erlenmajer sudove 250 ml do 2 L, u zavisnosti od zapremine potrebne za DOC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mešalicu u koju se mogu pričvrstiti erlenmajer sudovi (sa ili bez automatske kontrole temperature ili se koriste pri konstantnoj sobnoj temperaturi), dovoljne snage da održi aerobne uslove u svim posudama;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filtriranje, sa odgovarajućim membranama;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DOC analizator;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određivanje rastvorenog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centrifugu.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2.2.2. Priprema mineralne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pripremu osnovnog rastvora videti odeljak 1.8.2.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Pomeša se 10 ml osnovnog rastvora 1. sa 800 ml vode za razblaživanje, doda se 1 ml osnovnih rastvora 2. do 4. i dopuni se do 1 L vodom za razblaživanje.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2.2.3. Priprema i prekondicioniranje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Inokulum se može uzeti iz raznih vrsta izvora: aktivnog mulja, komunalnog efluenta, površinskih voda, zemljišta ili smeše istih.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odeljke 1.7.4, 1.7.4.1, 1.7.4.2. i 1.7.5.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2.2.4. Priprema posuda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Ulije se 800 ml mineralne podloge u dvolitarske erlenmajer sudove i dodaju se dovoljne zapremine osnovnih rastvora ispitivanih i referentnih supstanci u odvojene sudove tako da se dobije koncentracija hemijskog ekvivalenta 10 mg DOC/ldo 40 mg DOC/l. Provere se pH vrednosti i dovedu, po potrebi, do 7,4. Aktivni mulj ili drugi izvori inokuluma (videti odeljak 1.7.4. ove metode) inokuliraju se u obične sudove tako da se dobije konačna koncentracija do najviše 30 mg/l suspendovanih materija. Pripreme se i kontrole inokuluma u mineralnoj podlozi, ali bez ispitivane ili referentne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 potrebi, jedna posuda se koristi za proveru mogućeg inhibitornog efekta ispitivane hemikalije inokulacijom rastvora koji sadrži, u mineralnoj podlozi, slične koncentracije kako ispitivane, tako i referentne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potrebno postavi se još jedan sterilan običan sud da se pomoću neinokulisanog rastvora hemikalije proveri da li se hemikalija abiotički razgrađuje (videti odeljak 1.7.6.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sumnja da se ispitivana hemikalija značajno adsorbuje na staklo, mulj, idr. napravi se preliminarna procena da se odredi verovatni opseg adsorpcije i tako pogodnost metode ispitivanja za date hemikalije (videti Tabelu 1). Postavi se običan sud koji sadrži ispitivanu supstancu, inokulum i sredstvo za sterilizaciju.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u svim običnim sudovima se dopuni do 1 L mineralnom podlogom i nakon mešanja, uzima se uzorak iz svakog običnog suda da se odredi početna koncentracija DOC (videti odeljak 2.4. ove metode). Otvori običnih sudova se pokriju, npr. aluminijskom folijom, ali tako da se omogući slobodna razmena vazduha između običnog suda i okolne atmosfere. Zatim se posuda stavi na mešalicu da bi se započelo ispitivanje.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2.2.5. Broj običnih sudova u tipičnom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ispitivana suspenzija: obični sudovi br. 1 i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slepa proba sa inokulumom: obični sudovi br. 3 i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postupka: običan sud broj 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Preporučeno i po potrebi: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sterilna abiotička kontrola: običan sud broj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adsorpcije: običan sud broj 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toksičnosti: običan sud broj 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1.7.7.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2.2.6.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ispitivanja, koncentracije DOC u svakom običnom sudu određuju se u duplikatu u poznatim vremenskim intervalima, dovoljno često da se može odrediti početak desetodnevnog perioda i procenat uklanjanja na kraju desetodnevnog perioda. Uzima se samo minimalna zapremina ispitivane suspenzije potrebna za svako određivanje.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uzimanja uzoraka gubitak nastao isparavanjem iz tikvica po potrebi se nadoknađuje dodavanjem vode za razblaživanje (videti odeljak 1.8.1. ove metode) u odgovarajućoj količini. Pre uzimanja uzorka, podloga za kulturu temeljno se promeša i osigura se da materijal koji prileže uz zidove posude bude rastvoren i suspendovan. Filtrira se kroz membrane ili centrifugira (videti odeljak 2.4. ove metode) odmah nakon uzimanja uzorka. Filtrirani ili centrifugirani uzorci analiziraju se istog dana; u suprotnom, čuvaju se najviše 48 sati na temperaturi od 2° C do 4° C ili na temperaturi ispod - 18° C u toku dužeg perioda.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2.3.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2.3.1.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Izračuna se procenat razgradnje u vremenu t kako je opisano u odeljku 1.8.1. ove metode (određivanje DOC) i, po izboru, u odeljku 1.8.2. ove metode (specifična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se zapisuju na obrascima za unos podataka.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2.3.2. Prihvatljivost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1.6.2.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2.3.3.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1.9.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2.4. OBRASCI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 obrasca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NESTAJANJA 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LABORATORIJA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 DATUM POČETKA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Hemijski naziv: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osnovnog rastvora:... mg/l kao hemikalija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koncentracija u podlozi, do/prema:... mg/l kao hemikalija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Sprovedena obrada: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Prekondicioniranje, ako je sprovedeno: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suspendovanih materija u reakcionoj smeši: …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ODREĐIVANJE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Analizator ugljenika: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209"/>
        <w:gridCol w:w="922"/>
        <w:gridCol w:w="1397"/>
        <w:gridCol w:w="1104"/>
        <w:gridCol w:w="375"/>
        <w:gridCol w:w="375"/>
        <w:gridCol w:w="375"/>
        <w:gridCol w:w="375"/>
      </w:tblGrid>
      <w:tr w:rsidR="00984859" w:rsidRPr="00984859" w:rsidTr="00984859">
        <w:trPr>
          <w:tblCellSpacing w:w="0" w:type="dxa"/>
        </w:trPr>
        <w:tc>
          <w:tcPr>
            <w:tcW w:w="2350" w:type="pct"/>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0" w:type="pct"/>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Običan sud broj: </w:t>
            </w:r>
          </w:p>
        </w:tc>
        <w:tc>
          <w:tcPr>
            <w:tcW w:w="450" w:type="pct"/>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DOC nakon n dana (mg/l)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2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1</w:t>
            </w:r>
          </w:p>
        </w:tc>
        <w:tc>
          <w:tcPr>
            <w:tcW w:w="2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2</w:t>
            </w:r>
          </w:p>
        </w:tc>
        <w:tc>
          <w:tcPr>
            <w:tcW w:w="2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3</w:t>
            </w:r>
          </w:p>
        </w:tc>
        <w:tc>
          <w:tcPr>
            <w:tcW w:w="2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x</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plus inokulum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 srednja C</w:t>
            </w:r>
            <w:r w:rsidRPr="00984859">
              <w:rPr>
                <w:rFonts w:ascii="Arial" w:eastAsia="Times New Roman" w:hAnsi="Arial" w:cs="Arial"/>
                <w:sz w:val="15"/>
                <w:szCs w:val="15"/>
                <w:vertAlign w:val="subscript"/>
                <w:lang w:eastAsia="sr-Latn-RS"/>
              </w:rPr>
              <w:t>a(t)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 srednja Cb</w:t>
            </w:r>
            <w:r w:rsidRPr="00984859">
              <w:rPr>
                <w:rFonts w:ascii="Arial" w:eastAsia="Times New Roman" w:hAnsi="Arial" w:cs="Arial"/>
                <w:sz w:val="15"/>
                <w:szCs w:val="15"/>
                <w:vertAlign w:val="subscript"/>
                <w:lang w:eastAsia="sr-Latn-RS"/>
              </w:rPr>
              <w:t>(t)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Slepa proba sa inokulumom bez ispitivane supstance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 srednja C</w:t>
            </w:r>
            <w:r w:rsidRPr="00984859">
              <w:rPr>
                <w:rFonts w:ascii="Arial" w:eastAsia="Times New Roman" w:hAnsi="Arial" w:cs="Arial"/>
                <w:sz w:val="15"/>
                <w:szCs w:val="15"/>
                <w:vertAlign w:val="subscript"/>
                <w:lang w:eastAsia="sr-Latn-RS"/>
              </w:rPr>
              <w:t>0(t)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 srednja C</w:t>
            </w:r>
            <w:r w:rsidRPr="00984859">
              <w:rPr>
                <w:rFonts w:ascii="Arial" w:eastAsia="Times New Roman" w:hAnsi="Arial" w:cs="Arial"/>
                <w:sz w:val="15"/>
                <w:szCs w:val="15"/>
                <w:vertAlign w:val="subscript"/>
                <w:lang w:eastAsia="sr-Latn-RS"/>
              </w:rPr>
              <w:t>d(t)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gridSpan w:val="2"/>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63"/>
              <w:gridCol w:w="1390"/>
            </w:tblGrid>
            <w:tr w:rsidR="00984859" w:rsidRPr="00984859">
              <w:trPr>
                <w:tblCellSpacing w:w="0" w:type="dxa"/>
              </w:trPr>
              <w:tc>
                <w:tcPr>
                  <w:tcW w:w="0" w:type="auto"/>
                  <w:vMerge w:val="restart"/>
                  <w:vAlign w:val="center"/>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bl(t) </w:t>
                  </w:r>
                  <w:r w:rsidRPr="00984859">
                    <w:rPr>
                      <w:rFonts w:ascii="Arial" w:eastAsia="Times New Roman" w:hAnsi="Arial" w:cs="Arial"/>
                      <w:lang w:eastAsia="sr-Latn-RS"/>
                    </w:rPr>
                    <w:t xml:space="preserve">= </w:t>
                  </w:r>
                </w:p>
              </w:tc>
              <w:tc>
                <w:tcPr>
                  <w:tcW w:w="0" w:type="auto"/>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c(0)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d(t)</w:t>
                  </w: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PROCENA NEOBRAĐENIH PODATAKA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60" w:type="dxa"/>
          <w:left w:w="60" w:type="dxa"/>
          <w:bottom w:w="60" w:type="dxa"/>
          <w:right w:w="60" w:type="dxa"/>
        </w:tblCellMar>
        <w:tblLook w:val="04A0" w:firstRow="1" w:lastRow="0" w:firstColumn="1" w:lastColumn="0" w:noHBand="0" w:noVBand="1"/>
      </w:tblPr>
      <w:tblGrid>
        <w:gridCol w:w="2489"/>
        <w:gridCol w:w="2858"/>
        <w:gridCol w:w="1291"/>
        <w:gridCol w:w="646"/>
        <w:gridCol w:w="646"/>
        <w:gridCol w:w="646"/>
        <w:gridCol w:w="646"/>
      </w:tblGrid>
      <w:tr w:rsidR="00984859" w:rsidRPr="00984859" w:rsidTr="00984859">
        <w:trPr>
          <w:tblCellSpacing w:w="0" w:type="dxa"/>
        </w:trPr>
        <w:tc>
          <w:tcPr>
            <w:tcW w:w="1350" w:type="pct"/>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Običan sud broj: </w:t>
            </w:r>
          </w:p>
        </w:tc>
        <w:tc>
          <w:tcPr>
            <w:tcW w:w="1550" w:type="pct"/>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razgradnje nakon n dana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x</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17"/>
              <w:gridCol w:w="159"/>
              <w:gridCol w:w="287"/>
              <w:gridCol w:w="888"/>
              <w:gridCol w:w="36"/>
              <w:gridCol w:w="1115"/>
            </w:tblGrid>
            <w:tr w:rsidR="00984859" w:rsidRPr="00984859">
              <w:trPr>
                <w:tblCellSpacing w:w="0" w:type="dxa"/>
              </w:trPr>
              <w:tc>
                <w:tcPr>
                  <w:tcW w:w="4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 xml:space="preserve">l </w:t>
                  </w:r>
                </w:p>
              </w:tc>
              <w:tc>
                <w:tcPr>
                  <w:tcW w:w="1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t>
                  </w:r>
                </w:p>
              </w:tc>
              <w:tc>
                <w:tcPr>
                  <w:tcW w:w="3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17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a(t)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bl(t)</w:t>
                  </w:r>
                </w:p>
              </w:tc>
              <w:tc>
                <w:tcPr>
                  <w:tcW w:w="150" w:type="pct"/>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23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a(0)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bl(0)</w:t>
                  </w: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0</w:t>
            </w:r>
          </w:p>
        </w:tc>
        <w:tc>
          <w:tcPr>
            <w:tcW w:w="3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3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3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3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2 </w:t>
            </w: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50"/>
              <w:gridCol w:w="159"/>
              <w:gridCol w:w="360"/>
              <w:gridCol w:w="806"/>
              <w:gridCol w:w="104"/>
              <w:gridCol w:w="1023"/>
            </w:tblGrid>
            <w:tr w:rsidR="00984859" w:rsidRPr="00984859">
              <w:trPr>
                <w:tblCellSpacing w:w="0" w:type="dxa"/>
              </w:trPr>
              <w:tc>
                <w:tcPr>
                  <w:tcW w:w="3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2</w:t>
                  </w:r>
                </w:p>
              </w:tc>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w:t>
                  </w:r>
                </w:p>
              </w:tc>
              <w:tc>
                <w:tcPr>
                  <w:tcW w:w="4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16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a(t)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bl(t)</w:t>
                  </w:r>
                </w:p>
              </w:tc>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t>
                  </w:r>
                </w:p>
              </w:tc>
              <w:tc>
                <w:tcPr>
                  <w:tcW w:w="2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a(0)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bl(0)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vrednost* </w:t>
            </w: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84"/>
              <w:gridCol w:w="767"/>
              <w:gridCol w:w="1551"/>
            </w:tblGrid>
            <w:tr w:rsidR="00984859" w:rsidRPr="00984859">
              <w:trPr>
                <w:tblCellSpacing w:w="0" w:type="dxa"/>
              </w:trPr>
              <w:tc>
                <w:tcPr>
                  <w:tcW w:w="5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 </w:t>
                  </w:r>
                </w:p>
              </w:tc>
              <w:tc>
                <w:tcPr>
                  <w:tcW w:w="15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D</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tc>
              <w:tc>
                <w:tcPr>
                  <w:tcW w:w="29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Ne sme se koristiti srednja vrednost ako između D</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D</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postoji značajna razlika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Za referentne hemijske kontrole i kontrole toksičnosti mogu se koristiti slični obrasci.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ABIOTIČKA KONTROLA (po izboru)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416"/>
        <w:gridCol w:w="1408"/>
        <w:gridCol w:w="1308"/>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(u danima)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DOC koncentracija (mg/l) u sterilnoj kontroli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s(t)</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390"/>
        <w:gridCol w:w="870"/>
        <w:gridCol w:w="5852"/>
      </w:tblGrid>
      <w:tr w:rsidR="00984859" w:rsidRPr="00984859" w:rsidTr="00984859">
        <w:trPr>
          <w:tblCellSpacing w:w="0" w:type="dxa"/>
        </w:trPr>
        <w:tc>
          <w:tcPr>
            <w:tcW w:w="7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%abiotičke razgradnje = </w:t>
            </w:r>
          </w:p>
        </w:tc>
        <w:tc>
          <w:tcPr>
            <w:tcW w:w="60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s(0)</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s(t)</w:t>
            </w:r>
          </w:p>
        </w:tc>
        <w:tc>
          <w:tcPr>
            <w:tcW w:w="36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SPECIFIČNA HEMIJSKA ANALIZA (po izboru)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19"/>
        <w:gridCol w:w="4803"/>
        <w:gridCol w:w="1910"/>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Rezidualna količina ispitivane supstance na kraju ispitivanja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primarne razgradnje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Sterilna kontrola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Inokulisana ispitivana podloga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a</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MODIFIKOVANI OECD SKRINING TEST </w:t>
      </w:r>
      <w:r w:rsidRPr="00984859">
        <w:rPr>
          <w:rFonts w:ascii="Arial" w:eastAsia="Times New Roman" w:hAnsi="Arial" w:cs="Arial"/>
          <w:b/>
          <w:bCs/>
          <w:lang w:eastAsia="sr-Latn-RS"/>
        </w:rPr>
        <w:br/>
        <w:t xml:space="preserve">(METODA C.4-B)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Izmerena zapremina mineralne podloge koja sadrži poznatu koncentraciju ispitivane supstance (10 mg DOC/l do 40 mg DOC/l) kao jedini nominalni izvor organskog ugljenika inokulira se sa 0,5 ml efluenta po litru medijuma. Smeša se aeriše u mraku ili pod difuznim osvetljenjem na 22° C ± 2°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razgradnje sledi DOC analiza u čestim razmacima u toku 28 dana. Stepen biorazgradnje izračunava se prikazivanjem koncentracije uklonjenog DOC (korigovanog za onaj u kontroli koju predstavlja inokulisana slepa proba) kao procenat od koncentracije prisutne na početku. Stepen primarne biorazgradnje može se izračunati iz dodatne hemijske analize koja se radi na početku i na kraju inkubacije.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3.2.1.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Oprema za ispitivanje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erlenmajer sudove zapremine od 250 ml do 2 L, u zavisnosti od zapremine potrebne za DOC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mešalicu (u koju se mogu pričvrstiti erlenmajer sudovi sa automatskom kontrolom temperature ili bez, ako se koriste pri konstantnoj sobnoj temperaturi) dovoljne snage da održi aerobne uslove u svim posudama;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filtriranje, sa odgovarajućim membranama;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DOC analizator;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određivanje rastvorenog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centrifugu.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3.2.2. Priprema mineralne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pripremu osnovnog rastvora, videti odeljak 1.7.2.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Pomešati 10 ml osnovnog rastvora 1. sa 80 ml vode za razblaživanje, dodati 1 ml osnovnog rastvora 2. do 4. i dopuniti vodom za razblaživanje do ukupne zapremine od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ovom postupku se koristi samo 0,5 ml/l efluenta kao inokulum, pa bi podlogu trebalo obogatiti elementima u tragovima i faktorima rasta. To se postiže dodatkom 1 ml svakog od sledećih rastvora po litru gotove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Rastvor elemenata u tragovima: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- 39,9 mg MnSO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(mangan-sulfat tetrahidrat);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- 57,2 mg 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BO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(borna kiselina);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- 42,8 mg ZnSO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(cink-sulfat heptahidrat);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- 34,7 mg (NH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w:t>
      </w:r>
      <w:r w:rsidRPr="00984859">
        <w:rPr>
          <w:rFonts w:ascii="Arial" w:eastAsia="Times New Roman" w:hAnsi="Arial" w:cs="Arial"/>
          <w:sz w:val="15"/>
          <w:szCs w:val="15"/>
          <w:vertAlign w:val="subscript"/>
          <w:lang w:eastAsia="sr-Latn-RS"/>
        </w:rPr>
        <w:t>6</w:t>
      </w:r>
      <w:r w:rsidRPr="00984859">
        <w:rPr>
          <w:rFonts w:ascii="Arial" w:eastAsia="Times New Roman" w:hAnsi="Arial" w:cs="Arial"/>
          <w:lang w:eastAsia="sr-Latn-RS"/>
        </w:rPr>
        <w:t>Mo</w:t>
      </w:r>
      <w:r w:rsidRPr="00984859">
        <w:rPr>
          <w:rFonts w:ascii="Arial" w:eastAsia="Times New Roman" w:hAnsi="Arial" w:cs="Arial"/>
          <w:sz w:val="15"/>
          <w:szCs w:val="15"/>
          <w:vertAlign w:val="subscript"/>
          <w:lang w:eastAsia="sr-Latn-RS"/>
        </w:rPr>
        <w:t>7</w:t>
      </w: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24</w:t>
      </w:r>
      <w:r w:rsidRPr="00984859">
        <w:rPr>
          <w:rFonts w:ascii="Arial" w:eastAsia="Times New Roman" w:hAnsi="Arial" w:cs="Arial"/>
          <w:lang w:eastAsia="sr-Latn-RS"/>
        </w:rPr>
        <w:t xml:space="preserve"> (amonijum heptamolibdat);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- 100,0 mg 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i EDTA (helat gvožđa).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Rastvoriti u vodi za razblaživanje i dopuniti vodom do ukupno 1.000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Rastvor vitamina: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ekstrakt kvasca 15,0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Rastvoriti ekstrakt kvasca u 100 ml vode. Sterilisati filtracijom kroz membranu od 0,2 µ ili pripremiti neposredno pred upotrebu.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3.2.3. Priprema i prekondicioniranje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Inokulum se uzima iz sekundarnog efluenta iz postrojenja za prečišćavanje ili uređaja laboratorijskog tipa koji prima pretežno otpadnu vodu iz domaćinstava. Videti odeljke 1.7.4.2. i 1.7.5.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0,5 ml po litru mineralnog medijuma.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3.2.4. Priprema običnih sudova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Sipa se 800 ml mineralne podloge u dvolitarske erlenmajer sudove i doda se dovoljno velika zapremina osnovnih rastvora ispitivane i referentne supstance u odvojene obične sudove da se dobije koncentracija hemijskog ekvivalenta 10 mg DOC/l do 40 mg DOC/l. Proveri se pH vrednost i po potrebi dovede na 7,4. Izlazni efluent inokuliše se u obične sudove u koncentraciji od 0,5 ml po litru (videti odeljak 1.7.4.2. ove metode). Pripreme se i kontrole inokuluma u mineralnoj podlozi, ali bez ispitivane ili referentne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 potrebi, koristi se jedna posuda da se proveri mogući inhibitorni efekat ispitivane hemikalije inokulacijom rastvora koji sadrži, u mineralnoj podlozi, slične koncentracije i ispitivane i referentne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potrebno, postavi se još jedan sterilan običan sud da se pomoću neinokulisanog rastvora hemikalije proveri da li se ispitivana hemikalija razgrađuje abiotički (videti odeljak 1.8.6.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sumnja da se ispitivana hemikalija značajno adsorbuje na staklo, mulj, itd. radi se preliminarna procena da se odredi verovatni opseg adsorpcije i time pogodnost metode za ispitivanje te hemikalije (videti Tabelu 1). Postavi se običan sud koji sadrži ispitivanu supstancu, inokulum i sredstvo za sterilizaciju.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sve obične sudove dodaje se mineralna podloga do zapremine od 1 L. Nakon mešanja, uzima se uzorak iz svakog pojedinog običnog suda da se odredi početna koncentracija DOC (videti odeljak 2.4. ove metode). Pokriju se otvori običnih sudova, npr. sa aluminijskom folijom, ali tako da se omogući razmena vazduha između običnog suda i okolne atmosfere. Zatim se posude stavljaju na mešalicu i započinje se sa ispitivanjem.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3.2.5. Broj običnih sudova u tipičnom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Redni broj običnih sudova: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ispitivana suspenzija: obični sudovi br. 1 i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slepa proba sa inokulumom: obični sudovi br. 3 i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postupka: običan sud broj 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Preporučeno i po potrebi: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sterilna abiotička kontrola: običan sud broj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adsorpcije: običan sud broj 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toksičnosti: običan sud broj 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1.7.7.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3.2.6.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čitavog ispitivanja, koncentracije DOC određuju se u svakom običnom sudu u duplikatu u poznatim vremenskim intervalima, dovoljno često da se može odrediti početak desetodnevnog perioda i procenat uklanjanja na kraju desetodnevnog perioda. Uzima se samo minimalna zapremina ispitivane suspenzije potrebne za svako određivanje.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uzimanja uzoraka zapremina koja se izgubila isparavanjem iz tikvica nadoknađuje se po potrebi dodavanjem vode za razblaživanje (videti odeljak 1.7.1. ove metode) u odgovarajućoj količini. Pre uzimanja uzorka, podloga se temeljno promeša i pazi se da materijal koji prileže uz zidove posude bude rastvoren ili suspendovan. Odmah nakon uzimanja, uzorak se membranski filtrira ili centrifugira (videti odeljak 2.4. ove metode). Filtrirani ili centrifugirani uzorci analiziraju se istog dana; u suprotnom, čuvaju se na 2° C do 4° C u toku najviše 48 sati ili na temperaturi manjoj od - 18° C u toku dužeg perioda.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3.3.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3.3.1.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Izračuna se procenat razgradnje u vremenu t kako je dato u odeljku 1.8.1. ove metode (DOC određivanje) i po izboru, u odeljku 1.8.2. ove metode (specifična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se zapisuju na obrascima za unos podataka.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3.3.2. Prihvatljivost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1.6.2.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3.3.3.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1.9.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3.4. OBRASCI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 obrasca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MODIFIKOVANAOECDTRIJAŽA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LABORATORIJA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DATUM POČETKA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Hemijski naziv: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osnovnog rastvora:... mg/l kao hemikalija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Inicijalna koncentracija u podlozi, do:... mg/l kao hemikalija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Obavljena obrada: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Prekondicioniranje, ako je obavljeno: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suspendovanih materija u reakcionoj smeši: …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ODREĐIVANJE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Analizator ugljenika: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245"/>
        <w:gridCol w:w="1436"/>
        <w:gridCol w:w="1243"/>
        <w:gridCol w:w="358"/>
        <w:gridCol w:w="465"/>
        <w:gridCol w:w="465"/>
        <w:gridCol w:w="465"/>
        <w:gridCol w:w="455"/>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Običan sud broj: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DOC nakon n dana (mg/l)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x</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plus inokulum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 srednja C</w:t>
            </w:r>
            <w:r w:rsidRPr="00984859">
              <w:rPr>
                <w:rFonts w:ascii="Arial" w:eastAsia="Times New Roman" w:hAnsi="Arial" w:cs="Arial"/>
                <w:sz w:val="15"/>
                <w:szCs w:val="15"/>
                <w:vertAlign w:val="subscript"/>
                <w:lang w:eastAsia="sr-Latn-RS"/>
              </w:rPr>
              <w:t>a(t)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 srednja C</w:t>
            </w:r>
            <w:r w:rsidRPr="00984859">
              <w:rPr>
                <w:rFonts w:ascii="Arial" w:eastAsia="Times New Roman" w:hAnsi="Arial" w:cs="Arial"/>
                <w:sz w:val="15"/>
                <w:szCs w:val="15"/>
                <w:vertAlign w:val="subscript"/>
                <w:lang w:eastAsia="sr-Latn-RS"/>
              </w:rPr>
              <w:t>b(t)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Slepa proba sa inokulumom bez ispitivane supstance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 srednja C</w:t>
            </w:r>
            <w:r w:rsidRPr="00984859">
              <w:rPr>
                <w:rFonts w:ascii="Arial" w:eastAsia="Times New Roman" w:hAnsi="Arial" w:cs="Arial"/>
                <w:sz w:val="15"/>
                <w:szCs w:val="15"/>
                <w:vertAlign w:val="subscript"/>
                <w:lang w:eastAsia="sr-Latn-RS"/>
              </w:rPr>
              <w:t>c(t)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 srednja C</w:t>
            </w:r>
            <w:r w:rsidRPr="00984859">
              <w:rPr>
                <w:rFonts w:ascii="Arial" w:eastAsia="Times New Roman" w:hAnsi="Arial" w:cs="Arial"/>
                <w:sz w:val="15"/>
                <w:szCs w:val="15"/>
                <w:vertAlign w:val="subscript"/>
                <w:lang w:eastAsia="sr-Latn-RS"/>
              </w:rPr>
              <w:t>d(t)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gridSpan w:val="2"/>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80"/>
              <w:gridCol w:w="1333"/>
            </w:tblGrid>
            <w:tr w:rsidR="00984859" w:rsidRPr="00984859">
              <w:trPr>
                <w:tblCellSpacing w:w="0" w:type="dxa"/>
              </w:trPr>
              <w:tc>
                <w:tcPr>
                  <w:tcW w:w="2450" w:type="pct"/>
                  <w:vMerge w:val="restart"/>
                  <w:vAlign w:val="center"/>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bl(t) </w:t>
                  </w:r>
                  <w:r w:rsidRPr="00984859">
                    <w:rPr>
                      <w:rFonts w:ascii="Arial" w:eastAsia="Times New Roman" w:hAnsi="Arial" w:cs="Arial"/>
                      <w:lang w:eastAsia="sr-Latn-RS"/>
                    </w:rPr>
                    <w:t xml:space="preserve">= </w:t>
                  </w:r>
                </w:p>
              </w:tc>
              <w:tc>
                <w:tcPr>
                  <w:tcW w:w="25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c(0)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d(t)</w:t>
                  </w: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PROCENA NEOBRAĐENIH PODATAKA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652"/>
        <w:gridCol w:w="2739"/>
        <w:gridCol w:w="445"/>
        <w:gridCol w:w="577"/>
        <w:gridCol w:w="577"/>
        <w:gridCol w:w="577"/>
        <w:gridCol w:w="565"/>
      </w:tblGrid>
      <w:tr w:rsidR="00984859" w:rsidRPr="00984859" w:rsidTr="00984859">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Običan sud broj: </w:t>
            </w:r>
          </w:p>
        </w:tc>
        <w:tc>
          <w:tcPr>
            <w:tcW w:w="15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razgradnje nakon n dana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x</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17"/>
              <w:gridCol w:w="159"/>
              <w:gridCol w:w="287"/>
              <w:gridCol w:w="1347"/>
              <w:gridCol w:w="90"/>
              <w:gridCol w:w="573"/>
            </w:tblGrid>
            <w:tr w:rsidR="00984859" w:rsidRPr="00984859">
              <w:trPr>
                <w:tblCellSpacing w:w="0" w:type="dxa"/>
              </w:trPr>
              <w:tc>
                <w:tcPr>
                  <w:tcW w:w="4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l</w:t>
                  </w:r>
                </w:p>
              </w:tc>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t>
                  </w:r>
                </w:p>
              </w:tc>
              <w:tc>
                <w:tcPr>
                  <w:tcW w:w="2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26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a(t)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bl(t)</w:t>
                  </w:r>
                </w:p>
              </w:tc>
              <w:tc>
                <w:tcPr>
                  <w:tcW w:w="300" w:type="pct"/>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a(0)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bl(0)</w:t>
                  </w: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50"/>
              <w:gridCol w:w="159"/>
              <w:gridCol w:w="287"/>
              <w:gridCol w:w="1309"/>
              <w:gridCol w:w="106"/>
              <w:gridCol w:w="562"/>
            </w:tblGrid>
            <w:tr w:rsidR="00984859" w:rsidRPr="00984859">
              <w:trPr>
                <w:tblCellSpacing w:w="0" w:type="dxa"/>
              </w:trPr>
              <w:tc>
                <w:tcPr>
                  <w:tcW w:w="4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2</w:t>
                  </w:r>
                </w:p>
              </w:tc>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t>
                  </w:r>
                </w:p>
              </w:tc>
              <w:tc>
                <w:tcPr>
                  <w:tcW w:w="4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2550" w:type="pct"/>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b(t)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bl(t)</w:t>
                  </w:r>
                </w:p>
              </w:tc>
              <w:tc>
                <w:tcPr>
                  <w:tcW w:w="300" w:type="pct"/>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1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b(0) </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bl(0)</w:t>
                  </w: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vrednost* </w:t>
            </w: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84"/>
              <w:gridCol w:w="2248"/>
              <w:gridCol w:w="41"/>
            </w:tblGrid>
            <w:tr w:rsidR="00984859" w:rsidRPr="00984859">
              <w:trPr>
                <w:tblCellSpacing w:w="0" w:type="dxa"/>
              </w:trPr>
              <w:tc>
                <w:tcPr>
                  <w:tcW w:w="4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 </w:t>
                  </w:r>
                </w:p>
              </w:tc>
              <w:tc>
                <w:tcPr>
                  <w:tcW w:w="45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D</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tc>
              <w:tc>
                <w:tcPr>
                  <w:tcW w:w="45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Ne sme se koristiti srednja vrednost ako između D</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D</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postoji značajna razlika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Za referentne hemijske kontrole i kontrole toksičnosti mogu se koristiti slični obrasci.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7. ABIOTIČKA KONTROLA (po izboru)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416"/>
        <w:gridCol w:w="1408"/>
        <w:gridCol w:w="1308"/>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(u danima)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DOC koncentracija (mg/l) u sterilnoj kontroli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s(t)</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451"/>
        <w:gridCol w:w="870"/>
        <w:gridCol w:w="5791"/>
      </w:tblGrid>
      <w:tr w:rsidR="00984859" w:rsidRPr="00984859" w:rsidTr="00984859">
        <w:trPr>
          <w:tblCellSpacing w:w="0" w:type="dxa"/>
        </w:trPr>
        <w:tc>
          <w:tcPr>
            <w:tcW w:w="7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abiotičke razgradnje = </w:t>
            </w:r>
          </w:p>
        </w:tc>
        <w:tc>
          <w:tcPr>
            <w:tcW w:w="5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s(0)</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s(t)</w:t>
            </w:r>
          </w:p>
        </w:tc>
        <w:tc>
          <w:tcPr>
            <w:tcW w:w="37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SPECIFIČNA HEMIJSKA ANALIZA (po izboru)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19"/>
        <w:gridCol w:w="4803"/>
        <w:gridCol w:w="1910"/>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Rezidualna količina ispitivane supstance na kraju ispitivanja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primarne razgradnje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Sterilna kontrola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Inokulisana ispitivana podloga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a</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RAZVIJANJE METODE C.4-B (METODA C.4-C)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4.1.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Izmerena zapremina inokulisane mineralne podloge koja sadrži poznatu koncentraciju ispitivane hemikalije (10 mg do 20 mg DOC ili TOC/l) kao jedini nominalni izvor organskog ugljenika aeriše se prolaskom vazduha bez ugljen-dioksida pri kontrolisanoj brzini u mraku ili pod difuznim osvetljenjem. Razgradnja se prati u toku 28 dana određivanjem proizvedenog ugljen-dioksida, koji se hvata barijum ili natrijum hidroksidom i meri titracijom rezidualnog hidroksida ili kao neorganski ugljenik. Količina ugljen-dioksida proizvedena iz ispitivane hemikalije (korigovano za onu količinu izvedenu iz slepe probe sa inokulumom) izražava se kao procenat ThC.4-B. Stepen biorazgradnje može se izračunati iz dodatne DOC analize koja se obavlja na početku i na kraju inkubacije.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4.2.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4.2.1.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Oprema za ispitivanje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obične sudove, od 2 L do 5 L, svaki opremljen sa cevčicom za vazduh koja doseže skoro do dna posude i otvorom;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magnetne mešalice, ako se ispituju slabo rastvorljive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boce za apsorpciju gasova;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kontrolu i merenje protoka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opremu za uklanjanje ugljen-dioksida, tj. za pripremu vazduha koji ne sadrži ugljen-dioksid; alternativno se može koristiti smeša kiseonika bez C.4-B i azota bez C.4-B, iz gasnih cilindara, u pravoj proporciji (20%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80% N</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određivanje ugljen-dioksida, ili titrimetrijski ili pomoću nekog tipa analizatora neorganskog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uređaj za membransku filtraciju (nije obavezan);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DOC analizator (nije obavezan).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4.2.2. Priprema mineralne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pripremu osnovnog rastvora videti odeljak 1.8.2.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Pomeša se 10 ml osnovnog rastvora 1. sa 800 ml vode za razblaživanje, doda se 1 ml osnovnog rastvora 2. do 4. i dopuni vodom za razblaživanje do ukupno 1 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4.2.3. Priprema i prekondicioniranje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Inokulum se može uzeti iz raznih izvora: aktivnog mulja; efluenata otpadne vode; površinskih voda, zemljišta ili iz smeše istih.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odeljke 1.7.4, 1.7.4.1, 1.7.4.2. i 1.7.5.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4.2.4. Priprema običnih sudova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primer, dole navedene zapremine i težine pokazuju vrednosti koje se koriste za petolitarske obične sudove koje sadrže 3 L suspenzije. Ako se koriste manje zapremine, vrednosti se prilagođavaju, s tim da se stvoreni ugljen-dioksid tačno meri.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svaki petolitarski običan sud sipa se 2.400 ml mineralne podloge. Doda se odgovarajuća zapremina pripremljenog aktivnog mulja (videti odeljak 1.7.4.1. i 1.7.5. ove metode) tako da se u konačnoj inokulisanoj mešavini od 3 L dobije koncentracija suspendovanih materija od najviše 30 mg/l. Alternativno, prvo se može razrediti pripremljeni mulj da se formira suspenzija od 500 mg/l do 1.000 mg/l u mineralnoj podlozi pre dodavanja uzorka - tako da se dobije koncentracija od 30 mg/l. Postupak obezbeđuje veću preciznost. Mogu se koristiti i ostali izvori inokuluma (videti odeljak 1.7.4.2.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Inokulirane smeše aerišu se vazduhom koji ne sadrži C.4-B u toku noći, da se sistem pročisti od ugljen-dioksida.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Ispitivani materijal i referentna supstanca dodaju se odvojeno, kao poznate zapremine osnovnih rastvora, u običnim sudovima u duplikatu, tako da finalne koncentracije, kojima su doprinele dodate hemikalije, budu od 10 mg do 20 mg DOC ili TOC/l. U neke obične sudove ne dodaju se hemikalije i one služe kao kontrola inokuluma. Slabo rastvorljive ispitivane supstance dodaju se direktno u obične sudove na bazi težine ili zapremine, kao što je opisano u Delu trećem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 potrebi, jedan običan sud se koristi za proveru mogućeg inhibitornog efekata ispitivane hemikalije tako što se dodaju i ispitivana i referentna hemikalija u istim koncentracijama u kojima su prisutne u drugim običnim sudovima.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 potrebi, jedan sterilan običan sud koristi se kako bi se upotrebom neinokulisanog rastvora hemikalije proverilo da li se ispitivana hemikalija razgrađuje abiotički (videti odeljak 1.8.6. ove metode). Steriliše se dodavanjem toksične supstance u odgovarajućoj koncentraciji.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Suspenzija se u svim običnim sudovima dopuni do zapremine od 3 L dodavanjem mineralne podloge prethodno aerisane vazduhom koji ne sadrži C.4-B. Po izboru, mogu se izvući uzorci </w:t>
      </w:r>
      <w:r w:rsidRPr="00984859">
        <w:rPr>
          <w:rFonts w:ascii="Arial" w:eastAsia="Times New Roman" w:hAnsi="Arial" w:cs="Arial"/>
          <w:lang w:eastAsia="sr-Latn-RS"/>
        </w:rPr>
        <w:lastRenderedPageBreak/>
        <w:t xml:space="preserve">za analizu DOC (videti Deo drugi ove metode), odnosno uzorci za specifičnu analizu. Apsorpcione boce spajaju se sa otvorima za vazduh na običnim sudovima.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koristi barijum-hidroksid, spoje se tri apsorpcione boce, od kojih svaka sadrži 100 ml rastvora barijum-hidroksida od 0,0125 M, u seriji sa svakim petolitarskim običnim sudom. Navedeni rastvor ne sadrži istaloženi sulfat ni karbonat i njegova jačina se određuje neposredno pre upotrebe. Ako se koristi natrijum hidroksid, spajaju se dve klopke, od kojih druga ima ulogu kontrole, da se pokaže da se sav ugljen-dioksid apsorbovao u prvoj. Pogodne su apsorpcione boce sa gumenim čepom. U svaku bocu se doda po 200 ml 0,05 M natrijum-hidroksida, što je dovoljno da se apsorbuje ukupna količina ugljen-dioksida koja se razvije kad ispitivana hemikalija bude potpuno razgrađena. Rastvor natrijum-hidroksida, čak i kad je sveže pripremljen, sadrži tragove karbonata, što se koriguje oduzimanjem vrednosti karbonata u slepoj probi.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4.2.5. Broj običnih sudova u tipičnom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Redni broj običnih sudova: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ispitivana suspenzija: obični sudovi br. 1 i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slepa proba sa inokulumom: obični sudovi br. 3 i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postupka: običan sud broj 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Preporučeno i po potrebi: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sterilna abiotička kontrola: običan sud broj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adsorpcije: običan sud broj 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toksičnosti: običan sud broj 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1.7.7.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4.2.6.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započinje propuštanjem mehurića vazduha koji ne sadrži C.4-B kroz suspenzije brzinom od 30 ml/min do 100 ml/min. Periodično se uzimaju uzorci apsorbenta ugljen dioksida za analizu sadržaja C.4-B. Tokom prvih 10 dana preporučuje se da se analiza uradi svaki drugi ili treći dan, a zatim svaki peti dan sve do 28. dana, tako da se može identifikovati desetodnevni period.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Dvadesetosmog dana, uzimaju se uzorci (po izboru) za DOC, odnosno za specifičnu analizu, meri se pH suspenzije i dodaje 1 ml koncentrovane hlorovodične kiseline u svaki običan sud. Preko noći obični sudovi se aerišu da se izvuče ugljen-dioksid prisutan u ispitivanim suspenzijama. Dvadesetdevetog dana radi se poslednja analiza stvorenog ugljen-dioksida.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dane merenja C.4-B, odvaja se apsorber sa barijum hidroksidom koji je najbliži običnom sudu i hidroksidni rastvor se titrira sa 0,05 M HCl, pri čemu se fenolftalein koristi kao indikator. Preostali apsorberi se pomiču za jedno mesto bliže običnom sudu i postavlja se novi apsorber koji sadrži 100 ml svežeg 0,0125 M barijum hidroksida na najdalji kraj serije. Titracije se rade po potrebi, npr. kad se vidi velika precipitacija u prvoj klopci, a pre nego postane vidljiva u drugoj, ili najmanje jednom nedeljno. Alternativno se može, sa NaOH kao </w:t>
      </w:r>
      <w:r w:rsidRPr="00984859">
        <w:rPr>
          <w:rFonts w:ascii="Arial" w:eastAsia="Times New Roman" w:hAnsi="Arial" w:cs="Arial"/>
          <w:lang w:eastAsia="sr-Latn-RS"/>
        </w:rPr>
        <w:lastRenderedPageBreak/>
        <w:t xml:space="preserve">apsorbentom, pipetom izvući mali uzorak (u zavisnosti od karakteristika upotrebljenog analizatora ugljenika) rastvora natrijum hidroksida u apsorberu bližem običnom sudu. Uzorak se injektira direktno u IC deo analizatora ugljenika za analizu nastalog ugljen-dioksida.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druge klopke analizira se na kraju ispitivanja, radi korekcije za eventualni preneti ugljen-dioksid.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4.3.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4.3.1.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istitrira, količina C.4-B uhvaćenog u apsorberu izražava se pomoću formule: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(100 x C</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- 0,5 x V x C</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x 44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jeste zapremina HCl upotrebljene za titraciju 100 ml u apsorberu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jeste koncentracija rastvora barijum hidroksida (M);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jeste koncentracija rastvora hlorovodične kiseline (M).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C</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iznosi 0,0125 M i CA iznosi 0,05 M, titracija za 100 ml barijum hidroksida jeste 50 ml, a masu C.4-B daje izraz: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20"/>
        <w:gridCol w:w="8292"/>
      </w:tblGrid>
      <w:tr w:rsidR="00984859" w:rsidRPr="00984859" w:rsidTr="00984859">
        <w:trPr>
          <w:tblCellSpacing w:w="0" w:type="dxa"/>
        </w:trPr>
        <w:tc>
          <w:tcPr>
            <w:tcW w:w="4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 </w:t>
            </w:r>
          </w:p>
        </w:tc>
        <w:tc>
          <w:tcPr>
            <w:tcW w:w="45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44 x ml titrirane HCL = 1,1 x ml HCL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ovom slučaju, za prevođenje zapremine istitrovane HCl u mg proizvedenog C.4-B primenjuje se faktor 1,1.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Izračunaju se mase C.4-B proizvedenog iz čistog inokuluma i inokuluma sa ispitivanom hemikalijom pomoću odgovarajućih titracijskih vrednosti, a dobijena razlika je masa C.4-B proizvedenog samo iz ispitivane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primer, ako sam inokulum daje titraciju od 48 ml, a inokulum sa ispitivanom hemikalijom daje 45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C.4-Biz inokuluma = 1,1 x (50 - 48) = 2,2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C.4-Biz inokuluma sa ispitivanom hemikalijom = 1,1 x (50 - 45) = 5,5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C.4-B proizvedenog iz ispitivane hemikalije iznosi 3,3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biorazgradnje izračunava se formulom: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21"/>
        <w:gridCol w:w="4261"/>
        <w:gridCol w:w="3330"/>
      </w:tblGrid>
      <w:tr w:rsidR="00984859" w:rsidRPr="00984859" w:rsidTr="00984859">
        <w:trPr>
          <w:tblCellSpacing w:w="0" w:type="dxa"/>
        </w:trPr>
        <w:tc>
          <w:tcPr>
            <w:tcW w:w="5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razgradnje = </w:t>
            </w:r>
          </w:p>
        </w:tc>
        <w:tc>
          <w:tcPr>
            <w:tcW w:w="13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proizvedenog C.4 - B x 100 </w:t>
            </w:r>
          </w:p>
        </w:tc>
        <w:tc>
          <w:tcPr>
            <w:tcW w:w="31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ThC.4 - B x mg dodate ispitivane hemikalije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formulom: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21"/>
        <w:gridCol w:w="4066"/>
        <w:gridCol w:w="3525"/>
      </w:tblGrid>
      <w:tr w:rsidR="00984859" w:rsidRPr="00984859" w:rsidTr="00984859">
        <w:trPr>
          <w:tblCellSpacing w:w="0" w:type="dxa"/>
        </w:trPr>
        <w:tc>
          <w:tcPr>
            <w:tcW w:w="5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razgradnje = </w:t>
            </w:r>
          </w:p>
        </w:tc>
        <w:tc>
          <w:tcPr>
            <w:tcW w:w="130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proizvedenog C.4 - B x 100 </w:t>
            </w:r>
          </w:p>
        </w:tc>
        <w:tc>
          <w:tcPr>
            <w:tcW w:w="320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TO dodatog prilikom ispitivanja x 3.67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 3,67 kao faktor konverzije (44/12) za ugljenik u ugljen-dioksid.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dobio procenat razgradnje nakon bilo kog vremenskog intervala, doda se procenat vrednosti ThC.4-B izračunate za svaki pojedini dan, do vremena na koji se radilo 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apsorbere od natrijum hidroksida, izračuna se količina proizvedenog ugljen-dioksida, izražena kao IC (mg), množenjem koncentracije IC u apsorbentu sa zapreminom apsorbenta.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razgradnje izračunava se formulom: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01"/>
        <w:gridCol w:w="4102"/>
        <w:gridCol w:w="3709"/>
      </w:tblGrid>
      <w:tr w:rsidR="00984859" w:rsidRPr="00984859" w:rsidTr="00984859">
        <w:trPr>
          <w:tblCellSpacing w:w="0" w:type="dxa"/>
        </w:trPr>
        <w:tc>
          <w:tcPr>
            <w:tcW w:w="4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ThC.4-B = </w:t>
            </w:r>
          </w:p>
        </w:tc>
        <w:tc>
          <w:tcPr>
            <w:tcW w:w="14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IC običnog suda - mg IC slepe probe) </w:t>
            </w:r>
          </w:p>
        </w:tc>
        <w:tc>
          <w:tcPr>
            <w:tcW w:w="320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TOC dodat kao ispitivana hemikalija)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Uklanjanje DOC (po izboru) se izračuna na način iz odeljka 1.8. ove metode. Rezultati se zapisuju u obrascima za unos podataka.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4.3.2. Prihvatljivost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IC u suspenziji ispitivane hemikalije u mineralnoj podlozi na početku ispitivanja iznosi manje od 5% TC, a ukupno razvijeni C.4-B u slepoj probi sa inokulumom na kraju ispitivanja ne sme normalno da premaši 40 mg/l podloge. Ako se dobiju vrednosti iznad 70 mg C.4-B/l, podaci i ispitivana tehnika se kritički ispituju.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1.6.2.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4.3.3.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1.9.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4.4. OBRASCI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 obrasca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RAZVIJANJA C.4-B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LABORATORIJA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DATUM POČETKA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Hemijski naziv: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osnovnog rastvora:... mg/l kao hemikalija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koncentracija u podlozi:... mg/l kao hemikalija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Ukupni C dodat u običnu posudu :... mg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ThC.4-B: … mg C.4-B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Sprovedena obrada: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Prekondicioniranje, ako je sprovedeno: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suspendovanih materija u reakcionoj smeši:... mg/l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87"/>
        <w:gridCol w:w="196"/>
        <w:gridCol w:w="196"/>
        <w:gridCol w:w="1252"/>
        <w:gridCol w:w="216"/>
        <w:gridCol w:w="216"/>
        <w:gridCol w:w="1431"/>
        <w:gridCol w:w="1475"/>
        <w:gridCol w:w="1475"/>
        <w:gridCol w:w="188"/>
        <w:gridCol w:w="188"/>
        <w:gridCol w:w="1412"/>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(dani)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Razvijeni C.4-B Test (mg)</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Razvijeni C.4-B Slepa proba (mg)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Kumulativni razvijeni C.4-B (mg) (test minus srednja vrednost slepe probe) </w:t>
            </w:r>
          </w:p>
        </w:tc>
        <w:tc>
          <w:tcPr>
            <w:tcW w:w="0" w:type="auto"/>
            <w:gridSpan w:val="3"/>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70"/>
              <w:gridCol w:w="452"/>
            </w:tblGrid>
            <w:tr w:rsidR="00984859" w:rsidRPr="00984859">
              <w:trPr>
                <w:tblCellSpacing w:w="0" w:type="dxa"/>
              </w:trPr>
              <w:tc>
                <w:tcPr>
                  <w:tcW w:w="0" w:type="auto"/>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ThC.4-b</w:t>
                  </w:r>
                  <w:r w:rsidRPr="00984859">
                    <w:rPr>
                      <w:rFonts w:ascii="Arial" w:eastAsia="Times New Roman" w:hAnsi="Arial" w:cs="Arial"/>
                      <w:lang w:eastAsia="sr-Latn-RS"/>
                    </w:rPr>
                    <w:br/>
                    <w:t>kumulativni CO</w:t>
                  </w:r>
                  <w:r w:rsidRPr="00984859">
                    <w:rPr>
                      <w:rFonts w:ascii="Arial" w:eastAsia="Times New Roman" w:hAnsi="Arial" w:cs="Arial"/>
                      <w:sz w:val="15"/>
                      <w:szCs w:val="15"/>
                      <w:vertAlign w:val="subscript"/>
                      <w:lang w:eastAsia="sr-Latn-RS"/>
                    </w:rPr>
                    <w:t>2</w:t>
                  </w:r>
                </w:p>
              </w:tc>
              <w:tc>
                <w:tcPr>
                  <w:tcW w:w="0" w:type="auto"/>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ThCO</w:t>
                  </w:r>
                  <w:r w:rsidRPr="00984859">
                    <w:rPr>
                      <w:rFonts w:ascii="Arial" w:eastAsia="Times New Roman" w:hAnsi="Arial" w:cs="Arial"/>
                      <w:sz w:val="15"/>
                      <w:szCs w:val="15"/>
                      <w:vertAlign w:val="subscript"/>
                      <w:lang w:eastAsia="sr-Latn-RS"/>
                    </w:rPr>
                    <w:t>2</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vrednost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1</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2</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3</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Slični formati mogu se koristiti za referentne hemijske kontrole i kontrole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ANALIZA UGLJENIKA (PO IZBORU)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Analizator ugljenika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847"/>
        <w:gridCol w:w="2923"/>
        <w:gridCol w:w="3362"/>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(u danima)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Slepa proba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Test hemikalija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b(0)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b(t)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p>
        </w:tc>
      </w:tr>
      <w:tr w:rsidR="00984859" w:rsidRPr="00984859" w:rsidTr="00984859">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ili na kraju inkubacije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84"/>
        <w:gridCol w:w="210"/>
        <w:gridCol w:w="287"/>
        <w:gridCol w:w="665"/>
        <w:gridCol w:w="270"/>
        <w:gridCol w:w="5596"/>
      </w:tblGrid>
      <w:tr w:rsidR="00984859" w:rsidRPr="00984859" w:rsidTr="00984859">
        <w:trPr>
          <w:tblCellSpacing w:w="0" w:type="dxa"/>
        </w:trPr>
        <w:tc>
          <w:tcPr>
            <w:tcW w:w="1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uključenog DOC = </w:t>
            </w:r>
          </w:p>
        </w:tc>
        <w:tc>
          <w:tcPr>
            <w:tcW w:w="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7EEF86A6" wp14:editId="460D95ED">
                  <wp:extent cx="104775" cy="657225"/>
                  <wp:effectExtent l="0" t="0" r="9525" b="9525"/>
                  <wp:docPr id="110" name="Picture 110" descr="C:\Program Files (x86)\ParagrafLex\browser\Files\Old\t\t2013_12\t12_0570_s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Program Files (x86)\ParagrafLex\browser\Files\Old\t\t2013_12\t12_0570_s08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657225"/>
                          </a:xfrm>
                          <a:prstGeom prst="rect">
                            <a:avLst/>
                          </a:prstGeom>
                          <a:noFill/>
                          <a:ln>
                            <a:noFill/>
                          </a:ln>
                        </pic:spPr>
                      </pic:pic>
                    </a:graphicData>
                  </a:graphic>
                </wp:inline>
              </w:drawing>
            </w:r>
          </w:p>
        </w:tc>
        <w:tc>
          <w:tcPr>
            <w:tcW w:w="1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350" w:type="pct"/>
            <w:noWrap/>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123D7619" wp14:editId="5AE85E1E">
                  <wp:extent cx="142875" cy="638175"/>
                  <wp:effectExtent l="0" t="0" r="9525" b="9525"/>
                  <wp:docPr id="109" name="Picture 109" descr="C:\Program Files (x86)\ParagrafLex\browser\Files\Old\t\t2013_12\t12_0570_s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Program Files (x86)\ParagrafLex\browser\Files\Old\t\t2013_12\t12_0570_s089.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638175"/>
                          </a:xfrm>
                          <a:prstGeom prst="rect">
                            <a:avLst/>
                          </a:prstGeom>
                          <a:noFill/>
                          <a:ln>
                            <a:noFill/>
                          </a:ln>
                        </pic:spPr>
                      </pic:pic>
                    </a:graphicData>
                  </a:graphic>
                </wp:inline>
              </w:drawing>
            </w:r>
          </w:p>
        </w:tc>
        <w:tc>
          <w:tcPr>
            <w:tcW w:w="42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50" w:type="pct"/>
            <w:tcBorders>
              <w:top w:val="single" w:sz="2" w:space="0" w:color="000000"/>
              <w:left w:val="single" w:sz="2" w:space="0" w:color="000000"/>
              <w:bottom w:val="single" w:sz="6" w:space="0" w:color="000000"/>
              <w:right w:val="single" w:sz="2" w:space="0" w:color="000000"/>
            </w:tcBorders>
            <w:noWrap/>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bt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bt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ABIOTIČKA RAZGRADNJA (po izboru)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451"/>
        <w:gridCol w:w="4829"/>
        <w:gridCol w:w="1832"/>
      </w:tblGrid>
      <w:tr w:rsidR="00984859" w:rsidRPr="00984859" w:rsidTr="00984859">
        <w:trPr>
          <w:tblCellSpacing w:w="0" w:type="dxa"/>
        </w:trPr>
        <w:tc>
          <w:tcPr>
            <w:tcW w:w="8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abiotičke razgradnje = </w:t>
            </w:r>
          </w:p>
        </w:tc>
        <w:tc>
          <w:tcPr>
            <w:tcW w:w="16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nastao u običnoj posudi nakon 28 dana </w:t>
            </w:r>
            <w:r w:rsidRPr="00984859">
              <w:rPr>
                <w:rFonts w:ascii="Symbol" w:eastAsia="Times New Roman" w:hAnsi="Symbol" w:cs="Arial"/>
                <w:lang w:eastAsia="sr-Latn-RS"/>
              </w:rPr>
              <w:t></w:t>
            </w:r>
            <w:r w:rsidRPr="00984859">
              <w:rPr>
                <w:rFonts w:ascii="Arial" w:eastAsia="Times New Roman" w:hAnsi="Arial" w:cs="Arial"/>
                <w:lang w:eastAsia="sr-Latn-RS"/>
              </w:rPr>
              <w:t>mg</w:t>
            </w:r>
            <w:r w:rsidRPr="00984859">
              <w:rPr>
                <w:rFonts w:ascii="Symbol" w:eastAsia="Times New Roman" w:hAnsi="Symbol" w:cs="Arial"/>
                <w:lang w:eastAsia="sr-Latn-RS"/>
              </w:rPr>
              <w:t></w:t>
            </w:r>
          </w:p>
        </w:tc>
        <w:tc>
          <w:tcPr>
            <w:tcW w:w="25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ThCO</w:t>
            </w:r>
            <w:r w:rsidRPr="00984859">
              <w:rPr>
                <w:rFonts w:ascii="Arial" w:eastAsia="Times New Roman" w:hAnsi="Arial" w:cs="Arial"/>
                <w:sz w:val="15"/>
                <w:szCs w:val="15"/>
                <w:vertAlign w:val="subscript"/>
                <w:lang w:eastAsia="sr-Latn-RS"/>
              </w:rPr>
              <w:t>2</w:t>
            </w:r>
            <w:r w:rsidRPr="00984859">
              <w:rPr>
                <w:rFonts w:ascii="Symbol" w:eastAsia="Times New Roman" w:hAnsi="Symbol" w:cs="Arial"/>
                <w:lang w:eastAsia="sr-Latn-RS"/>
              </w:rPr>
              <w:t></w:t>
            </w:r>
            <w:r w:rsidRPr="00984859">
              <w:rPr>
                <w:rFonts w:ascii="Arial" w:eastAsia="Times New Roman" w:hAnsi="Arial" w:cs="Arial"/>
                <w:lang w:eastAsia="sr-Latn-RS"/>
              </w:rPr>
              <w:t>mg</w:t>
            </w:r>
            <w:r w:rsidRPr="00984859">
              <w:rPr>
                <w:rFonts w:ascii="Symbol" w:eastAsia="Times New Roman" w:hAnsi="Symbol" w:cs="Arial"/>
                <w:lang w:eastAsia="sr-Latn-RS"/>
              </w:rPr>
              <w: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 MANOMETRIJSKA RESPIROMETRIJA (METODA C.4-D)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5.1.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Odmerena zapremina inokulisane mineralne podloge, koja sadrži poznatu koncentraciju ispitivane hemikalije (100 mg/l ispitivane supstance, da se dobije najmanje 50 mg ThOD/ldo 100 mg ThOD/l) kao jedini nominalni izvor organskog ugljenika, meša se u zatvorenom običnom sudu na stalnoj temperaturi (± 1° C ili manje) ne duže od 28 dana. Potrošnja kiseonika određuje se ili pomoću merenja količine kiseonika (proizvedenog elektrolizom) potrebnog da se održi konstantna zapremina gasa u običnom sudu respirometra ili iz promena u zapremini ili pritisku (ili kombinacijom ova dva načina) u opremi. Razvijeni ugljen-dioksid apsorbuje se u rastvoru kalijum hidroksida ili drugog pogodnog apsorbenta. Količina kiseonika koju potroši ispitivana hemikalija (korigovano za potrošnju inokuluma iz slepe probe, radi se uporedo) izražava se kao procenat ThOD ili HPK. Po izboru, primarna biorazgradnja može se izračunatii iz dodatne specifične analize urađene na početku i na kraju inkubacije, a krajnja biorazgradnja pomoću DOC analize.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5.2.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5.2.1.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Oprema za ispitivanje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pogodni respirometar;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kontrolu temperature, koja se održava unutar ± 1° C ili manje;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sistem za membransku filtraciju (nije obavezan);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analizator ugljenika (nije obavezan).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5.2.2. Priprema mineralne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pripremu osnovnog rastvora, videti odeljak 1.7.2.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Pomeša se 10 ml osnovnog rastvora 1 sa 800 ml vode za razblaživanje, doda se 1 ml osnovnog rastvora 2 do 4 i dopuni do zapremine od 1 L sa vodom za razblaživanje.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5.2.3. Priprema i prekondicioniranje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Inokulum se može uzeti iz raznih vrsta izvora: aktiviranog mulja, efluenta otpadnih voda, površinskih voda i zemljišta ili smeše istih.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odeljke 1.7.4, 1.7.4.1, 1.7.4.2. i 1.7.5.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5.2.4. Priprema običnog suda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Rastvori ispitivanih i referentnih hemikalija pripremaju se u odvojenim serijama, u mineralnoj podlozi ekvivalentno koncentraciji obično od 100 mg hemikalije/l (dajući najmanje 50 mg ThOD/ldo 100 mg ThOD/l), pomoću osnovnih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ThOD se izračunava na osnovu nagrađenih soli amonijaka, osim u slučaju kad se očekuje nitrifikacija. Tada se izračunavanje bazira na stvaranju nitrata (videti odeljak 2.2.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Odrede se pH vrednosti i po potrebi svedu na vrednosti od 7,4 ± 0,2.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Slabo rastvorljive supstance se dodaju u kasnijoj fazi.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određuje toksičnost ispitivane hemikalije, priprema se još jedan rastvor u mineralnoj podlozi koja sadrži i ispitivanu i referentnu hemikaliju u istim koncentracijama kao i pojedinačni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meri fizičko-hemijska potrošnja kiseonika, priprema se rastvor ispitivane hemikalije u koncentraciji obično od 100 mg ThOD/l koja je prethodno bila sterilisana dodatkom odgovarajuće toksične supstance (videti odeljak 1.7.6.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Potrebna zapremina svakog od rastvora ispitivane i referentne hemikalije sipa se u najmanje dva obična suda. U ostale obične sudove dodaje se samo mineralna podloga (za kontrolu inokuluma) i po potrebi, pomešani rastvori ispitivane/referentne supstance i sterilni rastvor.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ispitivana supstanca slabo rastvorljiva, u ovoj fazi se ona dodaje direktno na osnovu mase ili zapremine, ili se obrađuje na način iz odeljka 3. ove metode. U odeljke C.4-B apsorbera dodaju se kalijum-hidroksid, zrnca natrijum i kalcijum-hidroksida (kreč) ili drugi apsorbensi.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5.2.5. Broj običnih sudova u tipičnom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Redni broj običnih sudova: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ispitivana suspenzija: obični sudovi br. 1 i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slepa proba sa inokulumom: obični sudovi br. 3 i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postupka: običan sud broj 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Preporučeno i po potrebi: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sterilna kontrola: običan sud broj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kontrola toksičnosti: običan sud broj 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1.7.7.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5.2.6.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što se u posudama postigne željena temperatura, u odgovarajuće posude se inokuliše pripremljeni aktivni mulj ili inokulum iz drugog izvora da se dobije koncentracija suspendovanih materija ne veća od 30 mg/l. Sastavi se oprema, pokrene mešalica, proveri se izolacija vazduha i započne sa merenjem potrošnje kiseonika. Obično nije potreban dodatni oprez osim što se rade obavezna očitavanja i svakodnevno proverava da je temperatura tačna i da mešalica radi.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Potrošnja kiseonika izračunava se iz očitavanja obavljenih u redovnim i čestim intervalima, pomoću postupaka koje je dao proizvođač opreme. Na kraju inkubacije, obično od 28 dana, izmeri se pH vrednost sadržaja običnih sudova, posebno ako je potrošnja kiseonika niska ili veća od ThODNH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(za jedinjenja koja sadrže azot).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 potrebi se uzimaju uzorci iz respirometrijskih običnih sudova, na početku i na kraju, za analizu DOC ili specifične hemikalije (videti odeljak 2.4. ove metode). Kad se prvi put uzimaju uzorci, potrebno je znati zapreminu test suspenzije koja je preostala u običnom sudu. Kad test supstanca koja sadrži azot troši kiseonik, određuje se porast koncentracije nitrita ili nitrata u toku 28 dana i izračuna se korekcija za kiseonik potrošen u nitrifikaciji (videti Deo peti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5.3.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5.3.1.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Kiseonik (mg) koji je potrošila ispitivana hemikalija u određenom vremenskom periodu (korigovan za onaj pomoću kontrole slepe probe sa inokulumom u istom vremenskom periodu) podeli se sa masom upotrebljene ispitivane hemikalije. Time se dobije BPK izražen kao mg kiseonika po mg ispitivane hemikalije, to jest: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65"/>
        <w:gridCol w:w="6584"/>
        <w:gridCol w:w="1863"/>
      </w:tblGrid>
      <w:tr w:rsidR="00984859" w:rsidRPr="00984859" w:rsidTr="00984859">
        <w:trPr>
          <w:tblCellSpacing w:w="0" w:type="dxa"/>
        </w:trPr>
        <w:tc>
          <w:tcPr>
            <w:tcW w:w="2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BPK = </w:t>
            </w:r>
          </w:p>
        </w:tc>
        <w:tc>
          <w:tcPr>
            <w:tcW w:w="21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 potrošnja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ispitivane hemikalije - mg potrošnja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slepe probe </w:t>
            </w:r>
          </w:p>
        </w:tc>
        <w:tc>
          <w:tcPr>
            <w:tcW w:w="2650" w:type="pct"/>
            <w:noWrap/>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ispitivane hemikalije u običnom sudu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 mg ispitivane hemikalije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biorazgradnje izračunava se pomoću jednačine: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359"/>
        <w:gridCol w:w="3925"/>
        <w:gridCol w:w="2828"/>
      </w:tblGrid>
      <w:tr w:rsidR="00984859" w:rsidRPr="00984859" w:rsidTr="00984859">
        <w:trPr>
          <w:tblCellSpacing w:w="0" w:type="dxa"/>
        </w:trPr>
        <w:tc>
          <w:tcPr>
            <w:tcW w:w="7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razgradnje = ThOD = </w:t>
            </w:r>
          </w:p>
        </w:tc>
        <w:tc>
          <w:tcPr>
            <w:tcW w:w="13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BPK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mg ispitivane hemikalije) </w:t>
            </w:r>
          </w:p>
        </w:tc>
        <w:tc>
          <w:tcPr>
            <w:tcW w:w="29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ThOD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mg ispitivane hemikalije)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jednačine: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34"/>
        <w:gridCol w:w="3363"/>
        <w:gridCol w:w="4815"/>
      </w:tblGrid>
      <w:tr w:rsidR="00984859" w:rsidRPr="00984859" w:rsidTr="00984859">
        <w:trPr>
          <w:tblCellSpacing w:w="0" w:type="dxa"/>
        </w:trPr>
        <w:tc>
          <w:tcPr>
            <w:tcW w:w="3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HPK = </w:t>
            </w:r>
          </w:p>
        </w:tc>
        <w:tc>
          <w:tcPr>
            <w:tcW w:w="12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BPK(mg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mg ispitivane hemikalije) </w:t>
            </w:r>
          </w:p>
        </w:tc>
        <w:tc>
          <w:tcPr>
            <w:tcW w:w="34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HPK(mg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ispitivane hemikalije)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dva postupka ne daju obavezno iste vrednosti. Prednost se daje prvom postupku.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ispitivanje supstanci koje sadrže azot, koristi se odgovarajući ThOD (NH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ili 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u zavisnosti od toga šta se zna ili šta se očekuje u vezi sa pojavom nitrifikacije (videti odeljak 2.2. ove metode). Ako nastupi nitrifikacija, ali ne bude potpuna, izračuna se korekcija za kiseonik potrošen u nitrifikaciji iz promena u koncentraciji nitrita i nitrata (videti Deo peti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rade opciona određivanja organskog ugljenika, odnosno specifične hemikalije, procenat razgradnje se izračunava na način iz odeljka 1.8.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se zapisuju u obrasce za unos podataka.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5.3.2. Prihvatljivost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Potrošnja kiseonika slepe probe sa inokulumom normalno iznosi 20 mg/lO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do 30 mg/l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ne sme biti veća od 60 mg/l u 28 dana. Ako su vrednosti veće od 60 mg/l, kritički proveriti podatke i ispitivane tehnike. Ako pH vrednost izlazi izvan opsega od 6 do 8,5 i potrošnja kiseonika ispitivane hemikalije je manja od 60% kiseonika, ispitivanje se ponavlja sa nižim koncentracijama ispitivane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Videti odeljak 1.6.2.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5.3.3.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1.9.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5.4. OBRASCI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 obrasca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MANOMETRIJSKA RESPIROMETRIJA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LABORATORIJA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DATUM POČETKA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Hemijski naziv: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osnovnog rastvora:...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koncentracija u podlozi, Co :...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u običnom sudu (V):...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ThOD ili HPK:...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mg ispitivane supstance (NH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ili 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Sprovedena obrada: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Prekondicioniranje, ako je obavljeno: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suspendovanih materija u reakcionoj smesi:...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POTROŠNJA KISEONIKA: BIORAZGRADLJIVOST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93"/>
        <w:gridCol w:w="2558"/>
        <w:gridCol w:w="457"/>
        <w:gridCol w:w="365"/>
        <w:gridCol w:w="274"/>
        <w:gridCol w:w="365"/>
        <w:gridCol w:w="365"/>
        <w:gridCol w:w="365"/>
        <w:gridCol w:w="365"/>
        <w:gridCol w:w="365"/>
        <w:gridCol w:w="365"/>
        <w:gridCol w:w="365"/>
        <w:gridCol w:w="365"/>
        <w:gridCol w:w="365"/>
      </w:tblGrid>
      <w:tr w:rsidR="00984859" w:rsidRPr="00984859" w:rsidTr="00984859">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(u danima) </w:t>
            </w:r>
          </w:p>
        </w:tc>
        <w:tc>
          <w:tcPr>
            <w:tcW w:w="0" w:type="auto"/>
            <w:gridSpan w:val="1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(u danima) </w:t>
            </w:r>
          </w:p>
        </w:tc>
      </w:tr>
      <w:tr w:rsidR="00984859" w:rsidRPr="00984859" w:rsidTr="00984859">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2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20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5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 </w:t>
            </w:r>
          </w:p>
        </w:tc>
        <w:tc>
          <w:tcPr>
            <w:tcW w:w="20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20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 </w:t>
            </w:r>
          </w:p>
        </w:tc>
        <w:tc>
          <w:tcPr>
            <w:tcW w:w="20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20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20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 </w:t>
            </w:r>
          </w:p>
        </w:tc>
        <w:tc>
          <w:tcPr>
            <w:tcW w:w="20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20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200" w:type="pct"/>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w:t>
            </w:r>
          </w:p>
        </w:tc>
        <w:tc>
          <w:tcPr>
            <w:tcW w:w="2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200" w:type="pct"/>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Potrošnja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(mg) ispitivana hemikalija </w:t>
            </w:r>
          </w:p>
        </w:tc>
        <w:tc>
          <w:tcPr>
            <w:tcW w:w="14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 srednja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Potrošnja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(mg) Slepa proba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 srednja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Korigovani BPK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b</w:t>
            </w:r>
            <w:r w:rsidRPr="00984859">
              <w:rPr>
                <w:rFonts w:ascii="Arial" w:eastAsia="Times New Roman" w:hAnsi="Arial" w:cs="Arial"/>
                <w:sz w:val="15"/>
                <w:szCs w:val="15"/>
                <w:vertAlign w:val="subscript"/>
                <w:lang w:eastAsia="sr-Latn-RS"/>
              </w:rPr>
              <w:t>na</w:t>
            </w:r>
            <w:r w:rsidRPr="00984859">
              <w:rPr>
                <w:rFonts w:ascii="Arial" w:eastAsia="Times New Roman" w:hAnsi="Arial" w:cs="Arial"/>
                <w:lang w:eastAsia="sr-Latn-RS"/>
              </w:rPr>
              <w: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b</w:t>
            </w:r>
            <w:r w:rsidRPr="00984859">
              <w:rPr>
                <w:rFonts w:ascii="Arial" w:eastAsia="Times New Roman" w:hAnsi="Arial" w:cs="Arial"/>
                <w:sz w:val="15"/>
                <w:szCs w:val="15"/>
                <w:vertAlign w:val="subscript"/>
                <w:lang w:eastAsia="sr-Latn-RS"/>
              </w:rPr>
              <w:t>na</w:t>
            </w:r>
            <w:r w:rsidRPr="00984859">
              <w:rPr>
                <w:rFonts w:ascii="Arial" w:eastAsia="Times New Roman" w:hAnsi="Arial" w:cs="Arial"/>
                <w:lang w:eastAsia="sr-Latn-RS"/>
              </w:rPr>
              <w: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BPK po mg test </w:t>
            </w:r>
            <w:r w:rsidRPr="00984859">
              <w:rPr>
                <w:rFonts w:ascii="Arial" w:eastAsia="Times New Roman" w:hAnsi="Arial" w:cs="Arial"/>
                <w:lang w:eastAsia="sr-Latn-RS"/>
              </w:rPr>
              <w:lastRenderedPageBreak/>
              <w:t xml:space="preserve">hemikalije </w:t>
            </w: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97"/>
              <w:gridCol w:w="1371"/>
              <w:gridCol w:w="424"/>
            </w:tblGrid>
            <w:tr w:rsidR="00984859" w:rsidRPr="00984859">
              <w:trPr>
                <w:trHeight w:val="276"/>
                <w:tblCellSpacing w:w="0" w:type="dxa"/>
              </w:trPr>
              <w:tc>
                <w:tcPr>
                  <w:tcW w:w="1400" w:type="pct"/>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2750" w:type="pct"/>
                  <w:vMerge w:val="restart"/>
                  <w:vAlign w:val="center"/>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35"/>
                  </w:tblGrid>
                  <w:tr w:rsidR="00984859" w:rsidRPr="00984859">
                    <w:trPr>
                      <w:tblCellSpacing w:w="0" w:type="dxa"/>
                    </w:trPr>
                    <w:tc>
                      <w:tcPr>
                        <w:tcW w:w="0" w:type="auto"/>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b) </w:t>
                        </w:r>
                      </w:p>
                    </w:tc>
                  </w:tr>
                  <w:tr w:rsidR="00984859" w:rsidRP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V </w:t>
                        </w: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50" w:type="pct"/>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trPr>
                <w:trHeight w:val="276"/>
                <w:tblCellSpacing w:w="0" w:type="dxa"/>
              </w:trPr>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97"/>
              <w:gridCol w:w="1371"/>
              <w:gridCol w:w="424"/>
            </w:tblGrid>
            <w:tr w:rsidR="00984859" w:rsidRPr="00984859">
              <w:trPr>
                <w:trHeight w:val="276"/>
                <w:tblCellSpacing w:w="0" w:type="dxa"/>
              </w:trPr>
              <w:tc>
                <w:tcPr>
                  <w:tcW w:w="1400" w:type="pct"/>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2750" w:type="pct"/>
                  <w:vMerge w:val="restart"/>
                  <w:vAlign w:val="center"/>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35"/>
                  </w:tblGrid>
                  <w:tr w:rsidR="00984859" w:rsidRPr="00984859">
                    <w:trPr>
                      <w:tblCellSpacing w:w="0" w:type="dxa"/>
                    </w:trPr>
                    <w:tc>
                      <w:tcPr>
                        <w:tcW w:w="0" w:type="auto"/>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b) </w:t>
                        </w:r>
                      </w:p>
                    </w:tc>
                  </w:tr>
                  <w:tr w:rsidR="00984859" w:rsidRP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V </w:t>
                        </w: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50" w:type="pct"/>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trPr>
                <w:trHeight w:val="276"/>
                <w:tblCellSpacing w:w="0" w:type="dxa"/>
              </w:trPr>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razgradnje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9"/>
              <w:gridCol w:w="1988"/>
              <w:gridCol w:w="70"/>
            </w:tblGrid>
            <w:tr w:rsidR="00984859" w:rsidRPr="00984859">
              <w:trPr>
                <w:trHeight w:val="276"/>
                <w:tblCellSpacing w:w="0" w:type="dxa"/>
              </w:trPr>
              <w:tc>
                <w:tcPr>
                  <w:tcW w:w="0" w:type="auto"/>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restart"/>
                  <w:vAlign w:val="center"/>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70"/>
                    <w:gridCol w:w="882"/>
                  </w:tblGrid>
                  <w:tr w:rsidR="00984859" w:rsidRPr="00984859">
                    <w:trPr>
                      <w:tblCellSpacing w:w="0" w:type="dxa"/>
                    </w:trPr>
                    <w:tc>
                      <w:tcPr>
                        <w:tcW w:w="0" w:type="auto"/>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PBK </w:t>
                        </w:r>
                      </w:p>
                    </w:tc>
                    <w:tc>
                      <w:tcPr>
                        <w:tcW w:w="0" w:type="auto"/>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x100 </w:t>
                        </w:r>
                      </w:p>
                    </w:tc>
                  </w:tr>
                  <w:tr w:rsidR="00984859" w:rsidRP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ThOD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trPr>
                <w:trHeight w:val="276"/>
                <w:tblCellSpacing w:w="0" w:type="dxa"/>
              </w:trPr>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vrednost (*)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gridSpan w:val="1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 - zapremina podloge u običnom sudu </w:t>
            </w:r>
          </w:p>
        </w:tc>
      </w:tr>
      <w:tr w:rsidR="00984859" w:rsidRPr="00984859" w:rsidTr="00984859">
        <w:trPr>
          <w:tblCellSpacing w:w="0" w:type="dxa"/>
        </w:trPr>
        <w:tc>
          <w:tcPr>
            <w:tcW w:w="0" w:type="auto"/>
            <w:gridSpan w:val="1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Ne sme se računati srednja vrednost ako postoji velika razlika između D</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D</w:t>
            </w:r>
            <w:r w:rsidRPr="00984859">
              <w:rPr>
                <w:rFonts w:ascii="Arial" w:eastAsia="Times New Roman" w:hAnsi="Arial" w:cs="Arial"/>
                <w:sz w:val="15"/>
                <w:szCs w:val="15"/>
                <w:vertAlign w:val="subscript"/>
                <w:lang w:eastAsia="sr-Latn-RS"/>
              </w:rPr>
              <w:t>2</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Slični obrasci mogu se koristiti za referentnu hemikaliju i kontrolu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KOREKCIJA ZBOG NITRIFIKACIJE (videti Deo peti ove metode)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40"/>
        <w:gridCol w:w="6243"/>
        <w:gridCol w:w="286"/>
        <w:gridCol w:w="476"/>
        <w:gridCol w:w="1087"/>
      </w:tblGrid>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razlika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nitrata (mg N/L)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Ekvivalent kiseonika (4,57 × N × V) (mg)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nitrita (mg N/L)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Ekvivalent kiseonika (3,43 × N × V) (mg)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(II+IV)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ekvivalent kiseonika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ANALIZA UGLJENIKA (po izboru)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Analizator ugljenika: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847"/>
        <w:gridCol w:w="2923"/>
        <w:gridCol w:w="3362"/>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(u danima)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Slepa proba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Test hemikalija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bl0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blt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p>
        </w:tc>
      </w:tr>
      <w:tr w:rsidR="00984859" w:rsidRPr="00984859" w:rsidTr="00984859">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Ili na kraju inkubacije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84"/>
        <w:gridCol w:w="210"/>
        <w:gridCol w:w="287"/>
        <w:gridCol w:w="705"/>
        <w:gridCol w:w="270"/>
        <w:gridCol w:w="5556"/>
      </w:tblGrid>
      <w:tr w:rsidR="00984859" w:rsidRPr="00984859" w:rsidTr="00984859">
        <w:trPr>
          <w:tblCellSpacing w:w="0" w:type="dxa"/>
        </w:trPr>
        <w:tc>
          <w:tcPr>
            <w:tcW w:w="1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uključenog DOC = </w:t>
            </w:r>
          </w:p>
        </w:tc>
        <w:tc>
          <w:tcPr>
            <w:tcW w:w="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20AADA31" wp14:editId="55814DC2">
                  <wp:extent cx="104775" cy="657225"/>
                  <wp:effectExtent l="0" t="0" r="9525" b="9525"/>
                  <wp:docPr id="108" name="Picture 108" descr="C:\Program Files (x86)\ParagrafLex\browser\Files\Old\t\t2013_12\t12_0570_s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Program Files (x86)\ParagrafLex\browser\Files\Old\t\t2013_12\t12_0570_s08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657225"/>
                          </a:xfrm>
                          <a:prstGeom prst="rect">
                            <a:avLst/>
                          </a:prstGeom>
                          <a:noFill/>
                          <a:ln>
                            <a:noFill/>
                          </a:ln>
                        </pic:spPr>
                      </pic:pic>
                    </a:graphicData>
                  </a:graphic>
                </wp:inline>
              </w:drawing>
            </w:r>
          </w:p>
        </w:tc>
        <w:tc>
          <w:tcPr>
            <w:tcW w:w="1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350" w:type="pct"/>
            <w:noWrap/>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5C910203" wp14:editId="42071491">
                  <wp:extent cx="142875" cy="638175"/>
                  <wp:effectExtent l="0" t="0" r="9525" b="9525"/>
                  <wp:docPr id="107" name="Picture 107" descr="C:\Program Files (x86)\ParagrafLex\browser\Files\Old\t\t2013_12\t12_0570_s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Program Files (x86)\ParagrafLex\browser\Files\Old\t\t2013_12\t12_0570_s089.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638175"/>
                          </a:xfrm>
                          <a:prstGeom prst="rect">
                            <a:avLst/>
                          </a:prstGeom>
                          <a:noFill/>
                          <a:ln>
                            <a:noFill/>
                          </a:ln>
                        </pic:spPr>
                      </pic:pic>
                    </a:graphicData>
                  </a:graphic>
                </wp:inline>
              </w:drawing>
            </w:r>
          </w:p>
        </w:tc>
        <w:tc>
          <w:tcPr>
            <w:tcW w:w="42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50" w:type="pct"/>
            <w:tcBorders>
              <w:top w:val="single" w:sz="2" w:space="0" w:color="000000"/>
              <w:left w:val="single" w:sz="2" w:space="0" w:color="000000"/>
              <w:bottom w:val="single" w:sz="6" w:space="0" w:color="000000"/>
              <w:right w:val="single" w:sz="2" w:space="0" w:color="000000"/>
            </w:tcBorders>
            <w:noWrap/>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blt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blt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SPECIFIČNA HEMIKALIJA (po izboru)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koncentracija u fizičko-hemijskoj (sterilnoj) kontroli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 koncentracija u inokulisanom običnom sudu 28. dana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815"/>
        <w:gridCol w:w="641"/>
        <w:gridCol w:w="6656"/>
      </w:tblGrid>
      <w:tr w:rsidR="00984859" w:rsidRPr="00984859" w:rsidTr="00984859">
        <w:trPr>
          <w:tblCellSpacing w:w="0" w:type="dxa"/>
        </w:trPr>
        <w:tc>
          <w:tcPr>
            <w:tcW w:w="6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biorazgradnje = </w:t>
            </w:r>
          </w:p>
        </w:tc>
        <w:tc>
          <w:tcPr>
            <w:tcW w:w="5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S</w:t>
            </w:r>
            <w:r w:rsidRPr="00984859">
              <w:rPr>
                <w:rFonts w:ascii="Arial" w:eastAsia="Times New Roman" w:hAnsi="Arial" w:cs="Arial"/>
                <w:sz w:val="15"/>
                <w:szCs w:val="15"/>
                <w:vertAlign w:val="subscript"/>
                <w:lang w:eastAsia="sr-Latn-RS"/>
              </w:rPr>
              <w:t>a</w:t>
            </w:r>
          </w:p>
        </w:tc>
        <w:tc>
          <w:tcPr>
            <w:tcW w:w="38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jeste koncentracija u fizičko-hemijskoj (sterilnoj) kontroli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S</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jeste koncentracija u inokulisanom običnom sudu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ABIOTIČKA RAZGRADNJA (po izboru)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5"/>
        <w:gridCol w:w="762"/>
        <w:gridCol w:w="4275"/>
      </w:tblGrid>
      <w:tr w:rsidR="00984859" w:rsidRPr="00984859" w:rsidTr="00984859">
        <w:trPr>
          <w:tblCellSpacing w:w="0" w:type="dxa"/>
        </w:trPr>
        <w:tc>
          <w:tcPr>
            <w:tcW w:w="13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potrošnja O</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xml:space="preserve">po mg ispitivane hemikalije = </w:t>
            </w:r>
          </w:p>
        </w:tc>
        <w:tc>
          <w:tcPr>
            <w:tcW w:w="3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 x 100 </w:t>
            </w:r>
          </w:p>
        </w:tc>
        <w:tc>
          <w:tcPr>
            <w:tcW w:w="330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V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 i 3. ove metode)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451"/>
        <w:gridCol w:w="762"/>
        <w:gridCol w:w="5899"/>
      </w:tblGrid>
      <w:tr w:rsidR="00984859" w:rsidRPr="00984859" w:rsidTr="00984859">
        <w:trPr>
          <w:tblCellSpacing w:w="0" w:type="dxa"/>
        </w:trPr>
        <w:tc>
          <w:tcPr>
            <w:tcW w:w="8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abiotičke razgradnje = </w:t>
            </w:r>
          </w:p>
        </w:tc>
        <w:tc>
          <w:tcPr>
            <w:tcW w:w="6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 x 100 </w:t>
            </w:r>
          </w:p>
        </w:tc>
        <w:tc>
          <w:tcPr>
            <w:tcW w:w="35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V x ThOD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a jeste potrošnja kiseonika u sterilnom običnom sudu nakon 28 dana, (mg).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6. METODA ISPITIVANJA U ZATVORENOJ BOCI (METODA C.4-E)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6.1.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 ispitivane hemikalije u mineralnoj podlozi, obično 2 mg/l do 5 mg/l, inokuliše se sa relativno malim brojem mikroorganizama iz mešane populacije i čuva u potpuno punim, zatvorenim bocama u mraku na stalnoj temperaturi. Nakon razgradnje sledi analiza rastvorenog kiseonika u toku 28 dana. Količina kiseonika koju veže ispitivana hemikalija, korigiovana za kiseonik koji je potrošila uporedna slepa proba sa inokulumom, izražava se kao procenat ThOD ili HPK.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6.2.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6.2.1.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Oprema za ispitivanje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BPK boce sa staklenim zatvaračima, npr. 250 ml do 300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vodeno kupatilo ili inkubator, za čuvanje boca na stalnoj temperaturi (± 1° C ili manje) bez svetla;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velike staklene boce (od 2 L do 5 L) za pripremu podloge i za punjenje BPK boca;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kiseoničnu elektrodu i merni instrument ili opremu i reagense za Vinklerovu titraciju (Winkler titration).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6.2.2. Priprema mineralne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pripremu osnovnog rastvora, videti odeljak 1.7.2.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Pomeša se 1 (jedan) ml osnovnog rastvora 1 do 4 i dopuni do zapremine od 1 L sa vodom za razblaživanje.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6.2.3. Priprema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Inokulum se normalno dobija iz sekundarnih otpadnih voda postrojenja za prečišćavanje ili uređaja laboratorijskog tipa koji prima uglavnom otpadnu vodu iz domaćinstava. Alternativni izvor inokuluma su površinske vode. Obično se koristi jedna kapljica (od 0,05 ml do 5,0 ml filtrata po litru podloge). Da bi se pronašla optimalna zapremina za određenu otpadnu vodu, ponekad će biti potrebno više pokušaja (videti odeljke 1.7.4.2. i 1.7.5.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6.2.4. Priprema običnih sudova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Mineralna podloga se temeljno aeriše u toku najmanje 20 minuta. Svaka ispitivana serija postavlja se sa mineralnom podlogom dobijenom iz iste serije. Podloga je spremna za upotrebu nakon što odstoji 20 sati, na ispitivanoj temperaturi. Odredi se koncentracija rastvorenog kiseonika zbog kontrole. Vrednost koncentracije iznosi oko 9 mg/l na 20° C. Prilikom prenosa i punjenja podloge zasićene vazduhom ne smeju se stvoriti mehurići, što se postiže pomoću sifona.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Pripreme se paralelno grupe BPK boca za određivanje ispitivane i referentne hemikalije u uporednim serijama. Prikupi se dovoljan broj BPK boca, uključujući slepe probe sa inokulumom, da se potrošnja kiseonika može meriti najmanje u duplikatu u željenim intervalima, npr. nakon 0, 7, 14, 21 i 28 dana. Da bi se identifikovao desetodnevni period, može biti potrebno više boca.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Velike boce se pune potpuno aerisanom mineralnom podlogom do jedne trećine zapremine. Zatim se sipa dovoljno osnovnog rastvora ispitivane hemikalije i referentne hemikalije u odvojene velike boce, tako da konačna koncentracija hemikalije ne bude veća od 10 mg/l. U podlogu sa slepom probom kao kontrolnom u narednoj velikoj boci ne dodaju se nikakve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osiguralo da aktivnost inokuluma ne bude ograničena, koncentracija rastvorenog kiseonika ne sme pasti ispod 0,5 mg/l u BPK bocama. Ovo ograničava koncentraciju ispitivane hemikalije na oko 2 mg/l. Za slabo razgradljiva jedinjenja i ona sa niskim ThOD, može se upotrebiti 5 mg/l do 10 mg/l. U nekim slučajevima, preporučljivo je postaviti uporedne serije ispitivane hemikalije u dve različite koncentracije, npr. od 2 mg/l do 5 mg/l. ThOD se računa na osnovu nagrađenih amonijevih soli, ali ako se očekuje ili se zna da postoji nitrifikacija, izračunava se na osnovu stvorenih nitrata (ThODNO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videti odeljak 2.2. ove metode). Ako nitrifikacija nije potpuna, iako postoji, radi se korekcija za promene u koncentraciji nitrita i nitrata, određena analizom (videti Deo peti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određuje toksičnost ispitivane hemikalije (u slučaju, npr. da je prethodno utvrđena niska vrednost biorazgradljivosti), potreban je još jedan niz boca.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Pripremi se još jedna velika boca i napuni aerisanom mineralnom podlogom (do otprilike jedne trećine zapremine boce) pa se u bocu dodaju ispitivana i referentna hemikalija u konačnim koncentracijama koje su iste kao i koncentracije u drugim velikim bocama.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Ovi rastvori se inokulišu u velike boce koje sadrže sekundarni efluent (jedna kapljica ili 0,05 ml/l do 5,0 ml/l) ili drugi izvor, kao što je rečna voda (videti odeljak 1.7.4.2. ove metode). Na kraju se pripremaju rastvori sa aerisanom mineralnom podlogom pomoću gumene cevi koja doseže do dna boce, da bi se postiglo odgovarajuće mešanje podloge i rastvora.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6.2.5. Broj običnih sudova u tipičnom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tipičnom ispitivanju koristi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najmanje 10 boca koje sadrže ispitivanu hemikaliju i inokulum (ispitivana suspenzija);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najmanje 10 boca koje sadrže samo inokulum (slepa proba sa inokulumom);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najmanje 10 boca koje sadrže referentnu hemikaliju i inokulum (kontrola postupka);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 po potrebi, 6 boca koje sadrže ispitivanu hemikaliju, referentnu hemikaliju i inokulum (kontrola toksičnosti). Da bi se desetodnevni period mogao sa sigurnošću identifikovati, potrebno je najmanje dvostruko više boca.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6.2.6.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Pojedinačni pripremljeni rastvori iz donje četvrtine (ne sa dna) odgovarajuće velike boce odmah se raspodele pomoću cevi u odgovarajući niz BPK boca, tako da sve BPK boce budu potpuno pune. Nežnim kuckanjem po zidu boce uklone se mogući mehurići vazduha. Odmah se u nultom vremenu radi analiza rastvorenog kiseonika u BPK bocama pomoću Vinklerove metode ili elektroda. Sadržaj boca može se sačuvati za kasniju analizu Vinklerovom metodom dodavanjem mangan(II)-sulfata i natrijum-hidroksida (prvi Vinklerov reagens). Boce se čuvaju dobro zatvorene, jer je prisutan kiseonik fiksiran u obliku smeđeg mangan(III)-hidroksida, u mraku na temperaturi od 10° C do 20° C ne duže od 24 sata pre nastavka sa preostalim koracima Vinklerove metode. Zatvaračem se zatvore preostali duplikati boca (pazi se da u bocama ne ostanu mehurići vazduha) i inkubiraju se na 20° C u mraku. Uz svaku seriju postoji potpuno uporedna serija za određivanje podloge inokulirane slepom probom. Za potrebe analize uzimaju se najmanje po dve boce iz iste serije zbog analize rastvorenog kiseonika u određenim vremenskim intervalima (najmanje jedanput nedeljno) u toku 28 dana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Nedeljni uzorci treba da omoguće predviđanje procenta uklanjanja u razdoblju od 14 dana. Uzimanje uzoraka svaka 3 do 4 dana treba da omogući identifikaciju razdoblja od 10 dana, za što je potrebno dvostruko više boca.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ispitivane supstance koje sadrže azot, prave se korekcije za potrošnju kiseonika zbog moguće nitrifikacije. Prvo se koristi metoda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-elektrode da bi se odredila koncentracija rastvorenog kiseonika, a zatim se izvlači uzorak iz BPK boce za analizu na nitrate i nitrite. Iz povećanja u koncentraciji nitrata i nitrita, izračuna se potrošeni kiseonik (videti Deo peti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6.3.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6.3.1.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Prvo se izračuna BPK nakon svakog vremenskog intervala tako što se oduzme vrednost pada kiseonika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/l) iz slepe probe sa inokulumom od one koju je pokazala ispitivana hemikalija. Korigovani pad kiseonika podeli se sa koncentracijom (mg/l) ispitivane hemikalije, da se dobije specifični BPK kao mg kiseonika po mg ispitivane hemikalije. Izračuna se procenat biološke razgradljivosti deljenjem specifičnog BPK sa specifičnim ThOD (izračunati u skladu sa odeljkom 2.2. ove metode) ili HPK (određeno analizom, videti odeljak 2.3. ove metode), pa 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65"/>
        <w:gridCol w:w="6584"/>
        <w:gridCol w:w="1863"/>
      </w:tblGrid>
      <w:tr w:rsidR="00984859" w:rsidRPr="00984859" w:rsidTr="00984859">
        <w:trPr>
          <w:tblCellSpacing w:w="0" w:type="dxa"/>
        </w:trPr>
        <w:tc>
          <w:tcPr>
            <w:tcW w:w="2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BPK = </w:t>
            </w:r>
          </w:p>
        </w:tc>
        <w:tc>
          <w:tcPr>
            <w:tcW w:w="22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 potrošnja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ispitivane hemikalije - mg potrošnja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slepe probe </w:t>
            </w:r>
          </w:p>
        </w:tc>
        <w:tc>
          <w:tcPr>
            <w:tcW w:w="25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ispitivane hemikalije u običnom sudu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 mg ispitivane hemikalije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21"/>
        <w:gridCol w:w="3925"/>
        <w:gridCol w:w="3666"/>
      </w:tblGrid>
      <w:tr w:rsidR="00984859" w:rsidRPr="00984859" w:rsidTr="00984859">
        <w:trPr>
          <w:tblCellSpacing w:w="0" w:type="dxa"/>
        </w:trPr>
        <w:tc>
          <w:tcPr>
            <w:tcW w:w="5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razgradnje = </w:t>
            </w:r>
          </w:p>
        </w:tc>
        <w:tc>
          <w:tcPr>
            <w:tcW w:w="140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BPK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mg ispitivane hemikalije) </w:t>
            </w:r>
          </w:p>
        </w:tc>
        <w:tc>
          <w:tcPr>
            <w:tcW w:w="31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ThOD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mg ispitivane hemikalije)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21"/>
        <w:gridCol w:w="3791"/>
        <w:gridCol w:w="3800"/>
      </w:tblGrid>
      <w:tr w:rsidR="00984859" w:rsidRPr="00984859" w:rsidTr="00984859">
        <w:trPr>
          <w:tblCellSpacing w:w="0" w:type="dxa"/>
        </w:trPr>
        <w:tc>
          <w:tcPr>
            <w:tcW w:w="5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razgradnje = </w:t>
            </w:r>
          </w:p>
        </w:tc>
        <w:tc>
          <w:tcPr>
            <w:tcW w:w="140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BPK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mg ispitivane hemikalije) </w:t>
            </w:r>
          </w:p>
        </w:tc>
        <w:tc>
          <w:tcPr>
            <w:tcW w:w="31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HPK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mg ispitivane hemikalije)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dva postupka ne daju obavezno iste vrednosti. Prednost se daje prvom postupku.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ispitivane supstance koje sadrže azot, koristi se odgovarajući ThOD (NH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ili 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prema onome što se zna ili očekuje u pogledu pojave nitrifikacije (videti odeljak 2.2. ove metode). Ako je nitrifikacija prisutna, ali nije potpuna, izračuna se korekcija za kiseonik potrošen nitrifikacijom iz promena u koncentraciji nitrita i nitrata (videti Deo peti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6.3.2. Prihvatljivost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Pad kiseonika u slepoj probi sa inokulumom ne sme da bude viši od 1,5 mg rastvorenog kiseonika po litru nakon 28 dana. Vrednosti veće od ove zahtevaju proveru eksperimentalnih tehnika. Rezidualna koncentracija kiseonika u ispitivanim bocama ne sme da se spusti na vrednosti niže od 0,5 mg/l ni u jednom trenutku. Tako niski nivoi kiseonika prihvatljivi su samo ako se postupkom koji se koristi za određivanje rastvorenog kiseonika mogu tačno meriti takve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1.6.2.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6.3.3.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1.9.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6.4. OBRAZAC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 obrasca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U ZATVORENOJ BOCI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LABORATORIJA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DATUM POČETKA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Hemijski naziv: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osnovnog rastvora:...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koncentracija u boci:...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ThOD ili HPK:...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mg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Obavljena obrada: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Prekondicioniranje, ako ga je bilo: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u reakcionoj smesi:...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ODREĐIVANJE DO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Postupak: Vinkler/elektroda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Analize običnih sudova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00"/>
        <w:gridCol w:w="1370"/>
        <w:gridCol w:w="1552"/>
        <w:gridCol w:w="1187"/>
        <w:gridCol w:w="1005"/>
        <w:gridCol w:w="913"/>
        <w:gridCol w:w="1005"/>
      </w:tblGrid>
      <w:tr w:rsidR="00984859" w:rsidRPr="00984859" w:rsidTr="00984859">
        <w:trPr>
          <w:tblCellSpacing w:w="0" w:type="dxa"/>
        </w:trPr>
        <w:tc>
          <w:tcPr>
            <w:tcW w:w="0" w:type="auto"/>
            <w:gridSpan w:val="3"/>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inkubacije (u danima)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 (mg/l) </w:t>
            </w:r>
          </w:p>
        </w:tc>
      </w:tr>
      <w:tr w:rsidR="00984859" w:rsidRPr="00984859" w:rsidTr="00984859">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150" w:type="pct"/>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Slepa proba (bez hemikalija) </w:t>
            </w:r>
          </w:p>
        </w:tc>
        <w:tc>
          <w:tcPr>
            <w:tcW w:w="7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8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1</w:t>
            </w:r>
          </w:p>
        </w:tc>
        <w:tc>
          <w:tcPr>
            <w:tcW w:w="6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vrednost </w:t>
            </w: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3"/>
              <w:gridCol w:w="861"/>
            </w:tblGrid>
            <w:tr w:rsidR="00984859" w:rsidRPr="00984859">
              <w:trPr>
                <w:tblCellSpacing w:w="0" w:type="dxa"/>
              </w:trPr>
              <w:tc>
                <w:tcPr>
                  <w:tcW w:w="17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w:t>
                  </w:r>
                </w:p>
              </w:tc>
              <w:tc>
                <w:tcPr>
                  <w:tcW w:w="33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2</w:t>
                  </w: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Ispitivanja hemikalija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vrednost </w:t>
            </w: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17"/>
              <w:gridCol w:w="887"/>
            </w:tblGrid>
            <w:tr w:rsidR="00984859" w:rsidRPr="00984859">
              <w:trPr>
                <w:tblCellSpacing w:w="0" w:type="dxa"/>
              </w:trPr>
              <w:tc>
                <w:tcPr>
                  <w:tcW w:w="16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w:t>
                  </w:r>
                </w:p>
              </w:tc>
              <w:tc>
                <w:tcPr>
                  <w:tcW w:w="34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2</w:t>
                  </w: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Sličan obrazac može se koristiti za referentno jedinjenje i kontrolu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KOREKCIJA ZBOG NITRIFIKACIJE (videti Deo peti ove metode)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193"/>
        <w:gridCol w:w="6465"/>
        <w:gridCol w:w="301"/>
        <w:gridCol w:w="391"/>
        <w:gridCol w:w="391"/>
        <w:gridCol w:w="391"/>
      </w:tblGrid>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inkubacije (u danima)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nitrata (mg N/l)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Promena u koncentraciji nitrata (mg N/l)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Ekvivalent kiseonika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nitrita (mg N/l)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Promena u koncentraciji nitrita (mg N/l)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Ekvivalent kiseonika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(III+VI)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ekvivalent kiseonika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PAD KONCENTRACIJE RASTVORENOG KISEONIKA (DO): PROCENAT RAZGRADNJE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49"/>
        <w:gridCol w:w="1882"/>
        <w:gridCol w:w="1516"/>
        <w:gridCol w:w="1334"/>
        <w:gridCol w:w="1151"/>
      </w:tblGrid>
      <w:tr w:rsidR="00984859" w:rsidRPr="00984859" w:rsidTr="00984859">
        <w:trPr>
          <w:tblCellSpacing w:w="0" w:type="dxa"/>
        </w:trPr>
        <w:tc>
          <w:tcPr>
            <w:tcW w:w="1700" w:type="pct"/>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Pad nakon n dana (mg/l)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1</w:t>
            </w:r>
          </w:p>
        </w:tc>
        <w:tc>
          <w:tcPr>
            <w:tcW w:w="8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2</w:t>
            </w:r>
          </w:p>
        </w:tc>
        <w:tc>
          <w:tcPr>
            <w:tcW w:w="7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3</w:t>
            </w:r>
          </w:p>
        </w:tc>
        <w:tc>
          <w:tcPr>
            <w:tcW w:w="6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OBIČAN SUD 1: (mt</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mt</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 (mb</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mb</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OBIČAN SUD 2: (mt</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mt</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 (mb</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mb</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OBIČAN SUD 1: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50"/>
              <w:gridCol w:w="2933"/>
            </w:tblGrid>
            <w:tr w:rsidR="00984859" w:rsidRPr="00984859">
              <w:trPr>
                <w:tblCellSpacing w:w="0" w:type="dxa"/>
              </w:trPr>
              <w:tc>
                <w:tcPr>
                  <w:tcW w:w="0" w:type="auto"/>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D</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w:t>
                  </w:r>
                </w:p>
              </w:tc>
              <w:tc>
                <w:tcPr>
                  <w:tcW w:w="0" w:type="auto"/>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t0</w:t>
                  </w:r>
                  <w:r w:rsidRPr="00984859">
                    <w:rPr>
                      <w:rFonts w:ascii="Arial" w:eastAsia="Times New Roman" w:hAnsi="Arial" w:cs="Arial"/>
                      <w:lang w:eastAsia="sr-Latn-RS"/>
                    </w:rPr>
                    <w:t xml:space="preserve"> - m</w:t>
                  </w:r>
                  <w:r w:rsidRPr="00984859">
                    <w:rPr>
                      <w:rFonts w:ascii="Arial" w:eastAsia="Times New Roman" w:hAnsi="Arial" w:cs="Arial"/>
                      <w:sz w:val="15"/>
                      <w:szCs w:val="15"/>
                      <w:vertAlign w:val="subscript"/>
                      <w:lang w:eastAsia="sr-Latn-RS"/>
                    </w:rPr>
                    <w:t>tx</w:t>
                  </w:r>
                  <w:r w:rsidRPr="00984859">
                    <w:rPr>
                      <w:rFonts w:ascii="Arial" w:eastAsia="Times New Roman" w:hAnsi="Arial" w:cs="Arial"/>
                      <w:lang w:eastAsia="sr-Latn-RS"/>
                    </w:rPr>
                    <w:t>) - (m</w:t>
                  </w:r>
                  <w:r w:rsidRPr="00984859">
                    <w:rPr>
                      <w:rFonts w:ascii="Arial" w:eastAsia="Times New Roman" w:hAnsi="Arial" w:cs="Arial"/>
                      <w:sz w:val="15"/>
                      <w:szCs w:val="15"/>
                      <w:vertAlign w:val="subscript"/>
                      <w:lang w:eastAsia="sr-Latn-RS"/>
                    </w:rPr>
                    <w:t>b0</w:t>
                  </w:r>
                  <w:r w:rsidRPr="00984859">
                    <w:rPr>
                      <w:rFonts w:ascii="Arial" w:eastAsia="Times New Roman" w:hAnsi="Arial" w:cs="Arial"/>
                      <w:lang w:eastAsia="sr-Latn-RS"/>
                    </w:rPr>
                    <w:t xml:space="preserve"> - m</w:t>
                  </w:r>
                  <w:r w:rsidRPr="00984859">
                    <w:rPr>
                      <w:rFonts w:ascii="Arial" w:eastAsia="Times New Roman" w:hAnsi="Arial" w:cs="Arial"/>
                      <w:sz w:val="15"/>
                      <w:szCs w:val="15"/>
                      <w:vertAlign w:val="subscript"/>
                      <w:lang w:eastAsia="sr-Latn-RS"/>
                    </w:rPr>
                    <w:t>bx</w:t>
                  </w:r>
                  <w:r w:rsidRPr="00984859">
                    <w:rPr>
                      <w:rFonts w:ascii="Arial" w:eastAsia="Times New Roman" w:hAnsi="Arial" w:cs="Arial"/>
                      <w:lang w:eastAsia="sr-Latn-RS"/>
                    </w:rPr>
                    <w:t>)</w:t>
                  </w:r>
                  <w:r w:rsidRPr="00984859">
                    <w:rPr>
                      <w:rFonts w:ascii="Symbol" w:eastAsia="Times New Roman" w:hAnsi="Symbol" w:cs="Arial"/>
                      <w:lang w:eastAsia="sr-Latn-RS"/>
                    </w:rPr>
                    <w:t></w:t>
                  </w:r>
                  <w:r w:rsidRPr="00984859">
                    <w:rPr>
                      <w:rFonts w:ascii="Arial" w:eastAsia="Times New Roman" w:hAnsi="Arial" w:cs="Arial"/>
                      <w:lang w:eastAsia="sr-Latn-RS"/>
                    </w:rPr>
                    <w:t xml:space="preserve">x100 </w:t>
                  </w: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 ispit. x ThOD hemikalije </w:t>
                  </w: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OBIČAN SUD 2: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8"/>
              <w:gridCol w:w="2775"/>
            </w:tblGrid>
            <w:tr w:rsidR="00984859" w:rsidRPr="00984859">
              <w:trPr>
                <w:tblCellSpacing w:w="0" w:type="dxa"/>
              </w:trPr>
              <w:tc>
                <w:tcPr>
                  <w:tcW w:w="0" w:type="auto"/>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D</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w:t>
                  </w:r>
                </w:p>
              </w:tc>
              <w:tc>
                <w:tcPr>
                  <w:tcW w:w="0" w:type="auto"/>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(mt</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m</w:t>
                  </w:r>
                  <w:r w:rsidRPr="00984859">
                    <w:rPr>
                      <w:rFonts w:ascii="Arial" w:eastAsia="Times New Roman" w:hAnsi="Arial" w:cs="Arial"/>
                      <w:sz w:val="15"/>
                      <w:szCs w:val="15"/>
                      <w:vertAlign w:val="subscript"/>
                      <w:lang w:eastAsia="sr-Latn-RS"/>
                    </w:rPr>
                    <w:t>tx</w:t>
                  </w:r>
                  <w:r w:rsidRPr="00984859">
                    <w:rPr>
                      <w:rFonts w:ascii="Arial" w:eastAsia="Times New Roman" w:hAnsi="Arial" w:cs="Arial"/>
                      <w:lang w:eastAsia="sr-Latn-RS"/>
                    </w:rPr>
                    <w:t>) - (m</w:t>
                  </w:r>
                  <w:r w:rsidRPr="00984859">
                    <w:rPr>
                      <w:rFonts w:ascii="Arial" w:eastAsia="Times New Roman" w:hAnsi="Arial" w:cs="Arial"/>
                      <w:sz w:val="15"/>
                      <w:szCs w:val="15"/>
                      <w:vertAlign w:val="subscript"/>
                      <w:lang w:eastAsia="sr-Latn-RS"/>
                    </w:rPr>
                    <w:t>b0</w:t>
                  </w:r>
                  <w:r w:rsidRPr="00984859">
                    <w:rPr>
                      <w:rFonts w:ascii="Arial" w:eastAsia="Times New Roman" w:hAnsi="Arial" w:cs="Arial"/>
                      <w:lang w:eastAsia="sr-Latn-RS"/>
                    </w:rPr>
                    <w:t xml:space="preserve"> - m</w:t>
                  </w:r>
                  <w:r w:rsidRPr="00984859">
                    <w:rPr>
                      <w:rFonts w:ascii="Arial" w:eastAsia="Times New Roman" w:hAnsi="Arial" w:cs="Arial"/>
                      <w:sz w:val="15"/>
                      <w:szCs w:val="15"/>
                      <w:vertAlign w:val="subscript"/>
                      <w:lang w:eastAsia="sr-Latn-RS"/>
                    </w:rPr>
                    <w:t>bx</w:t>
                  </w:r>
                  <w:r w:rsidRPr="00984859">
                    <w:rPr>
                      <w:rFonts w:ascii="Arial" w:eastAsia="Times New Roman" w:hAnsi="Arial" w:cs="Arial"/>
                      <w:lang w:eastAsia="sr-Latn-RS"/>
                    </w:rPr>
                    <w:t>)</w:t>
                  </w:r>
                  <w:r w:rsidRPr="00984859">
                    <w:rPr>
                      <w:rFonts w:ascii="Symbol" w:eastAsia="Times New Roman" w:hAnsi="Symbol" w:cs="Arial"/>
                      <w:lang w:eastAsia="sr-Latn-RS"/>
                    </w:rPr>
                    <w:t></w:t>
                  </w:r>
                  <w:r w:rsidRPr="00984859">
                    <w:rPr>
                      <w:rFonts w:ascii="Arial" w:eastAsia="Times New Roman" w:hAnsi="Arial" w:cs="Arial"/>
                      <w:lang w:eastAsia="sr-Latn-RS"/>
                    </w:rPr>
                    <w:t xml:space="preserve">x100 </w:t>
                  </w: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 ispit. x ThOD hemikalije </w:t>
                  </w: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414"/>
              <w:gridCol w:w="728"/>
              <w:gridCol w:w="41"/>
            </w:tblGrid>
            <w:tr w:rsidR="00984859" w:rsidRPr="00984859">
              <w:trPr>
                <w:tblCellSpacing w:w="0" w:type="dxa"/>
              </w:trPr>
              <w:tc>
                <w:tcPr>
                  <w:tcW w:w="23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vrednost % D* = </w:t>
                  </w:r>
                </w:p>
              </w:tc>
              <w:tc>
                <w:tcPr>
                  <w:tcW w:w="26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D</w:t>
                  </w:r>
                  <w:r w:rsidRPr="00984859">
                    <w:rPr>
                      <w:rFonts w:ascii="Arial" w:eastAsia="Times New Roman" w:hAnsi="Arial" w:cs="Arial"/>
                      <w:sz w:val="15"/>
                      <w:szCs w:val="15"/>
                      <w:vertAlign w:val="subscript"/>
                      <w:lang w:eastAsia="sr-Latn-RS"/>
                    </w:rPr>
                    <w:t>2</w:t>
                  </w:r>
                </w:p>
              </w:tc>
              <w:tc>
                <w:tcPr>
                  <w:tcW w:w="2650" w:type="pct"/>
                  <w:vMerge w:val="restar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Srednja vrednost se ne koristi ako su postojale velike razlike između dva merenja.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mt</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vrednost u običnom sudu u vremenu 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mt</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jeste vrednost u običnom sudu u vremenu x;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mb</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srednja vrednost slepe probe u vremenu 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mb</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jeste srednja vrednost slepe probe u vremenu x.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Primenjuje se korekcija zbog nitrifikacije u tački 6 (III + 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PAD KONCENTRACIJE RASTVORENOG KISEONIKA (DO) SLEPE PROBE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Potrošnja kiseonika slepe probe: (m</w:t>
      </w:r>
      <w:r w:rsidRPr="00984859">
        <w:rPr>
          <w:rFonts w:ascii="Arial" w:eastAsia="Times New Roman" w:hAnsi="Arial" w:cs="Arial"/>
          <w:sz w:val="15"/>
          <w:szCs w:val="15"/>
          <w:vertAlign w:val="subscript"/>
          <w:lang w:eastAsia="sr-Latn-RS"/>
        </w:rPr>
        <w:t>bo</w:t>
      </w:r>
      <w:r w:rsidRPr="00984859">
        <w:rPr>
          <w:rFonts w:ascii="Arial" w:eastAsia="Times New Roman" w:hAnsi="Arial" w:cs="Arial"/>
          <w:lang w:eastAsia="sr-Latn-RS"/>
        </w:rPr>
        <w:t xml:space="preserve"> - m</w:t>
      </w:r>
      <w:r w:rsidRPr="00984859">
        <w:rPr>
          <w:rFonts w:ascii="Arial" w:eastAsia="Times New Roman" w:hAnsi="Arial" w:cs="Arial"/>
          <w:sz w:val="15"/>
          <w:szCs w:val="15"/>
          <w:vertAlign w:val="subscript"/>
          <w:lang w:eastAsia="sr-Latn-RS"/>
        </w:rPr>
        <w:t>b28</w:t>
      </w:r>
      <w:r w:rsidRPr="00984859">
        <w:rPr>
          <w:rFonts w:ascii="Arial" w:eastAsia="Times New Roman" w:hAnsi="Arial" w:cs="Arial"/>
          <w:lang w:eastAsia="sr-Latn-RS"/>
        </w:rPr>
        <w:t xml:space="preserve">) mg/l. Ova potrošnja je važna za prihvatljivost ispitivanja i niža je od 1,5 mg/l.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7. MITI ISPITIVANJE (METODA C.4-F)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7.1.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Kiseonik koji potroše mešani rastvor ili suspenzija, ispitivana hemikalija u mineralnoj podlozi, inokulisana sa specijalno uzgojenim, neprilagođenim mikroorganizmima, meri se automatski u toku 28 dana u zamračenom zatvorenom respirometru na temperaturi od 25° C ± 1° C. Ugljen-dioksid koji se razvije apsorbuje kreč. Biorazgradljivost se izražava kao procenat potrošnje kiseonika (korigovan za potrošnju kiseonika slepe probe) teoretske potrošnje (u daljem tekstu: ThOD). Procenat primarne biološke razgradljivosti izračunava seiz dodatne specifične hemijske analize urađene na početku i kraju inkubacije i opciono, DOC analizom.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7.2.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7.2.1.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Oprema za ispitivanje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automatski elektrolitski BPK merač ili respirometar obično opremljen sa 6 boca, svaka zapremine od 300 ml i sa posudicama koje sadrže apsorbent za ugljen-dioksid;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stalnu sobnu temperaturu, odnosno vodeno kupatilo temperature 25° C ± 1° C ili manje;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sistem za membransku filtraciju (nije obavezan);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uređaj za analizu ugljenika (nije obavezan).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7.2.2. Priprema mineralne 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Pripreme se sledeći osnovni rastvori, pomoću analitičkih reagenasa i vode (videti odeljak 1.7.1.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rastvoriti u vodi i dopuniti do 1 L (pH rastvora je potrebno da bude 7,2):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- 8,50 g 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 xml:space="preserve">4 </w:t>
      </w:r>
      <w:r w:rsidRPr="00984859">
        <w:rPr>
          <w:rFonts w:ascii="Arial" w:eastAsia="Times New Roman" w:hAnsi="Arial" w:cs="Arial"/>
          <w:lang w:eastAsia="sr-Latn-RS"/>
        </w:rPr>
        <w:t xml:space="preserve">(kalijum-dihidrogenfosfat);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- 21,75 gK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(dikalijum-hidrogenfosfat);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- 44,60 g 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´12H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(dinatrijum-hidrogenfosfat dodekahidrat);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- 1,70 g 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Cl (amonijum-hlorid);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rastvoriti u vodi i dopuniti do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- 22,50 g 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(magnezijum-sulfat heptahidrat);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rastvoriti u vodi i dopuniti do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- 27,50 g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(kalcijum-hlorid, bezvodni);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rastvoriti u vodi i dopuniti do 1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- 0,25 g 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(gvožđe(III)-hlorid heksahidrat).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Uzme se 3 ml osnovnog rastvora 1, 2, 3. i 4. i dopuni do 1 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7.2.3. Priprema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Uzmu se sveži uzorci iz najmanje 10 različitih mesta, uglavnom u područjima u kojima se koriste i u koja se ispuštaju razne hemikalije. Sa lokacija, kao što su postrojenja za prečišćavanje otpadne vode iz domaćinstava, za obradu industrijske otpadnih voda, reka, jezera, mora, prikupi se 11 uzoraka mulja, površinskog zemljišta, vode, itd. i sve zajedno temeljno se promeša. Nakon uklanjanja plutajućih materija i nakon sleganja, supernatant se svede na pH (7 ± 1) pomoću natrijum hidroksida i fosforne kiseline.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odgovarajuća zapremina filtriranog supernatanta da se napuni posuda za punjenje i izvlačenje aktivnog mulja, a tečnost se aeriše u toku otprilike 23 1/2 sata. Trideset minuta nakon aeracije, baci se oko jedne trećine ukupne zapremine supernatanta i istaloženom materijalu doda jednaka zapremina rastvora (pH 7) koji sadrži 0,1% glukoze, peptona i kalijum ortofosfata i ponovo aeriše. Ovaj postupak se ponavlja jedanput dnevno. Jedinicom za mulj upravlja se u skladu sa dobrom praksom: otpadna voda je bistra, temperatura se održava na 25° C ± 2° C, pH je 7 ± 1, mulj se dobro taloži, aeracija je dovoljno dobra tako da smeša bude stalno u aerobnim uslovima, prisutne su protozoe, a aktivnost mulja se ispituje pomoću referentnih supstanci najmanje jednom u tri meseca. Mulj se obrađuje na ovakav način najmanje mesec dana pre nego što se može iskoristiti kao inokulum, ali ne duže od četiri meseca. Nakon toga, uzima se uzorak iz najmanje 10 mesta u redovnim razmacima, jednom svaka tri meseca.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Da bi se održala ista aktivnost svežeg i starog mulja, filtrirani supernatant aktivnog mulja koji se koristi pomeša se sa jednakom zapreminom filtriranog supernatanta sveže smeše prikupljene sa 10 različitih izvora i tako kombinovana tečnost održava se u kulturi, kako je opisano. Mulj se koristi kao inokulum 18 do 24 sata nakon što je jedinica napunjena.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7.2.4. Priprema običnih sudova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Pripremi se 6 običnih sudova: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- 100 mg/l ispitivane hemikalija u vodi za razblaživanje: običan sud br.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- 100 mg/l ispitivana hemikalija u mineralnoj podlozi: običan sud br. 2, 3 i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- 100 mg/l referentne hemikalije (npr. anilin) u mineralnoj podlozi: običan sud br. 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samo mineralna podloga: običan sud br.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Slabo rastvorljiva ispitivana hemikalija dodaje se direktno na bazi mase ili zapremine ili na način kako je opisano u Delu trećem ove metode, osim što se ne koriste ni rastvarači ni emulgatori. U sve obične sudove doda se apsorbens C.4-B u ponuđenim specijalnim posudicama. U običnim sudovima br. 2, 3 i 4 pH vrednost se svede na 7,0.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7.2.5. Izvođenje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Malom zapreminom inokuluma inokuliraju se obični sudovi br. 2, 3 i 4 (ispitivana suspenzija), broj 5 (kontrola aktivnosti) i broj 6 (slepa proba sa inokulumom) da se dobije koncentracija od 30 mg/l suspendovanih materija. Inokulum se ne dodaje u tikvicu broj 1, koja služi kao abiotička kontrola. Poveže se oprema i proveri da nema dotoka vazduha, pokrenu se mešalice i započne sa merenjem potrošnje kiseonika u mraku. Svakodnevno se proverava temperatura, rad mešalice i kulometrijski uređaj za zapisivanje potrošnje kiseonika i zapisuje se svaka promena u boji sadržaja običnih sudova. Potrošnja kiseonika u šest običnih sudova očitava se direktno odgovarajućim postupkom, npr. iz zapisa šesto-kanalnog čitača koji proizvodi BPK krivu. Na kraju inkubacije, obično nakon 28 dana, meri se pH sadržaja običnih sudova i određuje koncentracija rezidualne ispitivane hemikalije i svake koncentracije koja nastane u međuvremenu, a u slučaju supstanci rastvorljivih u vodi, i koncentracija DOC (videti odeljak 2.4. ove metode). Posebnu pažnju posvetiti nepostojanim hemijskim supstancama. Ako se očekuje nitrifikacija i ako je moguće određuje se koncentracija nitrata i nitrita.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7.3.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7.3.1.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Potrošnja kiseonika (mg) ispitivane hemikalije u toku određenog vremena, korigovana za vrednost potrošnje kiseonika u kontrolnoj slepoj probi sa inokulumom za to isto vreme, podeli se sa masom upotrebljene ispitivane hemikalije. Ovo daje BPK izražen kao mg kiseonika/mg ispitivane hemikalije, odnosno: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65"/>
        <w:gridCol w:w="6584"/>
        <w:gridCol w:w="1863"/>
      </w:tblGrid>
      <w:tr w:rsidR="00984859" w:rsidRPr="00984859" w:rsidTr="00984859">
        <w:trPr>
          <w:tblCellSpacing w:w="0" w:type="dxa"/>
        </w:trPr>
        <w:tc>
          <w:tcPr>
            <w:tcW w:w="3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BPK = </w:t>
            </w:r>
          </w:p>
        </w:tc>
        <w:tc>
          <w:tcPr>
            <w:tcW w:w="22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 potrošnja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ispitivane hemikalije - mg potrošnja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slepe probe </w:t>
            </w:r>
          </w:p>
        </w:tc>
        <w:tc>
          <w:tcPr>
            <w:tcW w:w="2400" w:type="pct"/>
            <w:noWrap/>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ispitivane hemikalije u običnom sudu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biorazgradnje se zatim izračunava prema formuli: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909"/>
        <w:gridCol w:w="3925"/>
        <w:gridCol w:w="2278"/>
      </w:tblGrid>
      <w:tr w:rsidR="00984859" w:rsidRPr="00984859" w:rsidTr="00984859">
        <w:trPr>
          <w:tblCellSpacing w:w="0" w:type="dxa"/>
        </w:trPr>
        <w:tc>
          <w:tcPr>
            <w:tcW w:w="9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biorazgradnje = % ThOD = </w:t>
            </w:r>
          </w:p>
        </w:tc>
        <w:tc>
          <w:tcPr>
            <w:tcW w:w="13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BPK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mg ispitivane hemikalije) </w:t>
            </w:r>
          </w:p>
        </w:tc>
        <w:tc>
          <w:tcPr>
            <w:tcW w:w="27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ThOD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mg ispitivane hemikalije)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smeše, izračuna se ThOD iz elementarne analize, kao za jednostavna jedinjenja. Koristi se odgovarajuća ThOD (ThODNH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ili ThODNO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u zavisnosti od toga da li nitrifikacija ne postoji ili je nepotpuna (videti odeljak 2.2. ove metode). Ako nitrifikacija postoji, čak i samo delimična, radi se korekcija za kiseonik potrošen nitrifikacijom koji se izračuna iz promena u koncentracijama nitrita i nitrata (videti Deo peti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primarne biorazgradnje izračunava se na osnovu gubitka početne hemikalije (videti odeljak 1.8.2. ove metode):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65"/>
        <w:gridCol w:w="1093"/>
        <w:gridCol w:w="7654"/>
      </w:tblGrid>
      <w:tr w:rsidR="00984859" w:rsidRPr="00984859" w:rsidTr="00984859">
        <w:trPr>
          <w:tblCellSpacing w:w="0" w:type="dxa"/>
        </w:trPr>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w:t>
            </w:r>
          </w:p>
        </w:tc>
        <w:tc>
          <w:tcPr>
            <w:tcW w:w="6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S</w:t>
            </w:r>
            <w:r w:rsidRPr="00984859">
              <w:rPr>
                <w:rFonts w:ascii="Arial" w:eastAsia="Times New Roman" w:hAnsi="Arial" w:cs="Arial"/>
                <w:sz w:val="15"/>
                <w:szCs w:val="15"/>
                <w:vertAlign w:val="subscript"/>
                <w:lang w:eastAsia="sr-Latn-RS"/>
              </w:rPr>
              <w:t>a</w:t>
            </w:r>
          </w:p>
        </w:tc>
        <w:tc>
          <w:tcPr>
            <w:tcW w:w="4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prilikom merenja fizičko-hemijskog uklanjanja izgubio deo ispitivane hemikalije u običnom sudu broj 1, to se navodi, a za izračunavanje procenta biorazgradnje koristi se koncentracija ispitivane hemikalije (S</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u ovom običnom sudu nakon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odredi DOC (opciono), procenat potpune biorazgradnje računa se prema formuli: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12"/>
        <w:gridCol w:w="210"/>
        <w:gridCol w:w="287"/>
        <w:gridCol w:w="711"/>
        <w:gridCol w:w="270"/>
        <w:gridCol w:w="7222"/>
      </w:tblGrid>
      <w:tr w:rsidR="00984859" w:rsidRPr="00984859" w:rsidTr="00984859">
        <w:trPr>
          <w:tblCellSpacing w:w="0" w:type="dxa"/>
        </w:trPr>
        <w:tc>
          <w:tcPr>
            <w:tcW w:w="1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w:t>
            </w:r>
          </w:p>
        </w:tc>
        <w:tc>
          <w:tcPr>
            <w:tcW w:w="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164B4410" wp14:editId="607EC7D1">
                  <wp:extent cx="104775" cy="657225"/>
                  <wp:effectExtent l="0" t="0" r="9525" b="9525"/>
                  <wp:docPr id="106" name="Picture 106" descr="C:\Program Files (x86)\ParagrafLex\browser\Files\Old\t\t2013_12\t12_0570_s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Program Files (x86)\ParagrafLex\browser\Files\Old\t\t2013_12\t12_0570_s08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657225"/>
                          </a:xfrm>
                          <a:prstGeom prst="rect">
                            <a:avLst/>
                          </a:prstGeom>
                          <a:noFill/>
                          <a:ln>
                            <a:noFill/>
                          </a:ln>
                        </pic:spPr>
                      </pic:pic>
                    </a:graphicData>
                  </a:graphic>
                </wp:inline>
              </w:drawing>
            </w:r>
          </w:p>
        </w:tc>
        <w:tc>
          <w:tcPr>
            <w:tcW w:w="1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350" w:type="pct"/>
            <w:noWrap/>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14:anchorId="7AC48AFE" wp14:editId="61152BF5">
                  <wp:extent cx="142875" cy="638175"/>
                  <wp:effectExtent l="0" t="0" r="9525" b="9525"/>
                  <wp:docPr id="105" name="Picture 105" descr="C:\Program Files (x86)\ParagrafLex\browser\Files\Old\t\t2013_12\t12_0570_s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Program Files (x86)\ParagrafLex\browser\Files\Old\t\t2013_12\t12_0570_s089.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638175"/>
                          </a:xfrm>
                          <a:prstGeom prst="rect">
                            <a:avLst/>
                          </a:prstGeom>
                          <a:noFill/>
                          <a:ln>
                            <a:noFill/>
                          </a:ln>
                        </pic:spPr>
                      </pic:pic>
                    </a:graphicData>
                  </a:graphic>
                </wp:inline>
              </w:drawing>
            </w:r>
          </w:p>
        </w:tc>
        <w:tc>
          <w:tcPr>
            <w:tcW w:w="42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50" w:type="pct"/>
            <w:tcBorders>
              <w:top w:val="single" w:sz="2" w:space="0" w:color="000000"/>
              <w:left w:val="single" w:sz="2" w:space="0" w:color="000000"/>
              <w:bottom w:val="single" w:sz="6" w:space="0" w:color="000000"/>
              <w:right w:val="single" w:sz="2" w:space="0" w:color="000000"/>
            </w:tcBorders>
            <w:noWrap/>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bt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b0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što je opisano u odeljku 1.8.1. ove metode ako postoji gubitak DOC u običnom sudu 1, merenjem fizičko-hemijskog uklanjanja, za izračunavanje procenta biorazgradnje koristi se koncentracija DOC u ovom običnom sudu.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se upisuju u obrasce za unos podataka.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7.3.2. Prihvatljivost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Potrošnja kiseonika u slepoj probi sa inokulumom obično je 20 mg/lO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do 30 mg/l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ne sme da bude veća od 60 mg/lO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28 dana. Vrednosti veće od 60 mg/lO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zahtevaju kritičko preispitivanje podataka i procedura ispitivanja. Ako pH vrednost izlazi izvan opsega od 6 do 8,5 i potrošnja kiseonika ispitivane hemikalije je manja od 60%, ispitivanje se ponavlja uz niže koncentracije ispitivane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1.7.2.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procenat razgradnje aninila dobijen iz potrošnje kiseonika ne prelazi 40% nakon 7 dana i 65% nakon 14 dana, rezultati ispitivanja nisu prihvatljivi.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7.3.3.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odeljak 1.9.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7.4. OBRAZAC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 obrasca za unos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METODA ISPITIVANJA: MITI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LABORATORIJA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DATUM POČETKA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Hemijski naziv: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osnovnog rastvora: … mg/l kao hemikalija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Početna koncentracija u podlozi, 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mg/l kao hemikalija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reakcione smeše, V:...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ThOD:... mg/l O</w:t>
      </w:r>
      <w:r w:rsidRPr="00984859">
        <w:rPr>
          <w:rFonts w:ascii="Arial" w:eastAsia="Times New Roman" w:hAnsi="Arial" w:cs="Arial"/>
          <w:sz w:val="15"/>
          <w:szCs w:val="15"/>
          <w:vertAlign w:val="subscript"/>
          <w:lang w:eastAsia="sr-Latn-RS"/>
        </w:rPr>
        <w:t>2</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Mesta uzimanja uzoraka mulja: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suspendovanih materija u aktivnom mulju nakon aklimatizacije sa sintetičkom otpadnom vodom =...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aktivnog mulja po litru gotove podloge =...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mulja u gotovoj podlozi =...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POTROŠNJA KISEONIKA: BIORAZGRADLJIVOST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Vrsta upotrebljenog respirometra: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740"/>
        <w:gridCol w:w="1278"/>
        <w:gridCol w:w="1370"/>
        <w:gridCol w:w="1735"/>
        <w:gridCol w:w="365"/>
        <w:gridCol w:w="548"/>
        <w:gridCol w:w="548"/>
        <w:gridCol w:w="548"/>
      </w:tblGrid>
      <w:tr w:rsidR="00984859" w:rsidRPr="00984859" w:rsidTr="00984859">
        <w:trPr>
          <w:tblCellSpacing w:w="0" w:type="dxa"/>
        </w:trPr>
        <w:tc>
          <w:tcPr>
            <w:tcW w:w="0" w:type="auto"/>
            <w:gridSpan w:val="3"/>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Vrednost (u danima) </w:t>
            </w:r>
          </w:p>
        </w:tc>
      </w:tr>
      <w:tr w:rsidR="00984859" w:rsidRPr="00984859" w:rsidTr="00984859">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2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 </w:t>
            </w:r>
          </w:p>
        </w:tc>
        <w:tc>
          <w:tcPr>
            <w:tcW w:w="3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 </w:t>
            </w:r>
          </w:p>
        </w:tc>
        <w:tc>
          <w:tcPr>
            <w:tcW w:w="3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 </w:t>
            </w:r>
          </w:p>
        </w:tc>
        <w:tc>
          <w:tcPr>
            <w:tcW w:w="3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w:t>
            </w:r>
          </w:p>
        </w:tc>
      </w:tr>
      <w:tr w:rsidR="00984859" w:rsidRPr="00984859" w:rsidTr="00984859">
        <w:trPr>
          <w:tblCellSpacing w:w="0" w:type="dxa"/>
        </w:trPr>
        <w:tc>
          <w:tcPr>
            <w:tcW w:w="1500" w:type="pct"/>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potrošnja (mg) ispitivane hemikalije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potrošnja (mg) slepe probe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Korigovani BPK (mg)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b)</w:t>
            </w:r>
            <w:r w:rsidRPr="00984859">
              <w:rPr>
                <w:rFonts w:ascii="Arial" w:eastAsia="Times New Roman" w:hAnsi="Arial" w:cs="Arial"/>
                <w:lang w:eastAsia="sr-Latn-RS"/>
              </w:rPr>
              <w:br/>
            </w:r>
            <w:r w:rsidRPr="00984859">
              <w:rPr>
                <w:rFonts w:ascii="Arial" w:eastAsia="Times New Roman" w:hAnsi="Arial" w:cs="Arial"/>
                <w:lang w:eastAsia="sr-Latn-RS"/>
              </w:rPr>
              <w:lastRenderedPageBreak/>
              <w:t>(a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b)</w:t>
            </w:r>
            <w:r w:rsidRPr="00984859">
              <w:rPr>
                <w:rFonts w:ascii="Arial" w:eastAsia="Times New Roman" w:hAnsi="Arial" w:cs="Arial"/>
                <w:lang w:eastAsia="sr-Latn-RS"/>
              </w:rPr>
              <w:br/>
              <w:t>(a</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 b)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BPK po mg ispitivane hemikalije </w:t>
            </w:r>
          </w:p>
        </w:tc>
        <w:tc>
          <w:tcPr>
            <w:tcW w:w="700" w:type="pct"/>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12"/>
            </w:tblGrid>
            <w:tr w:rsidR="00984859" w:rsidRPr="00984859">
              <w:trPr>
                <w:tblCellSpacing w:w="0" w:type="dxa"/>
              </w:trPr>
              <w:tc>
                <w:tcPr>
                  <w:tcW w:w="0" w:type="auto"/>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 - b </w:t>
                  </w:r>
                </w:p>
              </w:tc>
            </w:tr>
            <w:tr w:rsidR="00984859" w:rsidRP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V </w:t>
                  </w: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Običan sud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Običan sud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Običan sud 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razgradnje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91"/>
              <w:gridCol w:w="1283"/>
            </w:tblGrid>
            <w:tr w:rsidR="00984859" w:rsidRPr="00984859">
              <w:trPr>
                <w:tblCellSpacing w:w="0" w:type="dxa"/>
              </w:trPr>
              <w:tc>
                <w:tcPr>
                  <w:tcW w:w="0" w:type="auto"/>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BPK </w:t>
                  </w:r>
                </w:p>
              </w:tc>
              <w:tc>
                <w:tcPr>
                  <w:tcW w:w="0" w:type="auto"/>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ThOD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gridSpan w:val="8"/>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Srednja vrednost se ne sme koristiti ako postoje znatne razlike između dva merenja.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Slični obrasci mogu se koristiti za referentnu supstancu.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ANALIZA UGLJENIKA (nije obavezno)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Analizator ugljenika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992"/>
        <w:gridCol w:w="805"/>
        <w:gridCol w:w="224"/>
        <w:gridCol w:w="1038"/>
        <w:gridCol w:w="175"/>
        <w:gridCol w:w="2059"/>
        <w:gridCol w:w="1839"/>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Običan sud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DOC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uklonjenog DOC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Srednja vrednost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izmereno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korigovano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Voda + ispitivana 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Mulj + ispitivana 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Mulj + ispitivana 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xml:space="preserve">- 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Mulj + ispitivana 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 xml:space="preserve">3 </w:t>
            </w:r>
            <w:r w:rsidRPr="00984859">
              <w:rPr>
                <w:rFonts w:ascii="Arial" w:eastAsia="Times New Roman" w:hAnsi="Arial" w:cs="Arial"/>
                <w:lang w:eastAsia="sr-Latn-RS"/>
              </w:rPr>
              <w:t xml:space="preserve">- 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Kontrola slepom probom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96"/>
        <w:gridCol w:w="592"/>
        <w:gridCol w:w="6424"/>
      </w:tblGrid>
      <w:tr w:rsidR="00984859" w:rsidRPr="00984859" w:rsidTr="00984859">
        <w:trPr>
          <w:tblCellSpacing w:w="0" w:type="dxa"/>
        </w:trPr>
        <w:tc>
          <w:tcPr>
            <w:tcW w:w="7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uklonjenog DOC = </w:t>
            </w:r>
          </w:p>
        </w:tc>
        <w:tc>
          <w:tcPr>
            <w:tcW w:w="5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(b - c) </w:t>
            </w:r>
          </w:p>
        </w:tc>
        <w:tc>
          <w:tcPr>
            <w:tcW w:w="37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PODACI SPECIFIČNE HEMIJSKE ANALIZE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725"/>
        <w:gridCol w:w="5116"/>
        <w:gridCol w:w="1291"/>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Rezidualna količina ispitivane supstance na kraju ispitivanja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razgradnje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slepe probe sa vodom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Inokulisana ispitivana podloga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a1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a2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a3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21"/>
        <w:gridCol w:w="743"/>
        <w:gridCol w:w="6848"/>
      </w:tblGrid>
      <w:tr w:rsidR="00984859" w:rsidRPr="00984859" w:rsidTr="00984859">
        <w:trPr>
          <w:tblCellSpacing w:w="0" w:type="dxa"/>
        </w:trPr>
        <w:tc>
          <w:tcPr>
            <w:tcW w:w="5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razgradnje = </w:t>
            </w:r>
          </w:p>
        </w:tc>
        <w:tc>
          <w:tcPr>
            <w:tcW w:w="5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S</w:t>
            </w:r>
            <w:r w:rsidRPr="00984859">
              <w:rPr>
                <w:rFonts w:ascii="Arial" w:eastAsia="Times New Roman" w:hAnsi="Arial" w:cs="Arial"/>
                <w:sz w:val="15"/>
                <w:szCs w:val="15"/>
                <w:vertAlign w:val="subscript"/>
                <w:lang w:eastAsia="sr-Latn-RS"/>
              </w:rPr>
              <w:t>a</w:t>
            </w:r>
          </w:p>
        </w:tc>
        <w:tc>
          <w:tcPr>
            <w:tcW w:w="39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b</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Izračunava se procenat razgradnje za obične sudove a</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a</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NAPOMENE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Ako je moguće priložiti BPK krivu u funkciji vremena.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IZRAČUNAVANJE I ODREĐIVANJE ODGOVARAJUĆIH UKUPNIH PARAMETARA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zavisnosti od izabrane metode ispitivanja, zahtevaju se određeni zbirni parametri. Ovaj deo opisuje postupak dobijanja njihovih vrednosti. Upotreba ovih parametara data je u pojedinim metodama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SADRŽAJ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ugljenika izračunava se iz poznatog sastava elemenata ili elemenata određenih analizom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TEORIJSKA POTROŠNJA KISEONIKA (ThOD)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Teorijska potrošnja kiseonika (u daljem tekstu: ThOD) može se izračunati ako je sastav elemenata poznat ili određen analizom elemenata. To je za jedinjenje: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h</w:t>
      </w:r>
      <w:r w:rsidRPr="00984859">
        <w:rPr>
          <w:rFonts w:ascii="Arial" w:eastAsia="Times New Roman" w:hAnsi="Arial" w:cs="Arial"/>
          <w:lang w:eastAsia="sr-Latn-RS"/>
        </w:rPr>
        <w:t>Cl</w:t>
      </w:r>
      <w:r w:rsidRPr="00984859">
        <w:rPr>
          <w:rFonts w:ascii="Arial" w:eastAsia="Times New Roman" w:hAnsi="Arial" w:cs="Arial"/>
          <w:sz w:val="15"/>
          <w:szCs w:val="15"/>
          <w:vertAlign w:val="subscript"/>
          <w:lang w:eastAsia="sr-Latn-RS"/>
        </w:rPr>
        <w:t>cl</w:t>
      </w: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na</w:t>
      </w: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o</w:t>
      </w:r>
      <w:r w:rsidRPr="00984859">
        <w:rPr>
          <w:rFonts w:ascii="Arial" w:eastAsia="Times New Roman" w:hAnsi="Arial" w:cs="Arial"/>
          <w:lang w:eastAsia="sr-Latn-RS"/>
        </w:rPr>
        <w:t>P</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s</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bez nitrifikacije,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752975" cy="885825"/>
            <wp:effectExtent l="0" t="0" r="9525" b="9525"/>
            <wp:docPr id="104" name="Picture 104" descr="C:\Program Files (x86)\ParagrafLex\browser\Files\Old\t\t2013_12\t12_0570_s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Program Files (x86)\ParagrafLex\browser\Files\Old\t\t2013_12\t12_0570_s090.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2975" cy="8858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sa nitrifikacijom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638675" cy="809625"/>
            <wp:effectExtent l="0" t="0" r="9525" b="9525"/>
            <wp:docPr id="103" name="Picture 103" descr="C:\Program Files (x86)\ParagrafLex\browser\Files\Old\t\t2013_12\t12_0570_s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Program Files (x86)\ParagrafLex\browser\Files\Old\t\t2013_12\t12_0570_s091.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38675" cy="8096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HEMIJSKA POTROŠNJA KISEONIKA (HPK)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Hemijska potrošnja kiseonika (u daljem tekstu: HPK) određuje se prema Metodi C.6. koja je data u ovom prilogu.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RASTVORENI ORGANSKI UGLJENIK (DOC)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Rastvoreni organski ugljenik (u daljem tekstu: DOC) jeste organski ugljenik bilo koje hemikalije ili smeše u vodi koji prolazi kroz filter promera 0,45 µ.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Izvuku se uzorci iz posuda za ispitivanje i odmah filtriraju u filtracijskom uređaju koji koristi odgovarajući membranski filter. Prvih 20 ml (količina se može smanjiti kad se koriste mali filteri) filtrata se bacaju. Zapremine od 10 ml do 20 ml ili manje, ako se injektiraju (zapremina zavisi od količine koja je potrebna za analizator ugljenika) zadržavaju se zbog analize </w:t>
      </w:r>
      <w:r w:rsidRPr="00984859">
        <w:rPr>
          <w:rFonts w:ascii="Arial" w:eastAsia="Times New Roman" w:hAnsi="Arial" w:cs="Arial"/>
          <w:lang w:eastAsia="sr-Latn-RS"/>
        </w:rPr>
        <w:lastRenderedPageBreak/>
        <w:t xml:space="preserve">ugljenika. Koncentracija DOC određuje se pomoću analizatora organskog ugljenika koji može tačno da izmeri koncentraciju ugljenika koja je jednaka ili niža od 10% početne koncentracije DOC korišćene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Filtrirani uzorci koji se ne mogu analizirati istog dana mogu da se sačuvaju u frižideru na temperaturi od 2° C do 4° C u toku 48 sata ili na temperaturi ispod - 18° C u toku dužeg perioda.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Membranski filteri su često impregnirani površinski aktivnim materijama za hidrofilizaciju. Zato filter može sadržati do nekoliko mg rastvorenog organskog ugljenika koji utiče na određivanje biorazgradljivosti. Površinski aktivne materije i druga rastvorljiva organska jedinjenja uklanjaju se iz filtera kuvanjem filtera u dejonizovanoj vodi tri puta po sat vremena. Filteri se mogu čuvati u vodi nedelju dana. Ako se koriste jednokratna punjenja filtera, svako punjenje se proverava da bi se potvrdilo da ne otpušta rastvorljivi organski ugljenik.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Membranski filter, zavisno od tipa, može usled adsorpcije zadržati test supstancu. Poželjno je proveriti da li filter zadržava ispitivanu hemikaliju.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Centrifugiranje na 40.000 m/s</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(4.000 g) u toku 15 minuta može se koristiti umesto filtracije za razlikovanje TOC od DOC. Postupak nije pouzdan pri početnim koncentracijama manjim od 10 mg DOC/l, s obzirom na to dali su ili nisu uklonjene sve bakterije ili se ugljenik kao deo bakterijske plazme ponovno rastvorio.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Standard Methods for the Examination of Water and Wastewater, 12th ed, Am. Pub. Hlth. Ass., Am. Wat. Poll. COntrol Fed., Oxygen Demand, 1965, P 65.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Wagner, R., Von Wasser, 1976, vol. 46, 139.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DIN-Entwurf 38 409 Teil 41 Deutsche Einheitsverfahren zur Wasser-, Abwasser- und Schlammuntersuchung, Summarische Wirkungs- und Stoffkenngrößen (Gruppe H). Bestimmung des Chemischen Sauerstoffbedarfs (CSB) (H 41), Normenausschuß Wasserwesen (NAW) in DIN Deutsches Institut für Normung e. 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Gerike, P., The biodegradability testing of poorly water soluble COmpounds. Chemosphere, 1984, vol 13 (1), 169.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PROCENA BIOLOŠKE RAZGRADLJIVOSTI SLABO RASTVORLJIVIH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ispitivanju biorazgradnje slabo rastvorljivih supstanci, posebnu pažnju posvetiti sledećim aspektima: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Dok su homogene tečnosti retko problem za uzimanje uzoraka, preporučuje se da čvrste supstance budu homogenizovane odgovarajućim sredstvima kako bi se izbegle greške usled nehomogenosti. Posebno se pazi kad su potrebni reprezentativni uzorci od nekoliko miligrama iz smeše hemikalija ili supstanci sa velikom količinom nečistoća.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Tokom ispitivanja mogu se koristiti različiti oblici mešanja. Hemikalija se meša tek toliko da ostane dispergovana. Pregrejavanje, prekomerno stvaranje pene i preterane vučne sile izbegavaju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Može se koristiti emulgator koji omogućava stabilnu disperziju hemikalije. Emulgator ne sme da bude toksičan za bakterije i ne sme da bude biorazgradljiv ili da uzrokuje stvaranje pene u ispitivanim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rastvarače se primenjuju isti kriterijumi kao i na emulgatore.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preporučuje se korišćenje čvrstih nosača za ispitivane čvrste supstance, ali oni mogu biti pogodni samo za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koriste pomoćne supstance kao što su emulgatori, rastvarači i nosači, ispituje se posuda sa slepom probom koja sadrži te pomoćne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biorazgradljivosti slabo rastvorljivih jedinjenja može se koristiti bilo koji od tri respirometrijska ispitivanja: C.4-B, BPK, MITI.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de Morsier, A. et al., Biodegradation tests for poorly soluble COmpounds. Chemosphere, 1987, vol. 16, 833.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Gerike, P, The Biodegradability testing of poorly water soluble COmpounds. Chemosphere, 1984, vol. 13, 169.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četvrti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PROCENA BIORAZGRADLJIVOSTI HEMIKALIJA ZA KOJE SE SUMNJA DA SU TOKSIČNE ZA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 se ispitivana hemikalija podvrgne ispitivanju biorazgradljivosti i pokaže se da nije brzo biorazgradljiva, preporučuje se sledeći postupak za utvrđivanje razlika između inibicije i inercije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ispitivanja toksičnosti i biorazgradnje, koristiti slične ili identične inokulume.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ispitivanjem brze biorazgradljivosti procenila toksičnost hemikalije, primenjuje se jedan ili kombinacija postupaka za utvrđivanje inhibicije stepena respiracije mulja (ispitivanje inhibicije respiracije aktivnog mulja, videti u literaturi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BPK, odnosno postupaka za utvrđivanje inhibicije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je potrebno izbeći inhibiciju izazvanu toksičnošću, preporučuje se da koncentracije ispitivane supstance koja se koristi u ispitivanju brze biološke razgradljivosti budu manje od 1/10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(ili manje od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vrednosti) koja se dobije ispitivanjem toksičnosti. Jedinjenja sa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vrednošću većom od 300 mg/l najverovatnije nemaju toksične efekte u ispitivanju brze biorazgradljivosti.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manje od 20 mg/l verovatno predstavljaju ozbiljne probleme za dalje testove. Koriste se niske ispitivane koncentracije, zbog čega se koristi stroga i osetljiva metoda ispitivanja u zatvorenoj boci ili materijal označen izotopom ugljenika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 Alternativno, ako se </w:t>
      </w:r>
      <w:r w:rsidRPr="00984859">
        <w:rPr>
          <w:rFonts w:ascii="Arial" w:eastAsia="Times New Roman" w:hAnsi="Arial" w:cs="Arial"/>
          <w:lang w:eastAsia="sr-Latn-RS"/>
        </w:rPr>
        <w:lastRenderedPageBreak/>
        <w:t xml:space="preserve">radi sa aklimatizovanim inokulumom, koriste se više koncentracije ispitivane supstance. U tom slučaju, gubi se specifični kriterijum metode ispitivanja brze biološke razgradljivosti.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Reynolds, L. et al., Evaluation of the toxicity of substances to be assessed for biodegradability. Chemosphere, 1987, vol. 16, 2259.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Directive 87/302/EEC.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peti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KOREKCIJA POTROŠNJE KISEONIKA ZBOG UTICAJA NITRIFIKACIJE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Greške zbog propusta da se uračuna nitrifikacija u procenu biorazgradljivosti ispitivane supstance koja ne sadrži N na osnovu potrošnje kiseonika su marginalne (ne veće od 5%), čak i ako je pojava oksidacije amonijačnog azota u podlozi vrlo nepravilna, kao između posuda za ispitivanje i posuda sa slepom probom. Kad ispitivane supstance sadrže N, mogu se javiti ozbiljne greške.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došlo do nitrifikacije, ali ona nije potpuna, opažena potrošnja kiseonika reakcione smeše može se korigovati za količinu kiseonika potrošenog u oksidaciji amonijaka na nitrite i nitrate, ako se promene u koncentraciji u toku inkubacije nitrita i nitrata određuju pomoću jednačina: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Cl+3O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=2HNO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+2HCl+2H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2HNO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Ukupno: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Cl+4O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=2HNO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+2HCl+2H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 jednačine [1] vidi se da 28 g azota iz amonijum hlorida (NH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Cl) potroši 96 g kiseonika u toku oksidacije do nitrita, odnosno faktor je 3,43 (96/28). Na isti način, iz jednačine [3] vidi se da 28 g azota potroši 128 g kiseonika u toku oksidacije do nitrata, odnosno faktor je 4,57 (128/28).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 obzirom da su reakcije sekvencijalne, a za njih su zaslužne različite bakterijske vrste, koncentracija nitrita se može povećati ili smanjiti. Dakle: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potrošen u stvaranju nitrata = 4,57 x povećanje koncentracije nitrata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potrošen u stvaranju nitrata = 3,43 x povećanje koncentracije nitrata [5]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gubitak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zbog gubljenja nitrata = -3,43 x smanjenje koncentracije nitrata [6]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tako da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potrošnja zbog nitrifikacije = ±3,43 x promena konc. nitrita + 4,57 x povećanje koncentracije nitrita [7]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 stoga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potrošnja zbog C oksidacije = ukupna opažena potrošnja zbog nitrifikacije. [8]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Alternativno, ako se određuje samo ukupni oksidovani N, može se prihvatiti da je potrošnja kiseonika zbog nitrifikacije, kao prva aproksimacija, 4,57 puta povećanje u oksidovanom 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Korigovana vrednost za potrošnju kiseonika zbog C oksidacije se onda poredi sa ThODNH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kao što je izračunato u Delu drugom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C.5. RAZGRADNJA - BIOHEMIJSKA POTROŠNJA KISEONIKA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ove metode je merenje biohemijske potrošnje kiseonika (u daljem tekstu: BPK) za čvrste i tečne organske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dobijeni u ovom ispitivanju odnose se na jedinjenja rastvorljiva u vodi. Mogu se ispitivati i jedinjenja koja su isparljiva, kao i jedinjenja koja su slabo rastvorljiva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može primeniti samo za one organske supstance koje ne deluju inhibitorno na bakterije u koncentracijama koje se koriste u ispitivanju. Ako ispitivana supstanca nije rastvorljiva u izabranim koncentracijama, dodatne mere (kao što je ultrazvučna disperzija) mogu se koristiti kako bi se postigla dobra disperzija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o toksičnosti ispitivane supstance mogu da budu korisni pri tumačenju rezultata ispitivanja gde su dobijene male vrednosti za BPK, a pomažu i u izboru odgovarajućih koncentracija za ispitivanje date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Biohemijska potrošnja kiseonika (BPK) jeste masa rastvorenog kiseonika potrebna za proces biohemijske oksidacije u specifičnoj zapremini rastvora ispitivane supstance pod uslovima definisanim za ovo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se izražavaju u gramima kao g BPK/g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Poželjno je koristiti adekvatne referentne supstance da bi se proverila aktivnost inokuluma.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Unapred određena količina ispitivane supstance, koja je rastvorena ili dispergovana u dobro aerisanom medijumu, inokulira se sa mikroorganizmima i inkubira na tačno određenoj konstantnoj temperaturi u odsustvu svetlosti.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BPK se određuje kao razlika sadržaja rastvorenog kiseonika na početku i na kraju ispitivanja. Ispitivanje traje najmanje pet dana, ali ne duže od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slepu probu koristiti rezultate naporednog ispitivanja bez prisustva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Određivanje BPK ne može da se smatra validnom merom biorazgradljivosti ispitivane supstance. Ovo ispitivanje se može posmatrati samo kao skrining test.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Preliminarni rastvor ili disperzija pripremaju se tako da se postigne odgovarajuća koncentracija BPK kompatibilna sa metodom koja se koristi. BPK se zatim određuje primenom bilo koje odgovarajuće standardizovane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BPK za preliminarni rastvor ispitivane supstance izračunava se prema izabranoj standardizovanoj metodi i izražava se u gramima BPK po gramu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o ispitivanju navodi se koja metoda je korišćena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BPK predstavlja srednju vrednost za najmanje tri validna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Navode se i svi podaci i napomene relevantne za tumačenje rezultata, a posebno podaci koji su u vezi sa nečistoćama, fizičkim karakteristikama, toksičnim efektom i sastavom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se navodi i upotreba aditiva koji se koriste radi sprečavanja biološke nitrifikacije.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Lista standardizovanih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NF T 90-103: Determination of the biochemical oxygen demand.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NBN 407: Biochemical oxygen demand.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NEN 32355.4: Bepaling van het biochemish zuurstofverbruik (BZV).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The determination of biochemical oxygen demand, Methods for the examination of water and associated materials, HMSO, London.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ISO 5815: Determination of biochemical oxygen demand after n days.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C.6. RAZGRADNJA - HEMIJSKA POTROŠNJA KISEONIKA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Cilj ove metode je merenje hemijske potrošnje kiseonika (u daljem tekstu: HPK) za čvrste i tečne organske supstance, u tačno definisanim laboratorijskim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Poznavanje hemijske formule supstance korisno je za izvođenje metode ispitivanja kao i za tumačenje dobijenih rezultata (npr. soli halogenih elemenata, organske soli gvožđa, organohlorna jedinjenja).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Hemijska potrošnja kiseonika (HPK) jeste mera sposobnosti neke supstance da bude oksidovana, a izražava se kao ekvivalentna količina kiseonika oksidujućeg sredstva koja je potrebna za oksidaciju supstance u tačno definisanim laboratorijskim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 se izražava u gramima, kao g HPK/g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se ne koriste u svim slučajevima prilikom testiranja novih supstanci. Referentne supstance služe prvenstveno za periodičnu kalibraciju metode i omogućavaju poređenje rezultata ukoliko se primenjuje neka druga metoda.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Unapred određena količina ispitivane supstance koja je rastvorena ili dispergovana u vodi, se oksiduje sa kalijum dihromatom u medijumu zakiseljenom sa sumpornom kiselinom i sa srebro-sulfatom kao katalizatorom, pod refluksom u toku 2 sata. Preostali dihromat se određuje titracijom pomoću standardizovanog gvožđe-amonijum sulfata.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slučaju da ispitivane supstance sadrže hlor, dodati živu-sulfat</w:t>
      </w:r>
      <w:r w:rsidRPr="00984859">
        <w:rPr>
          <w:rFonts w:ascii="Arial" w:eastAsia="Times New Roman" w:hAnsi="Arial" w:cs="Arial"/>
          <w:b/>
          <w:bCs/>
          <w:sz w:val="15"/>
          <w:szCs w:val="15"/>
          <w:vertAlign w:val="superscript"/>
          <w:lang w:eastAsia="sr-Latn-RS"/>
        </w:rPr>
        <w:t>III</w:t>
      </w:r>
      <w:r w:rsidRPr="00984859">
        <w:rPr>
          <w:rFonts w:ascii="Arial" w:eastAsia="Times New Roman" w:hAnsi="Arial" w:cs="Arial"/>
          <w:lang w:eastAsia="sr-Latn-RS"/>
        </w:rPr>
        <w:t xml:space="preserve"> da bi se smanjila interferencija hlorida.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III </w:t>
      </w:r>
      <w:r w:rsidRPr="00984859">
        <w:rPr>
          <w:rFonts w:ascii="Arial" w:eastAsia="Times New Roman" w:hAnsi="Arial" w:cs="Arial"/>
          <w:lang w:eastAsia="sr-Latn-RS"/>
        </w:rPr>
        <w:t xml:space="preserve">Nakon upotrebe, rastvori koje sadrže živine soli tretiraju se da bi se izbeglo ispuštanje žive u životnu sredinu.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Zbog arbitrarnog načina određivanja, HPK je "indikator sposobnosti oksidovanja", pa se ova metoda koristi kao praktičan postupak za određivanje sadržaja organske materije.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Hloridi mogu da utiču na ovo ispitivanje. Neorganska redukujuća ili oksidujuća sredstva takođe mogu da utiču na određivanje HPK.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Neka ciklična jedinjenja i mnoge isparljive supstance (npr. niže masne kiseline) ne mogu se potpuno oksidovati primenom postupka opisanog u ovoj metodi.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Pripremi se preliminarni rastvor ili disperzija ispitivane supstance da se dobije HPK između 250 mg/l i 600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slučaju da se radi o slabo rastvorljivim supstancama ili supstancama koje se ne mogu dispergovati, može se odmeriti količina praškaste supstance ili supstance u tečnom obliku koja odgovara količini od 5 mg HPK i staviti u posudu sa vodom.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HPK se često, i naročito u slučaju slabo rastvorljivih supstanci, pogodno određuje modifikacijom postupka, odnosno u zatvorenom sistemu sa izjednačavanjem pritiska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Primenom ove modifikovane metode, supstance za koje nisu prikladne konvencionalne metode, kao npr. sirćetna kiselina, mogu se uspešno kvantifikovati. U slučaju piridina ova metoda nije primenljiva.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Ukoliko se koncentracija kalijum dihromata, kao što je preporučeno u literaturi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poveća na 0,25 N (0,0416 M), olakšano je direktno merenje 5 mg do 10 mg supstance, što je neophodno za određivanje HPK za slabo rastvorljive supstance</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ostalim slučajevima, HPK se određuje primenom bilo koje odgovarajuće domaće ili međunarodne standardizovane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HPK u posudi izračunava se prema izabranom normalizovanom postupku i pretvara se u grame HPK po gramu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o ispitivanju navodi se koja metoda je korišćena pri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HPK predstavlja srednju vrednost najmanje tri merenja. Navode se svi podaci i napomene merodavne za tumačenje rezultata, naročito one koje se odnose na prisustvo nečistoća i svojstva ispitivane supstance (ako su poznata), koja bi mogla uticati na rezultate.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Navodi se i da li je korišćen živin sulfat u cilju smanjenja uticaja hlorida.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NBN T 91-201 Determination of the chemical oxygen demand.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ISBN O 11 7512494 Chemical oxygen demand (dichromate value) of polluted and waste waters.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NF T 90-101 Determination of the chemical oxygen demand.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DS 217 = water analysis Determination of the chemical oxygen demand.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DIN 38409-H-41 Determination of the chemical oxygen demand (COD) within the range above 15 mg per litre.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NEN 3235 5.3 Bepaling van het chemisch zuurstofverbruik.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ISO 6060 Water quality: chemical oxygen demand dichromate methods.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C.7. RAZGRADNJA - ABIOTIČKA RAZGRADNJA: HIDROLIZA KAO FUNKCIJA pH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111 (2004).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Hemikalije mogu dospeti u površinske vode direktnim unošenjem, raspršivanjem, izlivanjem, drenažom ili kao posledica odlaganja otpada iz industrije, domaćinstava i poljoprivrede, iz otpadnih voda ili atmosfere. Dospele hemikalije u površinskim vodama mogu biti transformisane hemijski (npr. hidroliza, oksidacija), fotohemijski, odnosno mikrobiološki. Ova metoda opisuje laboratorijsku metodu ispitivanja za procenu abiotičke hidrolitičke transformacije hemikalija u vodenim sistemima pri vrednostima pH koje su uobičajeno karakteristične (pH 4-9) i bazira se na uputstvima</w:t>
      </w:r>
      <w:r w:rsidRPr="00984859">
        <w:rPr>
          <w:rFonts w:ascii="Arial" w:eastAsia="Times New Roman" w:hAnsi="Arial" w:cs="Arial"/>
          <w:b/>
          <w:bCs/>
          <w:sz w:val="15"/>
          <w:szCs w:val="15"/>
          <w:vertAlign w:val="superscript"/>
          <w:lang w:eastAsia="sr-Latn-RS"/>
        </w:rPr>
        <w:t>1, 2, 3, 4, 5, 6, 7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Eksperimenti se izvode u cilju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stepena hidrolize ispitivane supstance u funkciji pH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prirode/načina i stepena obrazovanja i smanjenja produkata hidrolize kojima organizmi mogu biti izloženi.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Ovi eksperimenti mogu da budu obavezni za hemikalije koje se direktno primenjuju na površinske vode ili za hemikalije za koje postoji veliki stepen verovatnoće da će dospeti u životnu sredinu nekim od puteva unosa navedenim u ovom odeljku.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svim ispitivanjima koriste se merne jedinice koje su obuhvaćene Međunarodnim sistemom jedinica (SI).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jeste bilo koja supstanca, odnosno polazna supstanca ili odgovarajući produkt hidrolize.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Produkti transformacije jesu sve supstance koje nastaju kao produkt u reakcijama biotičke ili abiotičke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Produkti hidrolize jesu sve supstance koje nastaju kao produkti hidrolitičke transformacije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Hidroliza jeste reakcija ispitivane supstance (u daljem tekstu: RH) sa vodom, sa zamenom H grupe sa OH grupom: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RH + HOH → ROH + HH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Stopa kojom se koncentracija RH smanjuje u pojednostavljenom postupku predstavlja se formulama: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stopa = 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O][RH], za reakcije drugog reda ili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stopa = k[RH], za reakcije prvog reda,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zavisnosti od koraka kojim se određuje stopa.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 obzirom na to da je voda prisutna u znatno većoj količini u odnosu na ispitivanu supstancu, ovaj tip reakcije se uobičajeno opisuje kao reakcija pseudo-prvog reda u kojoj je zabeležena konstanta data odnosom: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obs</w:t>
      </w:r>
      <w:r w:rsidRPr="00984859">
        <w:rPr>
          <w:rFonts w:ascii="Arial" w:eastAsia="Times New Roman" w:hAnsi="Arial" w:cs="Arial"/>
          <w:lang w:eastAsia="sr-Latn-RS"/>
        </w:rPr>
        <w:t xml:space="preserve"> = 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 može biti određena izrazom</w:t>
      </w:r>
      <w:r w:rsidRPr="00984859">
        <w:rPr>
          <w:rFonts w:ascii="Arial" w:eastAsia="Times New Roman" w:hAnsi="Arial" w:cs="Arial"/>
          <w:b/>
          <w:bCs/>
          <w:sz w:val="15"/>
          <w:szCs w:val="15"/>
          <w:vertAlign w:val="superscript"/>
          <w:lang w:eastAsia="sr-Latn-RS"/>
        </w:rPr>
        <w:t>IV</w:t>
      </w:r>
      <w:r w:rsidRPr="00984859">
        <w:rPr>
          <w:rFonts w:ascii="Arial" w:eastAsia="Times New Roman" w:hAnsi="Arial" w:cs="Arial"/>
          <w:lang w:eastAsia="sr-Latn-R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96"/>
        <w:gridCol w:w="259"/>
        <w:gridCol w:w="275"/>
        <w:gridCol w:w="350"/>
        <w:gridCol w:w="7732"/>
      </w:tblGrid>
      <w:tr w:rsidR="00984859" w:rsidRPr="00984859" w:rsidTr="00984859">
        <w:trPr>
          <w:tblCellSpacing w:w="0" w:type="dxa"/>
        </w:trPr>
        <w:tc>
          <w:tcPr>
            <w:tcW w:w="2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obs</w:t>
            </w:r>
            <w:r w:rsidRPr="00984859">
              <w:rPr>
                <w:rFonts w:ascii="Arial" w:eastAsia="Times New Roman" w:hAnsi="Arial" w:cs="Arial"/>
                <w:lang w:eastAsia="sr-Latn-RS"/>
              </w:rPr>
              <w:t xml:space="preserve"> = </w:t>
            </w:r>
          </w:p>
        </w:tc>
        <w:tc>
          <w:tcPr>
            <w:tcW w:w="1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150" w:type="pct"/>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1n </w:t>
            </w:r>
          </w:p>
        </w:tc>
        <w:tc>
          <w:tcPr>
            <w:tcW w:w="2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p>
        </w:tc>
        <w:tc>
          <w:tcPr>
            <w:tcW w:w="42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vreme;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jesu koncentracije RH u vremenu 0 i 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Jedinica mere ove konstante jeste (vreme)</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Poluvreme reakcije jeste vreme potrebno za reakciju 50% RH koje se određuje formulom: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6"/>
        <w:gridCol w:w="729"/>
        <w:gridCol w:w="7927"/>
      </w:tblGrid>
      <w:tr w:rsidR="00984859" w:rsidRPr="00984859" w:rsidTr="00984859">
        <w:trPr>
          <w:tblCellSpacing w:w="0" w:type="dxa"/>
        </w:trPr>
        <w:tc>
          <w:tcPr>
            <w:tcW w:w="2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 xml:space="preserve">0.5 </w:t>
            </w:r>
            <w:r w:rsidRPr="00984859">
              <w:rPr>
                <w:rFonts w:ascii="Arial" w:eastAsia="Times New Roman" w:hAnsi="Arial" w:cs="Arial"/>
                <w:lang w:eastAsia="sr-Latn-RS"/>
              </w:rPr>
              <w:t xml:space="preserve">= </w:t>
            </w:r>
          </w:p>
        </w:tc>
        <w:tc>
          <w:tcPr>
            <w:tcW w:w="4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1n2 </w:t>
            </w:r>
          </w:p>
        </w:tc>
        <w:tc>
          <w:tcPr>
            <w:tcW w:w="43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obs</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Vreme poluživota (t</w:t>
      </w:r>
      <w:r w:rsidRPr="00984859">
        <w:rPr>
          <w:rFonts w:ascii="Arial" w:eastAsia="Times New Roman" w:hAnsi="Arial" w:cs="Arial"/>
          <w:sz w:val="15"/>
          <w:szCs w:val="15"/>
          <w:vertAlign w:val="subscript"/>
          <w:lang w:eastAsia="sr-Latn-RS"/>
        </w:rPr>
        <w:t>0,5</w:t>
      </w:r>
      <w:r w:rsidRPr="00984859">
        <w:rPr>
          <w:rFonts w:ascii="Arial" w:eastAsia="Times New Roman" w:hAnsi="Arial" w:cs="Arial"/>
          <w:lang w:eastAsia="sr-Latn-RS"/>
        </w:rPr>
        <w:t xml:space="preserve">) jeste vreme potrebno za 50% hidrolizu ispitivane supstance kada se hidroliza može opisati kinetikom prvog reda. Ova vrednost je nezavisna od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Vreme nestajanja 50 (u daljem tekstu: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jeste vremenski period u okviru kojeg se koncentracija ispitivane supstance smanji za 50%. Razlikuje se od parametra t</w:t>
      </w:r>
      <w:r w:rsidRPr="00984859">
        <w:rPr>
          <w:rFonts w:ascii="Arial" w:eastAsia="Times New Roman" w:hAnsi="Arial" w:cs="Arial"/>
          <w:sz w:val="15"/>
          <w:szCs w:val="15"/>
          <w:vertAlign w:val="subscript"/>
          <w:lang w:eastAsia="sr-Latn-RS"/>
        </w:rPr>
        <w:t>0,5</w:t>
      </w:r>
      <w:r w:rsidRPr="00984859">
        <w:rPr>
          <w:rFonts w:ascii="Arial" w:eastAsia="Times New Roman" w:hAnsi="Arial" w:cs="Arial"/>
          <w:lang w:eastAsia="sr-Latn-RS"/>
        </w:rPr>
        <w:t xml:space="preserve"> kada se hidroliza ne može opisati kao kinetika prvog reda.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 k na različitim temperaturama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su poznate konstante stepena hidrolize za dve temperature, konstante stepena za druge temperature mogu se izračunati Arheniusovom jednačinom: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73"/>
        <w:gridCol w:w="456"/>
        <w:gridCol w:w="1002"/>
        <w:gridCol w:w="7381"/>
      </w:tblGrid>
      <w:tr w:rsidR="00984859" w:rsidRPr="00984859" w:rsidTr="00984859">
        <w:trPr>
          <w:tblCellSpacing w:w="0" w:type="dxa"/>
        </w:trPr>
        <w:tc>
          <w:tcPr>
            <w:tcW w:w="1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 = </w:t>
            </w:r>
          </w:p>
        </w:tc>
        <w:tc>
          <w:tcPr>
            <w:tcW w:w="2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x e </w:t>
            </w:r>
          </w:p>
        </w:tc>
        <w:tc>
          <w:tcPr>
            <w:tcW w:w="5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 </w:t>
            </w:r>
          </w:p>
        </w:tc>
        <w:tc>
          <w:tcPr>
            <w:tcW w:w="40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 x T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92"/>
        <w:gridCol w:w="556"/>
        <w:gridCol w:w="847"/>
        <w:gridCol w:w="7317"/>
      </w:tblGrid>
      <w:tr w:rsidR="00984859" w:rsidRPr="00984859" w:rsidTr="00984859">
        <w:trPr>
          <w:tblCellSpacing w:w="0" w:type="dxa"/>
        </w:trPr>
        <w:tc>
          <w:tcPr>
            <w:tcW w:w="2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1nk = </w:t>
            </w:r>
          </w:p>
        </w:tc>
        <w:tc>
          <w:tcPr>
            <w:tcW w:w="2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1nA - </w:t>
            </w:r>
          </w:p>
        </w:tc>
        <w:tc>
          <w:tcPr>
            <w:tcW w:w="5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 </w:t>
            </w:r>
          </w:p>
        </w:tc>
        <w:tc>
          <w:tcPr>
            <w:tcW w:w="40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 x T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Grafički prikaz odnosa lnk prema 1/T daje pravu sa nagibom − E/R, 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 jeste konstanta stepena hidrolize, merena na različitim temperaturama;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 jeste energija aktivacije (kJ/mol);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apsolutna temperatura (T);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R jeste gasna konstanta (8.314 J/mol.K).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Energija aktivacije izračunava se regresionom analizom jednačinom: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1895475" cy="933450"/>
            <wp:effectExtent l="0" t="0" r="9525" b="0"/>
            <wp:docPr id="102" name="Picture 102" descr="C:\Program Files (x86)\ParagrafLex\browser\Files\Old\t\t2013_12\t12_0570_s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Program Files (x86)\ParagrafLex\browser\Files\Old\t\t2013_12\t12_0570_s092.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95475" cy="9334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 čemu je 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&gt; 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IV </w:t>
      </w:r>
      <w:r w:rsidRPr="00984859">
        <w:rPr>
          <w:rFonts w:ascii="Arial" w:eastAsia="Times New Roman" w:hAnsi="Arial" w:cs="Arial"/>
          <w:lang w:eastAsia="sr-Latn-RS"/>
        </w:rPr>
        <w:t xml:space="preserve">Ukoliko se na grafičkom prikazu log-transformisanih podataka u funkciji vremena ne uočava linearna povezanost (u skladu sa konstantom prvog reda), upotreba jednačine [3] nije adekvatna za određivanje konstante stepena hidrolize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PRIMENA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primenjuje za hemijske supstance (obeležene ili neobeležene) za koje postoji dovoljno precizna i osetljiva analitička metoda. Metoda može da se primeni i za supstance koje nisu ili su u manjoj meri isparljive ukoliko su rastvorljive u vodi. Metodu ne primenjivati za hemikalije koje su u vodenim rastvorima lako isparljive (npr. fumiganti, organski rastvarači) i koje ne mogu da obrazuju stabilne rastvore u ispitivanim uslovima propisanim za ovu metodu. Ova metoda nije prikladna za supstance slabo rastvorljive u vodi.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Sterilni vodeni rastvori pufera različitih pH vrednosti (pH 4, 7 i 9) u kojima je rastvorena ispitivana supstanca inkubiraju se u mraku u kontrolisanim laboratorijskim uslovima (na konstantnoj temperaturi). Nakon odgovarajućeg vremena, puferski rastvori se analiziraju na ispitivanu supstancu i na produkte hidrolize. Ukoliko se ispituju obeležene supstance (npr. C14), može se lakše uspostaviti maseni bilans.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izvodi se kao etapni pristup koji je dat u Delu drugom ove metode. Izbor naredne etape ispitivanja određen je rezultatima prethodne etape.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PODACI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Neobeležene ili obeležene supstance mogu se koristiti za merenje stepena hidrolize. Prednost za proučavanje puteva hidrolize i za uspostavljanje masenog balansa daje se obeleženim supstancama. U specijalnim slučajevima obeležavanje supstanci nije neophodno. Preporučuje se obeležavanje supstanci sa C</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ali se mogu upotrebljavati i drugi izotopi kao što su C</w:t>
      </w:r>
      <w:r w:rsidRPr="00984859">
        <w:rPr>
          <w:rFonts w:ascii="Arial" w:eastAsia="Times New Roman" w:hAnsi="Arial" w:cs="Arial"/>
          <w:sz w:val="15"/>
          <w:szCs w:val="15"/>
          <w:vertAlign w:val="superscript"/>
          <w:lang w:eastAsia="sr-Latn-RS"/>
        </w:rPr>
        <w:t>13</w:t>
      </w:r>
      <w:r w:rsidRPr="00984859">
        <w:rPr>
          <w:rFonts w:ascii="Arial" w:eastAsia="Times New Roman" w:hAnsi="Arial" w:cs="Arial"/>
          <w:lang w:eastAsia="sr-Latn-RS"/>
        </w:rPr>
        <w:t>, N</w:t>
      </w:r>
      <w:r w:rsidRPr="00984859">
        <w:rPr>
          <w:rFonts w:ascii="Arial" w:eastAsia="Times New Roman" w:hAnsi="Arial" w:cs="Arial"/>
          <w:sz w:val="15"/>
          <w:szCs w:val="15"/>
          <w:vertAlign w:val="superscript"/>
          <w:lang w:eastAsia="sr-Latn-RS"/>
        </w:rPr>
        <w:t>15</w:t>
      </w:r>
      <w:r w:rsidRPr="00984859">
        <w:rPr>
          <w:rFonts w:ascii="Arial" w:eastAsia="Times New Roman" w:hAnsi="Arial" w:cs="Arial"/>
          <w:lang w:eastAsia="sr-Latn-RS"/>
        </w:rPr>
        <w:t>, H</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Koliko je god moguće, potrebno je obeležiti najstabilniji deo molekula. Na primer, ukoliko ispitivana supstanca sadrži jedan prsten, obeležavanje ovog prstena je obavezno; ukoliko supstanca sadrži dva ili više prstena, potrebno je izvesti dodatne eksperimente da bi se procenila sudbina svakog pojedinačnog prstena koji je obeležen da bi se dobili podaci o obrazovanju produkata hidrolize. Procenat čistoće supstance da bude najmanje 95%.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izvođenja ispitivanja, potrebno je o ispitivanoj supstancimati podatke: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vodi (videti Metodu A.6.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rastvorljivost u organskim rastvaračima;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napon pare (videti Metodu A.4. koja je data u ovom pravilniku) i Henrijeva konstanta;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podeoni koeficijent n-oktanol/voda (videti Metodu A.8.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konstantna disocijacije pK</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(videti u literaturi</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stepen direktne i indirektne fototransformacije u vodi, ukoliko je potrebno.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da budu poznati i podaci o analitičkim metodama za kvantifikaciju ispitivane supstance i ukoliko je relevantno, podaci o metodama za identifikaciju i kvantifikaciju produkata hidrolize u vodenim rastvorima (videti odeljak 1.7.2.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kada je moguće, koriste se za identifikaciju i kvantifikaciju produkata hidrolize primenom spektroskopskih i hromatografksih metoda ili neke druge dovoljno osetljive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KRITERIJUMI KVALITETA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Efikasnost primenjene analitičke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Analiza puferskih rastvora ili njihovih ekstrakata neposredno nakon dodavanja ispitivane supstance u najmanje dva ponavljanja daje prve indicije o efikasnosti analitičke metode i ujednačenosti primene izabranog postupka za ispitivanu supstancu. Efikasnost za dalje faze eksperimenta određuje se na osnovu razlike mase (kada se koristi obeleženi materijal). Procenat efiskasnosti iznosi od 90% do 110% za obeležene i neobeležene hemikalije</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U slučaju da postoje tehničke poteškoće da se zadovolji ovaj kriterijum, efikasnost od 70% je prihvatljiva za neobeležene hemikalije, uz dodatno objašnjenje.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Ponovljivost i osetljivost analitičke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Ponovljivost analitičke metode kojom se kvantifikuje ispitivana supstanca i kasnije produkti hidrolize može se proveriti analizom puferskog rastvora (ili njihovih ekstrakata) u dva ponavljanja nakon što se obrazuju produkti hidrolize u dovoljnim količinama za kvantifikaciju.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Analitička metoda treba da je dovoljno osetljiva za kvantifikaciju do najviše 10% od početne koncentracije supstance. Ukoliko je relevantno, analitička metoda treba da bude dovoljno osetljiva i za kvantifikaciju bilo kojih produkata hidrolize koji predstavljaju 10% ili više (u bilo kom vremenu u periodu ispitivanja) od primenjene koncentracije, do 25% ili manje od najviše koncentracije.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1.7.3. Intervali poverenja za kinetičke podatke o hidrolizi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Intervali poverenja se izračunavaju za sve koeficijente regresione prave, konstante, vreme poluživota i bilo koje druge kinetičke parametre (npr.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Oprema i instrumenti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Eksperimenti se izvode u staklenim posudama (npr. epruvetama, tikvicama) u mraku i u sterilnim uslovima, ukoliko je neophodno, osim ukoliko preliminarni podaci (kao što je podeoni koeficijent n-oktanol/voda) ukazuju na to da supstanca prijanja za staklene površine. U tim slučajevima, može se razmatrati upotreba drugih materijala (kao što je teflon). Problem prijanjanja (adhezije) na staklo može se rešiti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određivanjem mase ispitivane supstance i produkata hidrolize koji su sorbovani na zidove posude;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upotrebom ultrazvučnih kupatila;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spiranjem sa zidova posude sa rastvaračem pri svakom uzimanju uzoraka za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korišćenjem formulisanih proizvoda;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upotrebom dodatnih rastvarača za uvođenje ispitivane supstance u sistem, dodatni rastvarač ne sme da utiče na hidrolizu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Vodena kupatila sa mešalicom ili inkubatori sa termoregulacijom potrebni su za inkubaciju rastvora različitih koncentracija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Potrebna je standardna laboratorijska oprema koja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instrumente za analitička merenja kao što su GC, HPLC, TLC uključujući i odgovarajuće sisteme za detekciju supstanci obeleženih ili neobeleženih radioizotopima ili metoda inverznog razblaženja izotopa;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instrumente za identifikaciju (npr. MS, GC-MS, HPLC-MS, NMR,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tečni scintilatorski brojač;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separacione levkove za tečno-tečnu ekstrakciju;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opremu za koncentrovanje rastvora i ekstrakata (npr. rotirajući evaporator);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opremu za održavanje temperature (npr. vodeno kupatilo).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Hemijski reagensi uključuju: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organske rastvarače, analitičke čistoće, kao što je heksan, dihlorometan,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tečnost za scintilatorski brojač;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puferski rastvori (videti odeljak 1.8.3.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staklene posude, redestilovana voda i puferski rastvori koji se koriste sterilni su.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Uvođenje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uvodi u puferski sistem u obliku vodenog rastvora (videti Deo četvrti ove metode). Upotreba malih količina rastvora koji se dobro mešaju sa vodom (kao što je </w:t>
      </w:r>
      <w:r w:rsidRPr="00984859">
        <w:rPr>
          <w:rFonts w:ascii="Arial" w:eastAsia="Times New Roman" w:hAnsi="Arial" w:cs="Arial"/>
          <w:lang w:eastAsia="sr-Latn-RS"/>
        </w:rPr>
        <w:lastRenderedPageBreak/>
        <w:t xml:space="preserve">acetonitril, aceton, etanol) dozvoljena je za uvođenje i distribuciju ispitivane supstance, ali količina ne treba da bude veća od 1% v/v. U slučaju da se razmatra upotreba veće količine rastvarača (npr. kod slabo rastvorljivih supstanci), ovo se može dozvoliti samo ako se dokaže da rastvarač nema uticaj na hidrolizu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rutinsku upotrebu ne preporučuju seformulisani proizvodi, jer se ne može isključiti mogućnost da sastojci formulacije utiču na proces hidrolize. Za slabo rastvorljive supstance ili za supstance koje prijanjaju na staklene površine (videti odeljak 1.8.1. ove metode) upotreba formulisanih proizvoda može da bude odgovarajuća alternativa.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Ispituje se samo jedna koncentracija ispitivane supstance. Koncentracija ne sme da prelazi 0,01M ili polovinu koncentracije zasićenog rastvora.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1.8.3. Puferski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izvodi se pri vrednostima pH od 4, 7 i 9. Za potrebe ovog ispitivanja, puferski rastvori se pripremaju sa hemikalijama analitičke čistoće i redestilovanom vodom. Neki od puferskih sistema koji se koriste dati su u Delu trećem ove metode. Puferski sistem može da utiče na hidrolizu i ukoliko se uoče promene koristi se drugi puferski sistem.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Vrednosti pH svakog puferskog rastvora proveravati sa kalibrisanim pH-metrom sa preciznošću najmanje 0,1 u definisanim temperaturnim uslovima.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1.8.4.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1.8.4.1.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Ispitivanja hidrolize izvoditi na konstantnoj temperaturi. Radi ekstrapolacije rezultata, neophodno je održavati temperaturu sa minimalnim variranjem ± 0,5°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Preliminarno ispitivanje (Etapa 1) izvodi se na temperaturi od 50° C ukoliko se ne raspolaže podacima o načinu hidrolize supstance. Naredne etape kinetičkih ispitivanja izvode se na najmanje tri različite temperature (uključujući i ispitivanje na temperaturi od 50° C) osim ako je preliminarnim ispitivanjem (Etapa 1) dokazano da supstanca ne podleže hidrolizi. Preporučeni temperaturni opseg je 10° C do 70° C (poželjno je da se najmanje jedno ispitivanje izvede na temperaturi manjoj od 25° C) koji obuhvata ne samo temperaturu od 25° C za koju se podnosi izveštaj o ispitivanju, već i većinu vrednosti temperatura zabeleženih u prirodnim uslovima.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1.8.4.2. Osvetljenje i kiseonik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hidrolize potrebno je izabrati odgovarajuću metodu za minimiziranje fotolitičkih efekata. Preduzimaju se odgovarajuće mere za sprečavanje oksidacije (npr. uduvavanjem helijuma, azota ili argona 5 minuta pre pripreme rastvora).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1.8.4.3.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Preliminarno ispitivanje (Etapa 1) traje 5 dana. Naredne etape ispitivanja traju sve dok se 90% ispitivane supstance ne hidrolizuje ili 30 dana, zavisno od toga koji uslov se pre ispuni.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1.8.5. Izvođenje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1.8.5.1. Preliminarno ispitivanje (Etapa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Preliminarno ispitivanje se izvodi na temperaturi od 50° C ± 0,5° C pri vrednostima pH od 4, 7 i 9. Ukoliko ispitivana supstanca hidrolizuje manje od 10% u toku perioda od 5 dana, (t</w:t>
      </w:r>
      <w:r w:rsidRPr="00984859">
        <w:rPr>
          <w:rFonts w:ascii="Arial" w:eastAsia="Times New Roman" w:hAnsi="Arial" w:cs="Arial"/>
          <w:sz w:val="15"/>
          <w:szCs w:val="15"/>
          <w:vertAlign w:val="subscript"/>
          <w:lang w:eastAsia="sr-Latn-RS"/>
        </w:rPr>
        <w:t xml:space="preserve">0,5 25°C </w:t>
      </w:r>
      <w:r w:rsidRPr="00984859">
        <w:rPr>
          <w:rFonts w:ascii="Arial" w:eastAsia="Times New Roman" w:hAnsi="Arial" w:cs="Arial"/>
          <w:lang w:eastAsia="sr-Latn-RS"/>
        </w:rPr>
        <w:t>&gt; 1 godine) za tu supstancu se smatra da ne podleže hidrolizi i nije potrebno dalje ispitivanje. Ako je za supstancu dokazano da podleže hidrolizi na ambijentalnoj temperaturi</w:t>
      </w:r>
      <w:r w:rsidRPr="00984859">
        <w:rPr>
          <w:rFonts w:ascii="Arial" w:eastAsia="Times New Roman" w:hAnsi="Arial" w:cs="Arial"/>
          <w:b/>
          <w:bCs/>
          <w:sz w:val="15"/>
          <w:szCs w:val="15"/>
          <w:vertAlign w:val="superscript"/>
          <w:lang w:eastAsia="sr-Latn-RS"/>
        </w:rPr>
        <w:t>V</w:t>
      </w:r>
      <w:r w:rsidRPr="00984859">
        <w:rPr>
          <w:rFonts w:ascii="Arial" w:eastAsia="Times New Roman" w:hAnsi="Arial" w:cs="Arial"/>
          <w:lang w:eastAsia="sr-Latn-RS"/>
        </w:rPr>
        <w:t xml:space="preserve"> nije neophodno preliminarno ispitivanje. Analitička metoda je potrebno da bude dovoljno precizna i osetljiva da se može detektovati 10% redukcije početne koncentracije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V</w:t>
      </w:r>
      <w:r w:rsidRPr="00984859">
        <w:rPr>
          <w:rFonts w:ascii="Arial" w:eastAsia="Times New Roman" w:hAnsi="Arial" w:cs="Arial"/>
          <w:lang w:eastAsia="sr-Latn-RS"/>
        </w:rPr>
        <w:t xml:space="preserve"> Ovi podaci mogu da potiču od drugih izvora kao što su: podaci o hidrolizi strukturno sličnih jedinjenja iz literature ili drugih preliminarnih, semi-kvantitativnih ispitivanja hidrolize sa ispitivanom supstancom u fazama razvijanja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1.8.5.2. Hidroliza nestabilnih supstanci (Etapa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Sledeća etapa ispitivanja izvodi se pri pH vrednostima pri kojima je data ispitivana supstanca nestabilna, a što je dokazano preliminarnim ispitivanjem. Puferski rastvori ispitivane supstance temperiraju se na izabranoj temperaturi. Za ispitivanje kinetike prvog reda, svaki rastvor ispitivane supstance analizira se u određenim vremenskim intervalima što omogućava dobijanje najmanje šest pravilno raspoređenih vrednosti u opsegu od 10% do 90% hidrolize ispitivane supstance. Po jedan uzorak supstance uzima se za merenje u šest vremenskih intervala (ukoliko je ispitivanje postavljeno u najmanje dva ponavljanja u odvojenim posudama) i izuzima iz ispitivanja (dobija se set podataka od najmanje dvanaest vrednosti). Nije adekvatno postavljanje ispitivanja samo sa jedinstvenim uzorkom iz koga će se uzimati pojedinačne alikvote za merenja u vremenskim intervalima, jer ne omogućava analizu varijabilnosti podataka i može da dovede do kontaminacije rastvora ispitivane supstance. Ispitivanja kojima se utvrđuje da su eksperimentalni uslovi sterilni izvode se na kraju završnih etapa, odnosno nakon hidrolize 90% ispitivane supstance ili nakon 30 dana. Ako se ne uočava razgradnja (transformacija) supstance, nije neophodno izvoditi ova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1.8.5.3. Identifikacija produkata hidrolize (Etapa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važnije produkte hidrolize, odnosno one produkte koji predstavljaju najmanje 10% primenjene doze ispitivane supstance identifikovati odgovarajućim analitičkim metodama.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1.8.5.4. Dodatna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supstanci koji ne podležu hidrolizi mogu biti neophodna dodatna ispitivanja koja se izvode pri različitim vrednostima pH od 4, 7 i 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primer, kod proučavanja fizioloških procesa može biti potrebno izvoditi ispitivanje u kiseloj sredini (npr. pH 1,2) pri temperaturnim uslovima koji su fiziološki relevantni (37° 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Količina ispitivane supstance i produkata hidrolize izražava se u procentima u odnosu na primenjenu početnu koncentraciju ispitivane supstance, i kada je prikladno, u mg/l za svaki vremenski interval merenja i pri svim pH vrednostima i temperaturama. Kada se u ispitivanju koriste obeležene supstance maseni balans se izražava u procentima u odnosu na primenjenu početnu koncentraciju.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ispitivanja predstavljaju se grafički: log-transformisani podaci za koncentraciju ispitivane supstance u funkciji vremena. Treba identifikovati sve važnije produkte hidrolize, odnosno produkte koji predstavljaju najmanje 10% primenjene doze ispitivane supstance. </w:t>
      </w:r>
      <w:r w:rsidRPr="00984859">
        <w:rPr>
          <w:rFonts w:ascii="Arial" w:eastAsia="Times New Roman" w:hAnsi="Arial" w:cs="Arial"/>
          <w:lang w:eastAsia="sr-Latn-RS"/>
        </w:rPr>
        <w:lastRenderedPageBreak/>
        <w:t xml:space="preserve">Podatke za koncentraciju produkata hidrolize transformisati u log-transformisane podatke (identično kao i za ispitivanu supstancu) da bi se uočio stepen obrazovanja i smanjenja produkata hidrolize.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Preciznije izračunavanje vrednosti poluživota ili vrednosti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postiže se primenom odgovarajućih kinetičkih modela. Vrednosti poluživota, odnosno vrednosti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(uključujući i intervale poverenja) prikazuju se za svaku pH vrednost i temperaturu sa opisom korišćenog modela, stepenom kinetike i koeficijenta korelacije (r</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Ove računice mogu se primeniti za produkte hidrolize.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Kada se ispitivanja izvode na različitim temperaturama, konstante hidrolize pseudo-prvog reda (k</w:t>
      </w:r>
      <w:r w:rsidRPr="00984859">
        <w:rPr>
          <w:rFonts w:ascii="Arial" w:eastAsia="Times New Roman" w:hAnsi="Arial" w:cs="Arial"/>
          <w:sz w:val="15"/>
          <w:szCs w:val="15"/>
          <w:vertAlign w:val="subscript"/>
          <w:lang w:eastAsia="sr-Latn-RS"/>
        </w:rPr>
        <w:t>obs</w:t>
      </w:r>
      <w:r w:rsidRPr="00984859">
        <w:rPr>
          <w:rFonts w:ascii="Arial" w:eastAsia="Times New Roman" w:hAnsi="Arial" w:cs="Arial"/>
          <w:lang w:eastAsia="sr-Latn-RS"/>
        </w:rPr>
        <w:t>) opisati u funkciji temperature. Izračunavanja se zasnivaju na raščlanjivanju vrednosti k</w:t>
      </w:r>
      <w:r w:rsidRPr="00984859">
        <w:rPr>
          <w:rFonts w:ascii="Arial" w:eastAsia="Times New Roman" w:hAnsi="Arial" w:cs="Arial"/>
          <w:sz w:val="15"/>
          <w:szCs w:val="15"/>
          <w:vertAlign w:val="subscript"/>
          <w:lang w:eastAsia="sr-Latn-RS"/>
        </w:rPr>
        <w:t xml:space="preserve">obs </w:t>
      </w:r>
      <w:r w:rsidRPr="00984859">
        <w:rPr>
          <w:rFonts w:ascii="Arial" w:eastAsia="Times New Roman" w:hAnsi="Arial" w:cs="Arial"/>
          <w:lang w:eastAsia="sr-Latn-RS"/>
        </w:rPr>
        <w:t>na vrednosti konstante za hidrolizu u kiseloj, neutralnoj i baznoj sredini (k</w:t>
      </w:r>
      <w:r w:rsidRPr="00984859">
        <w:rPr>
          <w:rFonts w:ascii="Arial" w:eastAsia="Times New Roman" w:hAnsi="Arial" w:cs="Arial"/>
          <w:sz w:val="15"/>
          <w:szCs w:val="15"/>
          <w:vertAlign w:val="subscript"/>
          <w:lang w:eastAsia="sr-Latn-RS"/>
        </w:rPr>
        <w:t>H</w:t>
      </w:r>
      <w:r w:rsidRPr="00984859">
        <w:rPr>
          <w:rFonts w:ascii="Arial" w:eastAsia="Times New Roman" w:hAnsi="Arial" w:cs="Arial"/>
          <w:lang w:eastAsia="sr-Latn-RS"/>
        </w:rPr>
        <w:t>, k</w:t>
      </w:r>
      <w:r w:rsidRPr="00984859">
        <w:rPr>
          <w:rFonts w:ascii="Arial" w:eastAsia="Times New Roman" w:hAnsi="Arial" w:cs="Arial"/>
          <w:sz w:val="15"/>
          <w:szCs w:val="15"/>
          <w:vertAlign w:val="subscript"/>
          <w:lang w:eastAsia="sr-Latn-RS"/>
        </w:rPr>
        <w:t>neutral</w:t>
      </w:r>
      <w:r w:rsidRPr="00984859">
        <w:rPr>
          <w:rFonts w:ascii="Arial" w:eastAsia="Times New Roman" w:hAnsi="Arial" w:cs="Arial"/>
          <w:lang w:eastAsia="sr-Latn-RS"/>
        </w:rPr>
        <w:t xml:space="preserve"> i k</w:t>
      </w:r>
      <w:r w:rsidRPr="00984859">
        <w:rPr>
          <w:rFonts w:ascii="Arial" w:eastAsia="Times New Roman" w:hAnsi="Arial" w:cs="Arial"/>
          <w:sz w:val="15"/>
          <w:szCs w:val="15"/>
          <w:vertAlign w:val="subscript"/>
          <w:lang w:eastAsia="sr-Latn-RS"/>
        </w:rPr>
        <w:t>OH</w:t>
      </w:r>
      <w:r w:rsidRPr="00984859">
        <w:rPr>
          <w:rFonts w:ascii="Arial" w:eastAsia="Times New Roman" w:hAnsi="Arial" w:cs="Arial"/>
          <w:lang w:eastAsia="sr-Latn-RS"/>
        </w:rPr>
        <w:t xml:space="preserve">) i Arheniusovoj jednačini: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257675" cy="457200"/>
            <wp:effectExtent l="0" t="0" r="9525" b="0"/>
            <wp:docPr id="101" name="Picture 101" descr="C:\Program Files (x86)\ParagrafLex\browser\Files\Old\t\t2013_12\t12_0570_s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Program Files (x86)\ParagrafLex\browser\Files\Old\t\t2013_12\t12_0570_s093.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57675" cy="4572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 B</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jesu vrednosti konstante za odsečak i konstante za nagib regresione prave dobijene regresionom analizom vrednosti ln k</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u funkciji recipročnih vrednosti za apsolutnu temperaturu izraženih u Kelvinima (T).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Preko Arheniusove jednačine koja izražava vezu između konstanti za hidrolizu u kiseloj, neutralnoj i baznoj sredini, mogu se izračunati vrednosti konstante kinetike pseudo-prvog reda, a samim tim i vrednosti poluživota za različite temperature za koje nije moguće direktno eksperimentalno određivanje konstanti.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Većina reakcija hidrolize odigrava se po kinetici prvog reda, te je vreme poluživota nezavisno od koncentracije (videti jednačinu 4 u Delu drugom ove metode). Ovo dozvoljava ekstrapolaciju rezultata dobijenih u laboratorijskim eksperimentima određenih za koncentracije od 10</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M do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M na uslove u životnoj sredini (≤ 10</w:t>
      </w:r>
      <w:r w:rsidRPr="00984859">
        <w:rPr>
          <w:rFonts w:ascii="Arial" w:eastAsia="Times New Roman" w:hAnsi="Arial" w:cs="Arial"/>
          <w:sz w:val="15"/>
          <w:szCs w:val="15"/>
          <w:vertAlign w:val="superscript"/>
          <w:lang w:eastAsia="sr-Latn-RS"/>
        </w:rPr>
        <w:t>-6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Primere dobre korelacije između stepena hidrolize izmerenih u ispitivanjima u čistoj i u ambijentalnoj vodi za set hemikalije, uz uslov da se mere pH vrednost i temperatura, dali su Mabej i Mil</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uobičajeni naziv, hemijski naziv, CAS broj, strukturna formula (sa naznačenom pozicijom molekula koji je obeležen radioizotopom) i relevantna fizička i hemijska svojstva (videti odeljak 1.5.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stepen čistoće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stepen čistoće oznake i označene supstance, kao i molarna aktivnost (gde je prikladno);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puferski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i način pripreme;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puferski rastvori i voda koji se koriste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molarna koncentracija i pH vrednosti puferskih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izvođenja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 uvođenja ispitivane supstance u rastvor pufera i vrsta rastvarača (kao i količina);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zapremina puferskih rastvora koji se inkubiraju (puferski rastvor u koji je rastvorena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sistema za inkubaciju;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vrednost i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uzimanja uzoraka za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 ekstrakcije;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za kvantifikaciju i identifikaciju ispitivane supstance i produkata hidrolize u puferskim rastvorima;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ponavljanja;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ponovljivost i osetljivost primenjenih analitičkih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efikasnost (kriterijumi za validnost ispitivanja dati su u odeljku 1.7.1.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za pojedinačna ponavljanja i njihove srednje vrednosti izraženi u tabelama;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maseni balans u toku i na kraju ispitivanja (kad se koriste obeležene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preliminarnog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 originalni (sirovi) podaci i grafici.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Kada je određen stepen hidrolize u izveštaju o ispitivanju navode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 prikaz koncentracija ispitivane supstance u funkciji vremena, kada je moguće i za produkte hidrolize za svaku pH vrednost i temperaturu;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rezultati Arhenijusove jednačine za temperaturu 20° C/25° C sa pH vrednostima, konstante (x-1 ili dan-1), vreme poluživota ili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temperature (°C) uključujući i intervale poverenja i koeficijente korelacije (p</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predloženi put hidrolize.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(1981) Hydrolysis as a Function of pH. OECD Guideline for Testing of Chemicals No 111, adopted 12 May 1981.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US-Environmental Protection Agency, (1982) 40 CFR 796.3500, Hydrolysis as a Function of pH at 25 oC. Pesticide Assessment Guidelines, Subdivision N. Chemistry: Environmental Fate.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Agriculture Canada, (1987) Environmental Chemistry and Fate Guidelines for registration of pesticides in Canada.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European Union (EU), (1995) Commission Directive 95/36/EC amending Council Directive 91/414/EEC Concerning the placing of plant protection products on the market. Annex V: Fate and Behaviour in the Environment.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Dutch Commission for Registration of Pesticides, (1991) Application for registration of a pesticide. Section G: Behaviour of the product and its metabolites in soil, water and air.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BBA, (1980) Merkblatt No 55, Teil I und II: Prüfung des Verhaltens von Pflanzenbehandlungsmitteln im Wasser (October 1980).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SETAC, (1995) Procedures for Assessing the Environmental Fate and ECotoxicity of Pesticides. Mark R. Lynch, 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OECD, (2000) Guidance document on aquatic toxicity testing of difficult substances and mixtures, OECD Environmental Health and Safety Publications Series on Testing and Assessment No 23.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OECD, (1993) Guidelines for the Testing of Chemicals. Paris. OECD (1994-2000): Addenda 6-11 to Guidelines for the Testing of Chemicals.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Nelson, H, Laskowski D, Thermes S, and Hendley P., (1997) ReCommended changes in pesticide fate study guidelines for improving input to Computer models. (Text version of oral presentation at the 14th Annual Meeting of the Society of Environmental ToxiCology and Chemistry, Dallas TX, November 1993).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Mabey, W. and Mill, T., (1978) Critical review of hydrolysis of organic Compounds in water under environmental Conditions. J. Phys. Chem. Ref. Data 7, p. 383-415.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ŠEMA ETAPNOG ISPITIVANJA HIDROLIZE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38950" cy="8791575"/>
            <wp:effectExtent l="0" t="0" r="0" b="9525"/>
            <wp:docPr id="100" name="Picture 100" descr="C:\Program Files (x86)\ParagrafLex\browser\Files\Old\t\t2013_12\t12_0570_s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Program Files (x86)\ParagrafLex\browser\Files\Old\t\t2013_12\t12_0570_s094.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38950" cy="87915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PUFERSKI SISTEMI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Puferske smeše prema Klarku i Lubsu: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425"/>
        <w:gridCol w:w="707"/>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Sastav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pH</w:t>
            </w:r>
            <w:r w:rsidRPr="00984859">
              <w:rPr>
                <w:rFonts w:ascii="Arial" w:eastAsia="Times New Roman" w:hAnsi="Arial" w:cs="Arial"/>
                <w:b/>
                <w:bCs/>
                <w:sz w:val="15"/>
                <w:szCs w:val="15"/>
                <w:vertAlign w:val="superscript"/>
                <w:lang w:eastAsia="sr-Latn-RS"/>
              </w:rPr>
              <w:t>VI</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0,2 N HCl and 0,2 N KCl na 20°C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47,5 ml HCl + 25 ml KCl, rastvoriti od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32,25 ml HCl + 25 ml KCl, rastvoriti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20,75 ml HCl + 25 ml KCl, rastvoriti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13,15 ml HCl + 25 ml KCl, rastvoriti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8,3 ml HCl + 25 ml KCl, rastvoriti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5,3 ml HCl + 25 ml KCl, rastvoriti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3,35 ml HCl + 25 ml KCl, rastvoriti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0,1 M kalijum biftalat + 0,1 N HCl na 20° C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46,70 ml 0,1 N HCl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39,60 ml 0,1 N HCl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32,95 ml 0,1 N HCl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26,42 ml 0,1 N HCl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20,32 ml 0,1 N HCl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14,70 ml 0,1 N HCl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9,90 ml 0,1 N HCl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5,97 ml 0,1 N HCl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2,63 ml 0,1 N HCl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3,8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0,1 M kalijum biftalat + 0,1 N NaOH na 20° C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0,40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3,70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7,50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12,15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17,70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23,85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29,95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35,45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39,85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43,00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45,45 ml 0,1 N NaOH + 50 ml biftalata,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0,1 M monokalijum fosfat + 0,1 N NaOH na 20°C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5,70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8,60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12,60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17,80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23,45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29,63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35,00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lastRenderedPageBreak/>
              <w:t xml:space="preserve">39,50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42,80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45,20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46,80 ml 0,1 N NaOH + 50 ml fosfata,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0,1 M H3BO3 u 0,1 M KCl + 0,1 N NaOH na 20°C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2,61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3,97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5,90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8,50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12,00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16,30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21,30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26,70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32,00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36,85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40,80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43,90 ml 0,1 N NaOH + 50 ml borne kis,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VI </w:t>
      </w:r>
      <w:r w:rsidRPr="00984859">
        <w:rPr>
          <w:rFonts w:ascii="Arial" w:eastAsia="Times New Roman" w:hAnsi="Arial" w:cs="Arial"/>
          <w:lang w:eastAsia="sr-Latn-RS"/>
        </w:rPr>
        <w:t xml:space="preserve">Vrednosti pH date u ovoj tabeli izračunate su Sorensenovim standarnim jednačinama (1909). Odgovarajuće pH vrednosti su za 0,04 pH jedinica veće od vrednosti datih u tabeli.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Citratni puferi prema Kolthofu i Vlišhoveru: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553"/>
        <w:gridCol w:w="57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Sastav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pH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0,1 M monokalijum citrat i 0,1 N HCl na 18°C (*)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49,7 ml 0,1 N HCl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43,4 ml 0,1 N HCl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36,8 ml 0,1 N HCl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30,2 ml 0,1 N HCl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23,6 ml 0,1 N HCl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17,2 ml 0,1 N HCl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10,7 ml 0,1 N HCl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4,2 ml 0,1 N HCl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0,1 M monokalijum citrat i 0,1 N NaOH na 18°C</w:t>
            </w:r>
            <w:r w:rsidRPr="00984859">
              <w:rPr>
                <w:rFonts w:ascii="Arial" w:eastAsia="Times New Roman" w:hAnsi="Arial" w:cs="Arial"/>
                <w:b/>
                <w:bCs/>
                <w:sz w:val="15"/>
                <w:szCs w:val="15"/>
                <w:vertAlign w:val="superscript"/>
                <w:lang w:eastAsia="sr-Latn-RS"/>
              </w:rPr>
              <w:t>VII</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2,0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9,0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16,3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23,7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31,5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39,2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46,7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54,2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61,0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68,0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lastRenderedPageBreak/>
              <w:t xml:space="preserve">74,4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81,2 ml 0,1 N NaOH + 50 ml citrata, dopuniti do 100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VII</w:t>
      </w:r>
      <w:r w:rsidRPr="00984859">
        <w:rPr>
          <w:rFonts w:ascii="Arial" w:eastAsia="Times New Roman" w:hAnsi="Arial" w:cs="Arial"/>
          <w:lang w:eastAsia="sr-Latn-RS"/>
        </w:rPr>
        <w:t xml:space="preserve"> Dodati mali kristal tinola ili slične supstance da se spreči rast plesni.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Boratne smeše prema Sorensenu: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87"/>
        <w:gridCol w:w="2503"/>
        <w:gridCol w:w="1952"/>
        <w:gridCol w:w="994"/>
        <w:gridCol w:w="898"/>
        <w:gridCol w:w="898"/>
      </w:tblGrid>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Sastav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Sorensen, </w:t>
            </w:r>
            <w:r w:rsidRPr="00984859">
              <w:rPr>
                <w:rFonts w:ascii="Arial" w:eastAsia="Times New Roman" w:hAnsi="Arial" w:cs="Arial"/>
                <w:lang w:eastAsia="sr-Latn-RS"/>
              </w:rPr>
              <w:br/>
              <w:t xml:space="preserve">pH na 18°C </w:t>
            </w:r>
          </w:p>
        </w:tc>
        <w:tc>
          <w:tcPr>
            <w:tcW w:w="0" w:type="auto"/>
            <w:gridSpan w:val="3"/>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Valbum, pH na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boraks (ml)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HCl/NaOH (ml)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70°C </w:t>
            </w:r>
          </w:p>
        </w:tc>
      </w:tr>
      <w:tr w:rsidR="00984859" w:rsidRPr="00984859" w:rsidTr="00984859">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 M boraks + 0,1 N HCl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7,47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7,94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7,98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7,76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7,95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8,29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8,19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8,51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8,54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8,28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8,56.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8,40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8,67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8,50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8,91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8,96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8,77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8,59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8,67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8,94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8,74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9,50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8,86 </w:t>
            </w:r>
          </w:p>
        </w:tc>
      </w:tr>
      <w:tr w:rsidR="00984859" w:rsidRPr="00984859" w:rsidTr="00984859">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 M boraks + 0,1 N NaOH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9,36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9,42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8,94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9,57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9,68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9.76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9,12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9,97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9,67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9,28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Fosfatne smeše prema Sorensenu: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319"/>
        <w:gridCol w:w="813"/>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Sastav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pH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0,0667 M monokalijum fosfat + 0,0667 M dinatrijum fosfat na 20°C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99,2 ml KH2PO4 + 0,8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98,4 ml KH2PO4 + 1,6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97,3 ml KH2PO4 + 2,7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95,5 ml KH2PO4 + 4,5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92,8 ml KH2PO4 + 7,2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88,9 ml KH2PO4 + 11,1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83,0 ml KH2PO4 + 17,0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75,4 ml KH2PO4 + 24,6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65,3 ml KH2PO4 + 34,7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53,4 ml KH2PO4 + 46,6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41,3 ml KH2PO4 + 58,7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29,6 ml KH2PO4 + 70,4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19,7 ml KH2PO4 + 80,3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12,8 ml KH2PO4 + 87,2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7,4 ml KH2PO4 + 92,6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 ml KH2PO4 + 96,3 ml Na2HPO4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C.8. TOKSIČNOST ZA KIŠNE GLISTE: METODA ISPITIVANJA SA VEŠTAČKIM ZEMLJIŠTEM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ovoj laboratorijskoj metodi ispitivanja, ispitivana supstanca dodaje se u veštačko zemljište u koje se smeštaju kišne gliste. Nakon 14 dana (ili po izboru nakon 7 dana) ispituje se letalno dejstvo supstance na kišne gliste. Ovo ispitivanje predstavlja postupak kojim se u relativno kratkom roku može steći uvid u dejstvo hemikalija na kišne gliste, kod dermalnog i oralnog unosa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jeste koncentracija supstance koja izaziva smrt 50% ispitivanih jedinki u toku unapred utvrđenog perioda izlaganja.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Referentna supstanca se koristi povremeno kao sredstvo kojim se pokazuje da nije došlo do značajnih promena osetljivosti test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referentna supstanca preporučuje se hloracetamid analitičke čistoće.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je promenljiv medijum, te se za ovu metodu koristi precizno definisano veštačko zemljište koje sadrži ilovaču. Odrasle jedinke kišnih glista vrste </w:t>
      </w:r>
      <w:r w:rsidRPr="00984859">
        <w:rPr>
          <w:rFonts w:ascii="Arial" w:eastAsia="Times New Roman" w:hAnsi="Arial" w:cs="Arial"/>
          <w:i/>
          <w:iCs/>
          <w:lang w:eastAsia="sr-Latn-RS"/>
        </w:rPr>
        <w:t>Eisenia foetida</w:t>
      </w:r>
      <w:r w:rsidRPr="00984859">
        <w:rPr>
          <w:rFonts w:ascii="Arial" w:eastAsia="Times New Roman" w:hAnsi="Arial" w:cs="Arial"/>
          <w:lang w:eastAsia="sr-Latn-RS"/>
        </w:rPr>
        <w:t xml:space="preserve"> (videti belešku u Delu drugom ove metode) drže se u definisanom veštačkom zemljištu tretiranom različitim koncentracijama ispitivane supstance. Četrnaest dana (može i 7 dana) nakon početka ispitivanja, sadržaj posude iz svake esperimentalne grupe istrese se u plitku laboratorijsku kadicu i prebroje se preživele kišne gliste.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je osmišljena tako da je maksimalno ponovljiva, s obzirom na zemljišni supstrat i ispitivane organizme. Da bi ispitivanje bilo prihvaćeno, smrtnost u kontrolama ne sme premašiti 10% na kraju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Materijal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1.6.1.1. Zemljišni supstrat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osnovni ispitivani supstrat koristi se tačno definisano veštačko zemljište.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supstrat (procenti na bazi suve mase)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- 10% treseta (vrednosti pH što je moguće bliže 5,5 do 6,0, bez vidljivih ostataka biljaka, sitno mleven);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- 20% kaolinska glina sa, ako je moguće, više od 50% kaolina;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oko 69% industrijskog kvarcnog peska (pretežno sitni pesak sa više od 50% čestica veličine 0,05 mm do 0,2 mm). Ako se supstanca ne može dovoljno dobro dispergovati u vodi, ostaviti 10 g po sanduku da bi se kasnije pomešalo sa ispitivanom supstancom;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oko 1% kalcijum karbonata (CaCO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sprašenog, hemijski čistog, dodaje se za korekciju pH vrednosti na 6,0 ± 0,5.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Ispitivani supstrat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osnovni supstrat,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ispitivanu supstancu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dejonizovanu vodu.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vode iznosi oko 25% do 42% suve mase osnovnog supstrata. Sadržaj vode u supstratu određuje se sušenjem uzorka do stalne težine na temperaturi od 105° C. Ključni kriterijum je da veštačko zemljište bude ovlaženo do tačke u kojoj nema zadržavanja vode. Tokom mešanja se pazi da se dobije ravnomerna raspodela ispitivane supstance i supstrata. Opisuje se način na koji se ispitivana supstanca dodaje u supstrat.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Kontrolni supstrat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osnovni supstrat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vodu.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koristi aditiv, dodatna kontrola sadrži istu količinu aditiva.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Eksperimentalne posude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Staklena posuda zapremine oko 1 L (propisno pokrivena plastičnim poklopcem, sahatnim staklom ili plastičnom folijom sa otvorima za ventilaciju) napunjena ispitivanim i kontrolnim supstratom u količini ekvivalentnoj 500 g suve mase supstrata.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Eksperimentalne posude držati u klima komorama na temperaturi od 20° C ± 2° C sa stalnim osvetljenjem. Intenzitet svetla da bude između 400 lux i 800 lux.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traje 14 dana, ali se smrtnost procenjuje i 7 dana nakon početka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1.6.3. Postupak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Ispitivane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Koncentracije ispitivane supstance izražavaju se kao masa supstance po suvoj masi supstrata (mg/kg).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Preliminarna studije za utvrđivanje opsega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Opseg koncentracija koje dovode do smrtnosti od 0% do 100% može se odrediti studijom za utvrđivanje opsega da bi se dobila informacija o opsegu koncentracija koje će se koristiti u definitivnom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se ispituje u sledećim koncentracijama: 1.000 mg; 100 mg; 10 mg; 1 mg i 0,1 mg supstance po kilogramu supstrata (suva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radi konačno ispitivanje, po jedna ispitivana grupa od po 10 glista po koncentraciji i jedna grupa po kontroli, mogu biti dovoljne za studiju utvrđivanja opsega koncentracija.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Konačno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studije za utvrđivanje opsega koncentracija koriste se za izbor najmanje 5 koncentracija u geometrijskom nizu sa faktorom ne većim od 1,8. Izabrane koncentracije obuhvataju opseg smrtnosti od 0% do 100%.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serija koncentracija treba da omogući što precizniju procenu vrednosti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odgovarajućih intervala poverenja.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definitivnom ispitivanju koriste se najmanje četiri ekperimentalne grupe od po 10 glista po koncentraciji i kontroli. Rezultati tretmana prikazuju se kao srednja vrednost iz 4 grupe sa standardnom devijacijom.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 dve uzastopne koncentracije, pri faktoru od 1,8 rezultiraju 0% i 100% smrtnošću, te dve vrednosti su dovoljne da pokažu opseg u kojem se nalazi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Mešavina osnovnog ispitivanog supstrata 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Ispitivani supstrat kad god je moguće priprema se izuzimajući vodu, bez i jednog dodatnog agensa. Neposredno pre početka ispitivanja, emulzija ili disperzija ispitivane supstance u dejoniziovanoj vodi ili drugom rastvaraču meša se sa osnovnim ispitivanim supstratom ili se ravnomerno rasprši po supstratu pomoću hromatografskog ili sličnog raspršivača za fino raspršivanje.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nije rastvorljiva u vodi, ispitivana supstanca može se rastvoriti u najmanjoj mogućoj zapremini odgovarajućeg organskog rastvarača (npr. heksana, acetona ili hloroforma). Samo sredstva koja brzo isparavaju mogu se koristiti za rastvaranje, disperziju ili emulgovanje ispitivane supstance. Ispitivana supstanca se pre upotrebe provetrava. Količina vode koja ispari nadoknađuje se. Kontrola sadrži istu količinu svakog upotrebljenog dodatnog sredstva.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ispitivana supstanca nije rastvorljiva ili se ne može dispergovati ili emulgovati u organskim rastvaračima, 10 g mešavine sitno samlevenog kvarcnog peska i količina ispitivane supstance potrebna za tretman 500 g suve mase veštačkog zemljišta pomeša se sa 490 g suve mase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svakoj grupi, u svaku posudu stavlja se vlažan ispitivani supstrat u količini ekvivalentnoj 500 g suve mase, a zatim se na površinu supstrata stavlja po 10 kišnih glista po posudi. Gliste su prethodno aklimatizovane u toku 24 sata u slično vlažnom, osnovnom suptratu, a zatim brzo isprane. Pre stavljanja u ispitivani supstrat, suvišna voda sa glista upije se filter papirom.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Eksperimentalne posude pokriju se perforiranim plastičnim poklopcima, sahatnim staklom ili folijom, da bi se sprečilo sušenje supstrata. Posude se drže 14 dana u uslovima propisanim metodom.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Smrtnost se procenjuje 14 (opciono 7) dana nakon početka. Supstrat se prospe u plitak stakleni sud od nerđajućeg čelika. Kišne gliste se pregledaju i odredi se broj preživelih glista. Kišne gliste smatraju se mrtvim ako ne odgovaraju na nežan mehanički nadražaj na prednjem kraju.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smrtnost procenjuje nakon 7 dana, posuda se ponovno napuni supstratom i preživele gliste se vrate na površinu istog ispitivanog supstrata.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Ispitivani organizmi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Ispitivani organizmi su odrasle jedinke </w:t>
      </w:r>
      <w:r w:rsidRPr="00984859">
        <w:rPr>
          <w:rFonts w:ascii="Arial" w:eastAsia="Times New Roman" w:hAnsi="Arial" w:cs="Arial"/>
          <w:i/>
          <w:iCs/>
          <w:lang w:eastAsia="sr-Latn-RS"/>
        </w:rPr>
        <w:t>Eisenia foetida</w:t>
      </w:r>
      <w:r w:rsidRPr="00984859">
        <w:rPr>
          <w:rFonts w:ascii="Arial" w:eastAsia="Times New Roman" w:hAnsi="Arial" w:cs="Arial"/>
          <w:lang w:eastAsia="sr-Latn-RS"/>
        </w:rPr>
        <w:t xml:space="preserve"> (videti Deo drugi ove metode), stare najmanje dva meseca sa klitelumom, pune težine između 300 mg i 600 mg (za postupak uzgajanja 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I PROCENA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ispitivane supstance navodi se u odnosu na odgovarajuće procente mrtvih kišnih glista.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 su podaci dobri, vrednost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sa intervalima poverenja (p = 0,05) može se odrediti pomoću standardnih metoda (videti u literaturi</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se izražava u mg ispitivane supstance po kilogramu ispitivanog supstrata (suva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slučajevima kada je nagib krive dozne zavisnosti previše strm da bi se mogla izračunati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dovoljna je grafička procena te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 dve uzastopne koncentracije pri faktoru od 1,8 dovode samo do 0% i 100% smrtnosti, te dve vrednosti su dovoljne da pokažu opseg u kojem se nalazi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izjavu da je ispitivanje izvedeno u skladu sa navedenim kriterijima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podatak koje je ispitivanje izvedeno (preliminarna studija za utvrđivanje opsega koncentracija ili definitivno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tačan opis uslova u toku ispitivanja ili izjavu da je ispitivanje bilo izvedeno u skladu sa postupkom (navodi se svako odstupanje);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tačan opis načina na koji je ispitivana supstanca umešana u osnovni supstrat;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ispitivanim organizmima (vrsta, starost, srednja vrednost i opseg težine, uslovi držanja i uzgajanja, snabdevač);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podatak o metodi korišćenoj za određivanje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ispitivanja, uključujući sve upotrebljene podatke;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primećenih simptoma ili promena u ponašanju ispitivanih organizama;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smrtnost u kontrolama;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ili najvišu ispitivanu koncentraciju bez smrtnosti i najnižu ispitivanu koncentraciju sa smrtnošću od 100%, 14 dana (i po izboru 7 dana) od početka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 prikaz krive koncentracija/odgovor;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rezultate dobijene sa referentnom supstancom (u vezi sa ovim ispitivanjem ili iz prethodnih ispitivanja kontrole kvaliteta).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207, Decision of the Council C(81)30 final.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Edwards, C. A. and Lofty, J. R., 1977, Biology of Earthworms, Chapman and Hall, London, p. 331.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Bouche. M. B., 1972, Lombriciens de France, ECOlogie et Systematique, Institut National de la Recherche Agronomique, p. 671.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Litchfield, J. T. andWilcoxon, F., A simplified method of evaluation dose effect experiments. I. Pharm. Exp. Therap., vol. 96, 1949, p. 99.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Commission of the European Communities, Development of a standardised laboratory method for assessing the toxicity of chemical substances to earthworms, Report EUR 8714 EN, 1983.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Umweltbundesamt/Biologische Bundesanstalt für land - und Forstwirtschaft, Berlin, 1984, Verfahrensvorschlag 'Toxizitätstest am Regenwurm </w:t>
      </w:r>
      <w:r w:rsidRPr="00984859">
        <w:rPr>
          <w:rFonts w:ascii="Arial" w:eastAsia="Times New Roman" w:hAnsi="Arial" w:cs="Arial"/>
          <w:i/>
          <w:iCs/>
          <w:lang w:eastAsia="sr-Latn-RS"/>
        </w:rPr>
        <w:t>Eisenia foetida</w:t>
      </w:r>
      <w:r w:rsidRPr="00984859">
        <w:rPr>
          <w:rFonts w:ascii="Arial" w:eastAsia="Times New Roman" w:hAnsi="Arial" w:cs="Arial"/>
          <w:lang w:eastAsia="sr-Latn-RS"/>
        </w:rPr>
        <w:t xml:space="preserve"> in künstlichem Boden', in: Rudolph/Boje, Ökotoxikologie, ecomed, Landsberg, 1986.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UZGAJANJE I ČUVANJE GLISTA PRE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uzgajanje životinja, 30 do 50 odraslih glista stavi se u sanduk za uzgajanje sa svežim supstratom iz koga se izvade nakon 14 dana. Gliste se mogu upotrebiti za uzgajanje daljih odgajivačkih grupa. Kišne gliste koje se izlegu iz kokona koriste se u ispitivanjima kad odrastu (u prepisanim uslovima nakon dva do tri meseca).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USLOVI DRŽANJA I UZGOJA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Uslovi za držanje i uzgoj životinja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Klima komora: temperatura 20° C ± 2° C, ako je moguće sa stalnim osvetljenjem (intenziteta 400 lux do 800 lux).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Sanduci za uzgoj: pogodni plitki sanduci zapremine od 10 L do 20 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Supstrat: </w:t>
      </w:r>
      <w:r w:rsidRPr="00984859">
        <w:rPr>
          <w:rFonts w:ascii="Arial" w:eastAsia="Times New Roman" w:hAnsi="Arial" w:cs="Arial"/>
          <w:i/>
          <w:iCs/>
          <w:lang w:eastAsia="sr-Latn-RS"/>
        </w:rPr>
        <w:t>Eisenia foetida</w:t>
      </w:r>
      <w:r w:rsidRPr="00984859">
        <w:rPr>
          <w:rFonts w:ascii="Arial" w:eastAsia="Times New Roman" w:hAnsi="Arial" w:cs="Arial"/>
          <w:lang w:eastAsia="sr-Latn-RS"/>
        </w:rPr>
        <w:t xml:space="preserve"> može se uzgajati u ekskrementu različitih životinja. Kao supstrat se preporučuje mešavina treseta (50% zapremine) i kravlje ili konjske balege (50% zapremine). Supstrat ima vrednost pH oko 6 do 7 (reguliše se kalcijum karbonatom) i nisku jonsku provodljivost (manje od 6 mmhos ili 0,5% koncentracije soli). Supstrat treba da bude vlažan, ali ne previše mokar.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 opisani postupak mogu se uspešno koristiti i druge procedure.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Postoje dva tipa glista </w:t>
      </w:r>
      <w:r w:rsidRPr="00984859">
        <w:rPr>
          <w:rFonts w:ascii="Arial" w:eastAsia="Times New Roman" w:hAnsi="Arial" w:cs="Arial"/>
          <w:i/>
          <w:iCs/>
          <w:lang w:eastAsia="sr-Latn-RS"/>
        </w:rPr>
        <w:t>Eisenia foetida</w:t>
      </w:r>
      <w:r w:rsidRPr="00984859">
        <w:rPr>
          <w:rFonts w:ascii="Arial" w:eastAsia="Times New Roman" w:hAnsi="Arial" w:cs="Arial"/>
          <w:lang w:eastAsia="sr-Latn-RS"/>
        </w:rPr>
        <w:t xml:space="preserve"> koje su taksonomi razdvojili u dve vrste (Vouche, 1972). Morfološki su slične, ali jedna vrsta (</w:t>
      </w:r>
      <w:r w:rsidRPr="00984859">
        <w:rPr>
          <w:rFonts w:ascii="Arial" w:eastAsia="Times New Roman" w:hAnsi="Arial" w:cs="Arial"/>
          <w:i/>
          <w:iCs/>
          <w:lang w:eastAsia="sr-Latn-RS"/>
        </w:rPr>
        <w:t>Eisenia foetidafoetida</w:t>
      </w:r>
      <w:r w:rsidRPr="00984859">
        <w:rPr>
          <w:rFonts w:ascii="Arial" w:eastAsia="Times New Roman" w:hAnsi="Arial" w:cs="Arial"/>
          <w:lang w:eastAsia="sr-Latn-RS"/>
        </w:rPr>
        <w:t>) ima na segmentima tipične poprečne pruge ili prstenove, dok ih druga vrsta (</w:t>
      </w:r>
      <w:r w:rsidRPr="00984859">
        <w:rPr>
          <w:rFonts w:ascii="Arial" w:eastAsia="Times New Roman" w:hAnsi="Arial" w:cs="Arial"/>
          <w:i/>
          <w:iCs/>
          <w:lang w:eastAsia="sr-Latn-RS"/>
        </w:rPr>
        <w:t>Eisenia foetida andrei</w:t>
      </w:r>
      <w:r w:rsidRPr="00984859">
        <w:rPr>
          <w:rFonts w:ascii="Arial" w:eastAsia="Times New Roman" w:hAnsi="Arial" w:cs="Arial"/>
          <w:lang w:eastAsia="sr-Latn-RS"/>
        </w:rPr>
        <w:t xml:space="preserve">) nema, odnosno ima crvenkaste šare. Kad god je moguće, koristiti vrsti </w:t>
      </w:r>
      <w:r w:rsidRPr="00984859">
        <w:rPr>
          <w:rFonts w:ascii="Arial" w:eastAsia="Times New Roman" w:hAnsi="Arial" w:cs="Arial"/>
          <w:i/>
          <w:iCs/>
          <w:lang w:eastAsia="sr-Latn-RS"/>
        </w:rPr>
        <w:t>Eisenia foetida andrei</w:t>
      </w:r>
      <w:r w:rsidRPr="00984859">
        <w:rPr>
          <w:rFonts w:ascii="Arial" w:eastAsia="Times New Roman" w:hAnsi="Arial" w:cs="Arial"/>
          <w:lang w:eastAsia="sr-Latn-RS"/>
        </w:rPr>
        <w:t xml:space="preserve">. Ostale vrste mogu se koristiti ako je na raspolaganju potrebna metodologija.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C.9. BIORAZGRADNJA - ZAHN-WELLENS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ove metode je procena mogućnosti potpune biorazgradljivosti dobro rastvorljivih, neisparljivih organskih supstanci na koje deluju mikroorganizmi u relativno visokim koncentracijama u ispitivanju u statičkim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tumačenja rezultata uzeti u obzir mogućnost fizičko-hemijske adsorpcije na suspendovane materije (videti odeljak 3.2.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koncentracije ispitivane supstance uzimaju se koncentracije koje korespondiraju vrednostima za koncentraciju rastvorenog organskog ugljenika (u daljem tekstu: DOC) u opsegu od 50 mg/l do 400 mg/l ili vrednostima za hemijsku potrošnju kiseonika(u daljem tekstu: HPK) u opsegu od 100 mg/ldo 1.000 mg/l. Ispitivanje ovako relativno visokih koncentracija povećava analitičku pouzdanost. Jedinjenja sa toksičnim svojstvima mogu usporiti i inhibirati proces razgradnje.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ovoj metodi, DOC ili HPK koristi se za procenu potpune biorazgradljivosti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Uporedno izvođenje specifičnih analitičkih metoda može dati procenu primarne biorazgradljivosti supstanci (nestanak polazne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može primeniti samo za organske supstance koje, pri koncentracijama koje se koriste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jesu rastvorljive u vodi u uslovima definisanim ovom metodom;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imaju neznatan napon pare u uslovima definisanim ovom metodom;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 deluju inhibitorno na bakterije;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koje se adsorbuju se unutar sistema samo u ograničenoj meri;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 obrazuju penu.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o proporcionalnom udelu glavnih sastojaka ispitivane supstance korisni su pri tumačenju dobijenih rezultata, naročito u slučajevima gde su vrednosti dobijenih rezultata niske ili ekstremne.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o toksičnosti ispitivane supstance na mikroorganizme poželjni su za tumačenje niskih dobijenih vrednosti i prilikom izbora odgovarajućih koncentracija za potrebe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Stepen razgradnje koji se dostigne na kraju ispitivanja opisuje se kao biorazgradljivost u Zahn-Wellens ispitivanju: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57"/>
        <w:gridCol w:w="104"/>
        <w:gridCol w:w="267"/>
        <w:gridCol w:w="996"/>
        <w:gridCol w:w="104"/>
        <w:gridCol w:w="7284"/>
      </w:tblGrid>
      <w:tr w:rsidR="00984859" w:rsidRPr="00984859" w:rsidTr="00984859">
        <w:trPr>
          <w:tblCellSpacing w:w="0" w:type="dxa"/>
        </w:trPr>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w:t>
            </w:r>
          </w:p>
        </w:tc>
        <w:tc>
          <w:tcPr>
            <w:tcW w:w="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p>
        </w:tc>
        <w:tc>
          <w:tcPr>
            <w:tcW w:w="1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5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B</w:t>
            </w:r>
          </w:p>
        </w:tc>
        <w:tc>
          <w:tcPr>
            <w:tcW w:w="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p>
        </w:tc>
        <w:tc>
          <w:tcPr>
            <w:tcW w:w="40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BA</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 xml:space="preserve">t </w:t>
      </w:r>
      <w:r w:rsidRPr="00984859">
        <w:rPr>
          <w:rFonts w:ascii="Arial" w:eastAsia="Times New Roman" w:hAnsi="Arial" w:cs="Arial"/>
          <w:lang w:eastAsia="sr-Latn-RS"/>
        </w:rPr>
        <w:t xml:space="preserve">jeste procenat biorazgradnje (%) u vremenu 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jeste DOC (ili HPK) vrednost izmerena u ispitivanoj smeši 3 sata nakon početka ispitivanja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jesu DOC ili HPK vrednosti izmerene u ispitivanoj smeši u vremenu t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jesu DOC ili HPK vrednosti izmerene u kontroli u vremenu t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BA</w:t>
      </w:r>
      <w:r w:rsidRPr="00984859">
        <w:rPr>
          <w:rFonts w:ascii="Arial" w:eastAsia="Times New Roman" w:hAnsi="Arial" w:cs="Arial"/>
          <w:lang w:eastAsia="sr-Latn-RS"/>
        </w:rPr>
        <w:t xml:space="preserve"> jesu DOC ili HPK vrednosti izmerene u kontroli, tri sata nakon početka ispitivanja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Stepen razgradnje izražava se u procentima bez decimala.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razgradnje jeste procenat smanjenja vrednosti DOC (ili HPK) za datu supstancu.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Razlika između vrednosti izmerene nakon tri sata i izračunate vrednosti, ili ako je moguće izmerene početne vrednosti, može dati koristan podatak o eliminaciji supstance (videti odeljak 3.2.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Korišćenje referentnih supstanci može biti od koristi kada se ispituju nove supstance. Još uvek se ne mogu preporučiti određene referentne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Aktivni mulj, neorganski nutrijenti i ispitivana supstanca u vodenom rastvoru kao jedini izvor ugljenika sjedinjuju se, stavljaju u staklenu posudu zapremine jedan do četiri litra sa mešalicom i aeratorom. Ova smeša se meša i aeriše na temperaturi od 20° C do 25° C pod difuznim osvetljenjem ili u mračnoj komori u toku 28 dana. Proces razgradnje prati se određivanjem vrednosti DOC (ili HPK) u filtratu smeše sa jednodnevnom ili odgovarajućom </w:t>
      </w:r>
      <w:r w:rsidRPr="00984859">
        <w:rPr>
          <w:rFonts w:ascii="Arial" w:eastAsia="Times New Roman" w:hAnsi="Arial" w:cs="Arial"/>
          <w:lang w:eastAsia="sr-Latn-RS"/>
        </w:rPr>
        <w:lastRenderedPageBreak/>
        <w:t xml:space="preserve">redovnom dinamikom. Odnos vrednosti DOC (ili HPK) izmerene nakon svakog vremenskog intervala i vrednosti DOC (ili HPK) izmerene tri sata nakon početka ispitivanja izražava se kao procenat biorazgradnje i služi kao mera stepena razgradnje u datom vremenu. Ova vrednost se grafički prikazuje u funkciji vremena kako bi se dobila kriva biološke razgradnje.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koristi specifična analitička metoda, mogu se meriti promene u koncentraciji polazne supstance do kojih dolazi usled biorazgradnje (primarna biorazgradljivost).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Ponovljivost metode ispitivanja je dokazana interkalibracijskim ispitivanjima.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Osetljivost metode je u velikoj meri određena varijabilnošću rezultata slepe probe i u manjoj meri, preciznošću određivanja koncentracije rastvorenog organskog ugljenika i količini rastvorene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Reagensi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Voda: voda za piće sa sadržajem organskog ugljenika &lt; 5 mg/l. Zbirna koncentracija jona kalcijuma i magnezijuma ne sme biti veća od 2,7 mmol/l; u suprotnom, potrebno je napraviti odgovarajuće razblaživanje sa dejonizivanom ili destilovanom vodom.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Sumporna kiselina, analitičke čistoće: 50 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 natrijum-hidroksida, analitičke čistoće: 40 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 neorganskih nutrijenata (rastvoriti u 1 L dejonizovane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Cl (amonijum-hlorid), analitičke čistoće: 38,5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NaH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Í2H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(natrijum dihidrogenfosfat), analitičke čistoće: 33,4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(kalijum-hidrogenfosfat), analitičke čistoće: 8,5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(dikalijum-hidrogenfosfat), analitičke čistoće: 21,75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Smeša služi kao rastvor nutrijenata i kao puferski rastvor.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Oprema za ispitivanje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staklene posude zapremine od 1 L do 4 L (npr. cilindrične posude);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mešalicu sa staklenom ili metalnom lopaticom na odgovarajućoj osovini (lopatica se rotira na 5 cm do 10 cm iznad dna posude). Koristi se i magnetna mešalica sa magnetom za mešanje 7 cm do 10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staklenu cevčicu sa unutrašnjim prečnikom 2 mm do 4 mm za aeraciju. Otvor cevčice da bude postavljen na oko 1 cm iznad dna posude;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centrifugu (oko 3.550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oksimetar;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filter papir;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membransku filtraciju;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membranske filtere, promera pora 0,45 mm. Membranski filteri su pogodni ukoliko je onemogućeno oslobađanje ugljenika iz filter papira ili adsorbovanje ispitivane supstance u toku filtracije;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analitičku opremu za određivanje sadržaja organskog ugljenika i hemijske potrošnje kiseonika.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Priprema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Aktivni mulj iz postrojenja za biološku obradu ispira se (u više ponavljanja) centrifugiranjem ili taloženjem u vodi koja se koristi za potrebe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Aktivni mulj je potrebno da bude u odgovarajućem stanju. Takav mulj se dobija iz postrojenja za obradu otpadnih voda koja ispravno rade. Da bi se dobilo što više različitih vrsta ili sojeva bakterija, poželjno je mešanje inokuluma iz različitih izvora (npr. iz različitih postrojenja za obradu, iz ekstrakata zemljišta, iz vode iz reka itd). Mešavina inokuluma dalje se tretira na navedeni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proveru aktivnosti aktivnog mulja videti odeljak "Funkcionalna kontrola" iz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Priprema ispitivanih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posudu dodati: 500 ml vode koja se koristi za potrebe ispitivanja, 2,5 ml/l rastvora neorganskih nutrijenata i aktivni mulj u količini koja korespondira 0,2 do 1,0 g suve materije/l u krajnjoj smeši. Dodati dovoljnu količinu osnovnog rastvora ispitivane supstance tako da se uspostavi vrednost DOC 50 mg/ldo 400 mg/l u krajnjoj smeši. Korespondirajuće vrednosti za HPK su 100 mg/l do 1.000 mg/l. Dopuniti posudu sa vodom koja se koristi za potrebe ispitivanja do zapremine 1 L ili 4 L (u zavisnosti od zapremine posude). Zapremina rastvora zavisi od broja uzoraka potrebnih za određivanje vrednosti DOC ili HPK, kao i zapremina uzoraka potrebnih za analitička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od 2 L može se smatrati zadovoljavajućom. Za svaku koncentraciju ispitivane supstance paralelno se postavi minimum jedna kontrola, koja sadrži samo aktivni mulj i rastvor neorganskih nutrijenata u jednakoj zapremini vode kao u ostalim posudama.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Izvođenje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Rastvori ispitivane supstance mešaju se na magetnoj mešalici ili mešalici sa lopaticom pod difuznim osvetljenjem ili u mračnoj komori na temperaturi 20° C do 25° C. Aeracija se obavlja pomoću komprimovanog vazduha koji se prečišćava pomoću staklene vune i pomoću špric-</w:t>
      </w:r>
      <w:r w:rsidRPr="00984859">
        <w:rPr>
          <w:rFonts w:ascii="Arial" w:eastAsia="Times New Roman" w:hAnsi="Arial" w:cs="Arial"/>
          <w:lang w:eastAsia="sr-Latn-RS"/>
        </w:rPr>
        <w:lastRenderedPageBreak/>
        <w:t xml:space="preserve">boce ukoliko se ukaže potreba. Potrebno je onemogućiti taloženje mulja i pad koncentracija kiseonika ispod 2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pH se proverava u jednakim vremenskim intervalima (npr. dnevno) i da se po potrebi podesi na pH vrednosti od 7 ili 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Gubici usled isparavanja nadoknađuju se dodavanjem potrebne količine dejonizovane ili destilovane vode neposredno pre svakog uzimanja uzoraka. Poželjno je pre početka ispitivanja označiti nivo tečnosti u posudi. Nove oznake nivoa tečnosti stavljaju se na posudu nakon svakog uzimanja uzoraka (bez aeracijskog suvog mešanja). Prvi uzorci se uvek uzimaju tri sata nakon početka ispitivanja da bi se odredilo da li se ispitivana supstanca adsorbuje na aktivni mulj.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Razgradnja ispitivane supstance prati se određivanjem vrednosti DOC koje se radi svakodnevno ili u određenim redovnim vremenskim intervalima. Uzorci iz eksperimentalnih posuda i kontrolnih posuda filtriraju se kroz pažljivo opran filter papir. Prvih 5 ml filtrata rastvora se odbacuje. Aktivni mulj koji je teško filtrirati može se prethodno ukloniti centrifugiranjem 10 minuta. Određivanje vrednosti DOC ili HPK radi se najmanje u dva ponavljanja. Ispitivanje se izvodi u trajanju do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Filtrati koji ostaju zamućeni dalje se filtriraju kroz membranske filtere. Membranski filteri ne smeju otpuštati ili adsorbovati nijednu vrstu organskog materijala.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Kontrola aktivnog mulja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Uporedo sa svakom serijom koncentracija ispitivane supstance postavlja se paralelno ispitivanje da bi se proverila aktivnost aktivnog mulja. Za ovu namenu se dietilenglikol pokazao korisnim.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Adaptacija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merenja obavljaju u relativno kratkim intervalima (npr. svakodnevno), adaptiranost se može jasno uočiti iz krive razgradnje (videti Sliku 2). Ispitivanje ne treba započeti neposredno pred vikend.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adaptiranost nastupi na kraju perioda, ispitivanje se može produžiti sve dok se ne završi razgradnja.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Ako je potrebno znati više o ponašanju adaptiranog mulja, isti aktivni mulj se još jednom tretira istom ispitivanom supstancom u skladu sa postupkom: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Isključiti mešalicu i aerator i ostaviti da se aktivni mulj istaloži. Odstraniti supernatant, napuniti posudu do 2 L zapremine sa vodom, mešati 15 minuta i ponovno ostaviti mulj da se istaloži. Nakon što se supernatant ponovno odstrani, istaloženi mulj se ponovo tretira istom ispitivanom supstancom u skladu sa odeljcima 1.6.1.4. i 1.6.2. ove metode. Aktivni mulj se može istaložiti i centrifugiranjem.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Adaptirani mulj može da se meša sa svežim muljem do koncentracije 0,2 g do 1 g suve težine/l.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Oprema za analitička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Uzorci se filtriraju kroz pažljivo oprani filter papir (za pranje se koristi dejonizovana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Filtrati koji ostaju zamućeni filtriraju se kroz membranske filtere promera 0,45 μm.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DOC određuje se u dva ponavljanja u filtratima uzoraka (prvih 5 ml se odbacuje) pomoću TOC instrumenta. Ako se filtrat ne može analizirati istog dana, čuvati ga u frižideru do sledećeg dana. Ne preporučuje se čuvanje materijala duže vreme.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HPK se određuje u filtratima uzorka prema postupku opisanom u literaturi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DOC, odnosno HPK se određuje najmanje u dva ponavljanja u uzorcima u skladu sa smernicama datim u odeljku 1.6.2. Razgradnja u vremenu t izračunava se prema formuli (sa definicijama) datim u odeljku 1.2.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Stepen razgradnje koji se dostigne na kraju ispitivanja se opisuje kao "biorazgradljivost u Zahn-Wellens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Ako se potpuna razgradnja dostigne pre kraja ispitivanja i ako se ovaj rezultat potvrdi i u drugom navratu narednog dana, ispitivanje se može prekinuti.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početnu koncentraciju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ostale podatke i rezultate ispitivanja supstance, referentne supstance (ukoliko je korišćena) i slepe probe;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koncentraciju ispitivane supstance nakon tri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biorazgradnju (kriva sa opisom);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i mesto gde su uzeti organizmi koji su korišćeni u ispitivanju, nivo adaptiranosti aktivnog mulja, korišćene koncentracije,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naučno utemeljene razloge za eventualne promene u izvođenju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Postepeno smanjenje vrednosti DOC (HPK) koje se registruje u toku nekoliko dana ili sedmica jeste pokazatelj da je ispitivana supstanca biorazgradljiva.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ispitivanje može da utiče fizičko-hemijska adsorpcija. To je slučaj kada se u toku prva tri sata ispitivanja, registruje potpuno ili delimično smanjenje vrednosti DOC (HPK), a razlika u nivou tečnosti između ispitivane grupe i kontrolne grupe ostaje neznatna.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izvesti dodatna ispitivanja za razgraničavanje procesa biorazgradnje (ili parcijalne biorazgradnje) od procesa adsorpcije. Najpouzdaniji način da se to uradi je da se u postavci ispitivanja (najbolje respirometrijsko ispitivanje), kao inokulum upotrebe supernatant ili mulj.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Supstance su potencijalno biorazgradljive, ako se u ispitivanju registruje značajno smanjenje vrednosti DOC (HPK) koje nije posledica adsorpcije. Delimično smanjenje vrednosti DOC (HPK), koje nije posledica adsorpcije, ukazuje na to da je ispitivana supstanca biorazgradljiva u određenoj meri. Neznatno ili nulta vrednost smanjenja DOC (HPK) može biti posledica inhibitornog delovanja ispitivane supstance na mikroorganizme, što se primećuje po zamućenju supernatanta. U tom slučaju ispitivanje ponoviti sa nižim koncentracijama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Precizniji rezultati dobijaju se upotrebom najpodesnije analitičke metode. Kada se u ispitivanju koristi obeležavanje izotopom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obrazovanje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potvrđuje da je došlo do biorazgradnje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su rezultati prikazani u smislu primarne biorazgradnje, ako je moguće, objasniti promenu hemijske strukture koja uzrokuje smanjenje količine polazne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Potvrda analitičke metode prikazuje se zajedno sa odgovorom dobijenim sa slepom probom (samo medijum, bez aktivnog mulja).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302 B, Decision of the COuncil C(81) 30 final.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Annex V C.9 Degradation: Chemical Oxygen Demand, COmmission Directive 84/449/EEC, (OJ L 251,19.9.1984, p. 1).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PRIMER PROCENE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Organsko jedinjenje: 4-etoksibenzoeva kiselina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Teorijska koncentracija: 600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Teorijska DOC vrednost: 390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Inokulum postrojenje za obradu otpadne vode iz domaćinstava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1 g/l suve materije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Adaptiranost: nije adaptiran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određivanje DOC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Količina uzorka: 3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Kontrolna supstanca: dietilenglikol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Toksičnost jedinjenja: Nema toksičnog efekta u koncentraciji ispod 1.000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Primenjeno ispitivanje: test fermentacije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12"/>
        <w:gridCol w:w="1288"/>
        <w:gridCol w:w="768"/>
        <w:gridCol w:w="1212"/>
        <w:gridCol w:w="1186"/>
        <w:gridCol w:w="768"/>
        <w:gridCol w:w="1212"/>
        <w:gridCol w:w="1186"/>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Trajanje </w:t>
            </w:r>
            <w:r w:rsidRPr="00984859">
              <w:rPr>
                <w:rFonts w:ascii="Arial" w:eastAsia="Times New Roman" w:hAnsi="Arial" w:cs="Arial"/>
                <w:lang w:eastAsia="sr-Latn-RS"/>
              </w:rPr>
              <w:lastRenderedPageBreak/>
              <w:t xml:space="preserve">ispitivanja </w:t>
            </w:r>
          </w:p>
        </w:tc>
        <w:tc>
          <w:tcPr>
            <w:tcW w:w="0" w:type="auto"/>
            <w:gridSpan w:val="4"/>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Kontrolna supstanca </w:t>
            </w:r>
          </w:p>
        </w:tc>
        <w:tc>
          <w:tcPr>
            <w:tcW w:w="0" w:type="auto"/>
            <w:gridSpan w:val="3"/>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Ispitivana supstanca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Slepa proba DOC</w:t>
            </w:r>
            <w:r w:rsidRPr="00984859">
              <w:rPr>
                <w:rFonts w:ascii="Arial" w:eastAsia="Times New Roman" w:hAnsi="Arial" w:cs="Arial"/>
                <w:lang w:eastAsia="sr-Latn-RS"/>
              </w:rPr>
              <w:br/>
              <w:t xml:space="preserve">(1)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DOC (1)</w:t>
            </w:r>
            <w:r w:rsidRPr="00984859">
              <w:rPr>
                <w:rFonts w:ascii="Arial" w:eastAsia="Times New Roman" w:hAnsi="Arial" w:cs="Arial"/>
                <w:lang w:eastAsia="sr-Latn-RS"/>
              </w:rPr>
              <w:br/>
              <w:t xml:space="preserve">(mg/l)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DOC neto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Razgradnja</w:t>
            </w:r>
            <w:r w:rsidRPr="00984859">
              <w:rPr>
                <w:rFonts w:ascii="Arial" w:eastAsia="Times New Roman" w:hAnsi="Arial" w:cs="Arial"/>
                <w:lang w:eastAsia="sr-Latn-RS"/>
              </w:rPr>
              <w:b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DOC (1)</w:t>
            </w:r>
            <w:r w:rsidRPr="00984859">
              <w:rPr>
                <w:rFonts w:ascii="Arial" w:eastAsia="Times New Roman" w:hAnsi="Arial" w:cs="Arial"/>
                <w:lang w:eastAsia="sr-Latn-RS"/>
              </w:rPr>
              <w:br/>
              <w:t xml:space="preserve">(mg/l)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DOC neto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Razgradnja</w:t>
            </w:r>
            <w:r w:rsidRPr="00984859">
              <w:rPr>
                <w:rFonts w:ascii="Arial" w:eastAsia="Times New Roman" w:hAnsi="Arial" w:cs="Arial"/>
                <w:lang w:eastAsia="sr-Latn-RS"/>
              </w:rPr>
              <w:b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390,0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sata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367,6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dan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276,2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264,2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193,8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136,5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134,7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99 </w:t>
            </w:r>
          </w:p>
        </w:tc>
      </w:tr>
      <w:tr w:rsidR="00984859" w:rsidRPr="00984859" w:rsidTr="00984859">
        <w:trPr>
          <w:tblCellSpacing w:w="0" w:type="dxa"/>
        </w:trPr>
        <w:tc>
          <w:tcPr>
            <w:tcW w:w="0" w:type="auto"/>
            <w:gridSpan w:val="8"/>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Srednja vrednost od tri merenja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 Primer krive biorazgradnje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705475" cy="3352800"/>
            <wp:effectExtent l="0" t="0" r="9525" b="0"/>
            <wp:docPr id="99" name="Picture 99" descr="C:\Program Files (x86)\ParagrafLex\browser\Files\Old\t\t2013_12\t12_0570_s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Program Files (x86)\ParagrafLex\browser\Files\Old\t\t2013_12\t12_0570_s09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05475" cy="33528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2: Primer adaptacije aktivnog mulja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5667375" cy="3390900"/>
            <wp:effectExtent l="0" t="0" r="9525" b="0"/>
            <wp:docPr id="98" name="Picture 98" descr="C:\Program Files (x86)\ParagrafLex\browser\Files\Old\t\t2013_12\t12_0570_s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Program Files (x86)\ParagrafLex\browser\Files\Old\t\t2013_12\t12_0570_s096.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C.10. BIORAZGRADNJA - ISPITIVANJE SIMULACIJE AKTIVNOG MULJA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1.1.1. Opšte napomene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primenjuje samo na organske supstance u koncentracijama koje se koriste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rastvorljive u vodi za pripremu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imaju neznatan napon pare u uslovima definisanim ovom metodom;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 deluju inhibitorno na bakterije.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o procentualnom udelu glavnih sastojaka ispitivane supstance korisni su za tumačenje dobijenih rezultata, posebno u slučajevima gde su vrednosti dobijenih rezultata niske ili ekstremne.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Poželjno je imati podatke o toksičnosti ispitivane supstance za tumačenje niskih dobijenih vrednosti i prilikom izbora odgovarajućih koncentracija za potrebe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1.1.2. Određivanje potpune biorazgradljivosti </w:t>
      </w:r>
      <w:r w:rsidRPr="00984859">
        <w:rPr>
          <w:rFonts w:ascii="Arial" w:eastAsia="Times New Roman" w:hAnsi="Arial" w:cs="Arial"/>
          <w:b/>
          <w:bCs/>
          <w:lang w:eastAsia="sr-Latn-RS"/>
        </w:rPr>
        <w:br/>
        <w:t xml:space="preserve">(DOC/HPK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metode je određivanje potpune biološke razgradljivosti što je određeno uklanjanjem ispitivane supstance i njenih metabolita iz sistema koji simulira postrojenje sa aktivnim muljem, pri koncentraciji koja odgovara vrednosti &gt; 12 mg DOC/l (ili približno 40 mg HPK/l). </w:t>
      </w:r>
      <w:r w:rsidRPr="00984859">
        <w:rPr>
          <w:rFonts w:ascii="Arial" w:eastAsia="Times New Roman" w:hAnsi="Arial" w:cs="Arial"/>
          <w:lang w:eastAsia="sr-Latn-RS"/>
        </w:rPr>
        <w:lastRenderedPageBreak/>
        <w:t xml:space="preserve">Optimalnom vrednošću smatra se 20 mg DOC/l (DOC jeste koncentracija rastvorenog organskog ugljenika, HPK jeste hemijska potrošnja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utvrditi sadržaj organskog ugljenika (ili HPK) ispitivanog materijala.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1.1.3. Određivanje primarne biorazgradljivosti </w:t>
      </w:r>
      <w:r w:rsidRPr="00984859">
        <w:rPr>
          <w:rFonts w:ascii="Arial" w:eastAsia="Times New Roman" w:hAnsi="Arial" w:cs="Arial"/>
          <w:b/>
          <w:bCs/>
          <w:lang w:eastAsia="sr-Latn-RS"/>
        </w:rPr>
        <w:br/>
        <w:t xml:space="preserve">(specifična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ove metode je određivanje primarne biorazgradljivosti ispitivane supstance u sistemu koji simulira postrojenje sa aktivnim muljem, pri koncentraciji ispitivane supstance od približno 20 mg/l, pomoću specifične analitičke metode (niža ili viša koncentracija ispitivane supstance može se koristiti ukoliko je moguće primeniti izabranu analitičku metodu i ukoliko ispitivana supstanca u datim koncentracijama ne ispoljava toksično dejstvo). Ova analiza omogućava procenu primarne biorazgradljivosti ispitivane supstance (nestanak polazne hemijske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metode nije određivanje mineralizacije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da bude dostupna odgovarajuća analitička metoda za odabranu ispitivanu supstancu.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1.2.1. DOC/HPK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Stepen uklanjanja ispitivane supstance se izračunava formulom: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43"/>
        <w:gridCol w:w="851"/>
        <w:gridCol w:w="670"/>
        <w:gridCol w:w="7048"/>
      </w:tblGrid>
      <w:tr w:rsidR="00984859" w:rsidRPr="00984859" w:rsidTr="00984859">
        <w:trPr>
          <w:tblCellSpacing w:w="0" w:type="dxa"/>
        </w:trPr>
        <w:tc>
          <w:tcPr>
            <w:tcW w:w="2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 = </w:t>
            </w:r>
          </w:p>
        </w:tc>
        <w:tc>
          <w:tcPr>
            <w:tcW w:w="5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 - (E - Eo) </w:t>
            </w:r>
          </w:p>
        </w:tc>
        <w:tc>
          <w:tcPr>
            <w:tcW w:w="4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 </w:t>
            </w:r>
          </w:p>
        </w:tc>
        <w:tc>
          <w:tcPr>
            <w:tcW w:w="3900" w:type="pct"/>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(1(a))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 jeste stepen uklanjanja ispitivane supstance izražen u procentima DOC (ili HPK) nakon unapred određenog retencionog perioda;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koncentracija ispitivane supstance u influentu izražena u mg DOC/l (ili u mg HPK/l);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 jeste koncentracija DOC (ili HPK) u efluentu izražena u mg DOC/l (ili u mg HPK/l);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w:t>
      </w:r>
      <w:r w:rsidRPr="00984859">
        <w:rPr>
          <w:rFonts w:ascii="Arial" w:eastAsia="Times New Roman" w:hAnsi="Arial" w:cs="Arial"/>
          <w:sz w:val="15"/>
          <w:szCs w:val="15"/>
          <w:vertAlign w:val="subscript"/>
          <w:lang w:eastAsia="sr-Latn-RS"/>
        </w:rPr>
        <w:t>o</w:t>
      </w:r>
      <w:r w:rsidRPr="00984859">
        <w:rPr>
          <w:rFonts w:ascii="Arial" w:eastAsia="Times New Roman" w:hAnsi="Arial" w:cs="Arial"/>
          <w:lang w:eastAsia="sr-Latn-RS"/>
        </w:rPr>
        <w:t xml:space="preserve"> jeste koncentracija DOC (ili HPK) u efluentu u kontroli izražena u mg DOC/l (ili u mg HPK/l).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Razgradnja jeste procenat smanjenja DOC (ili HPK) ispitivane supstance nakon unapred određenog retencionog perioda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1.2.2. Specifična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uklanjanja ispitivane supstance iz vodene faze (R</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nakon unapred određenog vremena retencije izračunava se formulom: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63"/>
        <w:gridCol w:w="909"/>
        <w:gridCol w:w="825"/>
        <w:gridCol w:w="7015"/>
      </w:tblGrid>
      <w:tr w:rsidR="00984859" w:rsidRPr="00984859" w:rsidTr="00984859">
        <w:trPr>
          <w:tblCellSpacing w:w="0" w:type="dxa"/>
        </w:trPr>
        <w:tc>
          <w:tcPr>
            <w:tcW w:w="2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w:t>
            </w:r>
            <w:r w:rsidRPr="00984859">
              <w:rPr>
                <w:rFonts w:ascii="Arial" w:eastAsia="Times New Roman" w:hAnsi="Arial" w:cs="Arial"/>
                <w:lang w:eastAsia="sr-Latn-RS"/>
              </w:rPr>
              <w:lastRenderedPageBreak/>
              <w:t xml:space="preserve">= </w:t>
            </w:r>
          </w:p>
        </w:tc>
        <w:tc>
          <w:tcPr>
            <w:tcW w:w="5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C</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o</w:t>
            </w:r>
            <w:r w:rsidRPr="00984859">
              <w:rPr>
                <w:rFonts w:ascii="Arial" w:eastAsia="Times New Roman" w:hAnsi="Arial" w:cs="Arial"/>
                <w:lang w:eastAsia="sr-Latn-RS"/>
              </w:rPr>
              <w:t xml:space="preserve">) </w:t>
            </w:r>
          </w:p>
        </w:tc>
        <w:tc>
          <w:tcPr>
            <w:tcW w:w="3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 </w:t>
            </w:r>
          </w:p>
        </w:tc>
        <w:tc>
          <w:tcPr>
            <w:tcW w:w="3900" w:type="pct"/>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(1(b))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I</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koncentracija ispitivane supstance u influentu sistema (izražena u mg/l, određeno specifičnom analizom);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o </w:t>
      </w:r>
      <w:r w:rsidRPr="00984859">
        <w:rPr>
          <w:rFonts w:ascii="Arial" w:eastAsia="Times New Roman" w:hAnsi="Arial" w:cs="Arial"/>
          <w:lang w:eastAsia="sr-Latn-RS"/>
        </w:rPr>
        <w:t xml:space="preserve">jeste koncentracija ispitivane supstance u efluentu sistema (izražena u mg/l, određeno specifičnom analizom).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za ovu metodu ispitivanja nisu određene.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određivanje potpune biorazgradljivosti, uporedo se izvode dva ispitivanja u dva sistema (OECD potvrdno ispitivanje ili ispitivanje sa poroznim posudama). Ispitivana supstanca dodaje se influentu jednog sistema (sintetička otpadna voda ili komunalna otpadna voda), dok se u drugi sistem uvodi samo influent. Za određivanje primarne biorazgradnje specifičnom analizom u influentu i efluentu, koristi se samo jedan sistem.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DOC (ili HPK) koncentracije mere se u efluentu ili se koncentracija ispitivane supstance određuje specifičnim analizama.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DOC iz ispitivanog materijala se ne meri, već se samo navede.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određuju vrednosti DOC (ili HPK) smatra se da razlika između srednje vrednosti koncentracija u efluentu u kontroli i efluentu u tretmanu potiče od nerazgrađene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izvode specifične analize, meri se promena u koncentraciji polazne supstance (primarna biorazgradljivost).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Sistemi mogu da se postave kao sistemi spojenih jedinica, uz proceduru transinokulacije.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koncentracija ispitivane supstance zavisi od vrste primenjene analize i njenih ograničenja.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raspolagati sa par sistema istog tipa, osim kad se izvode specifične analize. Koriste se dva tipa sistema: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OECD potvrdno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Oprema (videti Deo drugi ove metode) se sastoji od spremnika (A) za sintetičke otpadne vode, pumpe za doziranje (B), aeratora (C), separatora (D), pumpe za recirkulaciju aktivnog mulja (E) i kolektora za tretirani efluent (F).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Posude (A) i (F) su od stakla ili pogodnog plastičnog materijala, zapremine najmanje 24 L. Pumpa za doziranje (B) obezbeđuje stalan dotok sintetičkih otpadnih voda u aerator. Koristi se bilo koji pogodni sistem ako su obezbeđeni konstantan dotok i koncentracija. Tokom normalnog rada sistema otvor separatora (D) je pozicioniran tako da aerator primi zapreminu od 3 ispitivane smeše. Perforirani difuzer vazduha (G) je postavljen u aerator (C) na sredini konusnog dna. Količina vazduha koja se uduvava u aerator prati se pomoću merača protoka.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Pumpa za recirkulaciju aktivnog mulja (E) postavljena je tako da se aktivni mulj iz separatora neprekidno recirkuliše u posudu za aeraciju (C).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"Porozna posuda"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Porozna posuda je napravljena od ploča poroznog polietilena (2 mm debljine, maksimalni promer pore je 95 mm), koje su oblikovane u cilindre prečnika 14 cm sa konusnom bazom pod uglom od 45° (Deo drugi Slike 1 i 2). Porozna posuda nalazi se u nepropusnoj posudi od odgovarajuće plastike, prečnika 15 cm, sa otvorom na visini od 17,2 cm na cilindričnom delu, koji određuje zapreminu (3 L) u loncu. Čvrsti potporni prsten, napravljen od odgovarajuće plastike, postavljen je oko vrha unutrašnje posude, tako da između unutrašnje i spoljašnje posude postoji prostor od 0,5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Porozna posuda se može postaviti u vodeno kupatilo. U osnovi unutrašnje posude su postavljeni difuzeri koji obezbeđuju dotok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Posude (A) i (E) su od stakla ili odgovarajuće plastike, zapremine najmanje 24 L. Pumpa za recirkulaciju aktivnog mulja (B) omogućava stalni tok sintetičke otpadne vode u aerator. Koristi se bilo koji pogodan sistem ako su obezbeđeni stalan dotok i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imati rezervne unutrašnje porozne posude ukoliko u toku rada sistema dođe do zapušenja. Zapušene posude potapaju se u rastvor hipohlorita, a zatim se temeljno isperu vodom iz česme.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Filtracija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oprema za membransku filtraciju i membranski filteri promera 0,45 mm. Vodi se računa da se ugljenik ne oslobađa iz membranskih filtera i da se ispitivana supstanca ne adsorbuje u toku filtracije.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Otpadna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Koristiti se pogodna sintetička ili komunalna otpadna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 sintetičke otpadne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jednom litru vode iz česme rastvori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- 160 mg peptona,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- 10 mg mesnog ekstrakta,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- 30 mg uree,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- 7 mg NaCl,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- 4 mg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 mg 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- 28 mg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Komunalna otpadna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Uzima se otpadna voda koja se preliva iz primarnog taložnika iz postrojenja koja dominantno prerađuju komunalne otpadne vode.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1.6.1.4. Osnovni rastvor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rastvor ispitivane supstance, npr. 1%, priprema se pre izvođenja ispitivanja. Koncentracija ispitivane supstance se definiše, kako bi se dodala odgovarajuća zapremina osnovnog rastvora u otpadnu vodu ili direktno u sistem.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1.6.1.5.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Kad se koristi komunalna otpadna voda, ne koristi se inokulum sa niskom koncentracijom bakterija, ali može da se koristi aktivni mulj.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koristiti razni inokulumi. U ovoj metodi data su tri primera pogodnih inokuluma: inokulum iz sekundarnog efluenta, kompozitni i inokulum aktivnog mulja.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Inokulum iz sekundarnog efluenta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Inokulum se uzima iz sekundarnog efluenta zadovoljavajućeg kvaliteta prikupljenog iz postrojenja za obradu dominantno komunalnih otpadnih voda. Tokom perioda od uzimanja efluenta do njegove upotrebe, efluent se čuva u aerobnim uslovima. Za pripremu inokuluma, uzorak efluenta se filtrira kroz grubi filter, a prvih 200 ml se baca. Filtrat se čuva u aerobnim uslovima do upotrebe. Inokulum se upotrebljava isti dan po uzimanju uzorka sekundarnog efluenta. Za inokulaciju se koristi najmanje 3 ml efluenta.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Kompozitni inokulum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pripremu kompozitnog inokuluma koriste se tri parcijalna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inokulum iz sekundarnog efluenta;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inokulum iz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- 100 g baštenskog zemljišta (plodnog, ne sterilnog) suspenduje se u 1.000 ml nehlorisane vode za piće. (Zemljište sa izuzetno velikim udelom gline, peska ili humusa nije pogodno.) Nakon mešanja, suspenzija se ostavi 30 minuta da se istaloži. Supernatant se filtrira kroz grubi filter papir, a prvih 200 ml se baca. Filtrat se aeriše odmah sve do upotrebe. Inokulum se upotrebljava isti dan po uzorkovanju;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inokulum iz površinske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deo za kompozitni inokulum uzima se iz mezo-saprobne površinske vode. Uzorci se filtriraju kroz grubi papir, a prvih 200 ml se baca. Filtrat se čuva u aerobnim uslovima sve do upotrebe. Inokulum upotrebiti isti dan po uzorkovanju.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Kompozitni inokulum se uzima iz mešavine tri parcijalna inokuluma tako što se jednake zapremine sjedine i dobro promešaju. Za inokulaciju se upotrebljava najmanje 3 ml.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Inokulum aktivnog mulja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Uzima se najviše 3 L aktivnog mulja (sadržaj suspendovanih materija do 2,5 g/l) uzetog iz aeracionog bazena postrojenja za obradu dominantno komunalnih otpadnih voda.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izvodi na sobnoj temperaturi, koja se održava između 18° C i 25°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može izvesti i na nižim temperaturama (do 10° C). Ako se supstanca razgrađuje, ne nastavlja se ispitivanje. Ako se supstanca ne razgrađuje, ispitivanje se obavlja na stalnoj temperaturi između 18° C i 25° 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1.6.2.1. Period stabilizacije: obrazovanje mulja / stabilizacija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Period rasta/stabilizacije mulja je period u toku kojeg koncentracija suspendovanih materija aktivnog mulja kao i rad sistema dostiže stabilno stanje u uslovima definisanim ovom metodom.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Period stabilizacije jeste period koji traje od trenutka uvođenja ispitivane supstance u sistem do trenutka kad proces uklanjanja supstance dostigne plato, (relativno konstantnu vrednost). Ovaj period ne sme biti duži od šest sedmica.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Period evaluacije traje tri sedmice i to od trenutka kad uklanjanje ispitivane supstance dosegne relativno stalnu i najčešće visoku vrednost. Za one supstance koje se u prvih šest sedmica slabo ili uopšte biološki ne razgrade, za period evaluacije se uzimaju naredne tri sedmice.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se inokulum pomešan sa influentom uvodi u sisteme potrebne za jedno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Zatim se uključuje aerator (u slučaju kad se koristi sistem OECD potvrdnog ispitivanja), a uključi se i pumpa za recirkulaciju (E) aktivnog mulja) i pumpa za doziranje (B).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Influent bez ispitivane supstance prolazi kroz aerator (C) brzinom 1 litar na sat ili 0,5 litara na sat, što omogućava retenciono vreme od 3 sata odnosno 6 sati.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Stepen aeracije namestiti tako da se onemogući taloženje sadržaja u posudi (C), dok je sadržaj rastvorenog kiseonika najmanje 2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Stvaranje pene onemogućiti odgovarajućim sredstvima, ali samo ukoliko ne deluju ihibitorno na aktivni mulj.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Mulj koji se nakupi pri vrhu aeratora (C) (u slučaju sistema OECD potvrdnog ispitivanja pri dnu separatora (D) i u sistemu za recirkulaciju) struganjem ili na neki drugi odgovarajući način vratiti u suspenziju najmanje jednom dnevno, svaki dan.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Ako se mulj ne taloži, povećati njegovu gustinu dodavanjem 2 ml 5% rastvora gvožđe-hlorida. Ovaj postupak se po potrebi ponavlja.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Efluent se prikuplja u posudi (E ili F) u toku 20 do 24 sata, a uzorak se uzima nakon temeljnog mešanja. Posudu (E ili F) pažljivo očistiti.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nadgledala i kontrolisala efikasnost postupka, mere se hemijska potrošnja kiseonika (HPK) ili rastvoreni organski uglenik (DOC) u filtratu nakupljenog efluenta najmanje dva puta sedmično, kao i u filtratu influenta (koristeći membrane promera 0,45 mm, a prvih 20 ml filtrata se baca).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uspostavi približno ujednačena dnevna razgradnja, smanjenje DOC ili HPK treba da bude ujednačeno.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suve materije aktivnog mulja (g/l) u aeratoru određuje se dvaput sedmično. Sistemi mogu raditi na jedan od dva načina: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sadržaj suve materije u aktivnom mulju određuje se dvaput sedmično, pa ukoliko ga ima više od 2,5 g/l višak aktivnog mulja se odbacuje, ili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svakodnevno se ispušta 500 ml ispitivane smeše iz svake posude da se dobije srednje vreme retencije mulja od 6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su izmereni i procenjeni parametri dva sistema dovoljno stabilni (efikasnost uklanjanja DOC ili HPK, mulj, koncentracija, taloženje mulja, zamućenost efluenta, itd), ispitivana supstanca može se dodati influentu koji ulazi u jedan od sistema, kako je opisano u odeljku 1.6.2.2.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Alternativno, ispitivana supstanca se može dodati na početku perioda rasta mulja (videti odeljak 1.6.2.1. ove metode), naročito kad se mulj dodaje kao inokulum.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1.6.2.2. Procedura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periodu stabilizacije održavaju se konstantni uslovi rada sistema. Odgovarajuća količina rastvora ispitivane supstance (oko 1%) dodaje se u influent koji ulazi u sistem, tako da se dobije željena koncentracija ispitivane supstance (10 mg do 20 mg DOC/l ili 40 mg HPK/l) u influentu. To se može postići svakodnevnim mešanjem osnovnog rastvora ispitivane supstance sa influentom ili pomoću sekundarne pumpe. Željena koncentracija može se postići postepeno. Ukoliko ispitivana supstanca ne ispoljava toksično dejstvo na aktivni mulj, može se testirati i viša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sistemu koji služi kao kontrola uvodi se samo influent bez ispitivane supstance. Odgovarajuće zapremine efluenta uzimaju se za analizu i filtriraju kroz membranske filtere (0,45 mm). Prvih (otprilike) 20 ml filtrata se baca.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Filtrirani uzorci se analiziraju istog dana; u suprotnom se čuvaju pogodnom metodom, npr. korišćenjem 0,05 ml 1% rastvora žive-hlorida (HgCl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na svakih 10 ml filtrata ili čuvanjem na temperaturi od 2° C do 4° C, najviše 24 sata ili na temperaturi nižoj od -18°C u toku dužeg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Period stabilizacije, uz dodatak ispitivane supstance, ne sme trajati duže od 6 sedmica i period evaluacije ne sme biti kraći od 3 sedmice, odnosno za izračunavanje konačnog rezultata imati oko 14 do 20 rezultata merenja.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Izvođenje sa spojenim sistemima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Spojeni sistemi rade tako da jednom dnevno između dva sistema dolazi do razmene 1,5 L ispitivane smeše (uključujući mulj) iz aeratora za aktivni mulj. U slučaju da ispitivana supstanca podleže adsorpciji, uzima se 1,5 L tečnog supernatanta iz taložnika jednog sistema i presipa u posude sa aktivnim muljem drugog sistema.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1.6.2.3.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cilju praćenja svojstava supstance vrše se dve vrste analiza: DOC i HPK.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Koncentracije DOC određuju se u dva ponavljanja pomoću analizatora ugljenika, odnosno vrednosti HPK prema literaturi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Specifična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Koncentracije ispitivane supstance određuju se odgovarajućim analitičkim postupkom. Ukoliko je moguće, odrediti i količinu supstance koja se adsorbuje na aktivni mulj.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PROCENA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SPOJENI SISTEMI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koriste spojeni sistemi, dnevni stepen uklanjanja (u daljem tekstu: DR) izračunava se na način opisan u odeljku 1.2.1. ove metode. DR se formulom (2) koriguje na DRc zbog prenosa ispitivane supstance na opisani način za srednje vreme retencije od 3 sata ili formulom (3) za srednje vreme retencije od 6 sati.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47"/>
        <w:gridCol w:w="547"/>
        <w:gridCol w:w="364"/>
        <w:gridCol w:w="820"/>
        <w:gridCol w:w="6834"/>
      </w:tblGrid>
      <w:tr w:rsidR="00984859" w:rsidRPr="00984859" w:rsidTr="00984859">
        <w:trPr>
          <w:tblCellSpacing w:w="0" w:type="dxa"/>
        </w:trPr>
        <w:tc>
          <w:tcPr>
            <w:tcW w:w="3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DRc = </w:t>
            </w:r>
          </w:p>
        </w:tc>
        <w:tc>
          <w:tcPr>
            <w:tcW w:w="3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200" w:type="pct"/>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DR - </w:t>
            </w:r>
          </w:p>
        </w:tc>
        <w:tc>
          <w:tcPr>
            <w:tcW w:w="4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37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47"/>
        <w:gridCol w:w="547"/>
        <w:gridCol w:w="364"/>
        <w:gridCol w:w="820"/>
        <w:gridCol w:w="6834"/>
      </w:tblGrid>
      <w:tr w:rsidR="00984859" w:rsidRPr="00984859" w:rsidTr="00984859">
        <w:trPr>
          <w:tblCellSpacing w:w="0" w:type="dxa"/>
        </w:trPr>
        <w:tc>
          <w:tcPr>
            <w:tcW w:w="3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DRc = </w:t>
            </w:r>
          </w:p>
        </w:tc>
        <w:tc>
          <w:tcPr>
            <w:tcW w:w="3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 </w:t>
            </w:r>
          </w:p>
        </w:tc>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 - </w:t>
            </w:r>
          </w:p>
        </w:tc>
        <w:tc>
          <w:tcPr>
            <w:tcW w:w="4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37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Izračunava se srednja vrednost i standardne devijacije za seriju vrednosti DRc prema jednačini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3419475" cy="1143000"/>
            <wp:effectExtent l="0" t="0" r="9525" b="0"/>
            <wp:docPr id="97" name="Picture 97" descr="C:\Program Files (x86)\ParagrafLex\browser\Files\Old\t\t2013_12\t12_0570_s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Program Files (x86)\ParagrafLex\browser\Files\Old\t\t2013_12\t12_0570_s09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19475" cy="1143000"/>
                    </a:xfrm>
                    <a:prstGeom prst="rect">
                      <a:avLst/>
                    </a:prstGeom>
                    <a:noFill/>
                    <a:ln>
                      <a:noFill/>
                    </a:ln>
                  </pic:spPr>
                </pic:pic>
              </a:graphicData>
            </a:graphic>
          </wp:inline>
        </w:drawing>
      </w:r>
      <w:r w:rsidRPr="00984859">
        <w:rPr>
          <w:rFonts w:ascii="Arial" w:eastAsia="Times New Roman" w:hAnsi="Arial" w:cs="Arial"/>
          <w:lang w:eastAsia="sr-Latn-RS"/>
        </w:rPr>
        <w:t>(4)</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DRc</w:t>
      </w:r>
      <w:r w:rsidRPr="00984859">
        <w:rPr>
          <w:rFonts w:ascii="Arial" w:eastAsia="Times New Roman" w:hAnsi="Arial" w:cs="Arial"/>
          <w:lang w:eastAsia="sr-Latn-RS"/>
        </w:rPr>
        <w:t xml:space="preserve"> jeste standardna devijacija za niz DRc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DRDRc = srednja vrednost DRc;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 jeste broj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Ekstremne vrednosti u nizu vrednosti DRc odbacuju se odgovarajućim statističkim postupkom, npr. Nalimovim postupkom</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uz nivo verovatnoće od 95%, pa se srednja vrednost i standardna devijacija ponovo izračunavaju za skup podataka DRc bez ekstremnih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Konačan rezultat izračunava se prema jednačini (5):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2619375" cy="657225"/>
            <wp:effectExtent l="0" t="0" r="9525" b="9525"/>
            <wp:docPr id="96" name="Picture 96" descr="C:\Program Files (x86)\ParagrafLex\browser\Files\Old\t\t2013_12\t12_0570_s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Program Files (x86)\ParagrafLex\browser\Files\Old\t\t2013_12\t12_0570_s098.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19375" cy="657225"/>
                    </a:xfrm>
                    <a:prstGeom prst="rect">
                      <a:avLst/>
                    </a:prstGeom>
                    <a:noFill/>
                    <a:ln>
                      <a:noFill/>
                    </a:ln>
                  </pic:spPr>
                </pic:pic>
              </a:graphicData>
            </a:graphic>
          </wp:inline>
        </w:drawing>
      </w:r>
      <w:r w:rsidRPr="00984859">
        <w:rPr>
          <w:rFonts w:ascii="Arial" w:eastAsia="Times New Roman" w:hAnsi="Arial" w:cs="Arial"/>
          <w:lang w:eastAsia="sr-Latn-RS"/>
        </w:rPr>
        <w:t>(5)</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n-1</w:t>
      </w:r>
      <w:r w:rsidRPr="00984859">
        <w:rPr>
          <w:rFonts w:ascii="Arial" w:eastAsia="Times New Roman" w:hAnsi="Arial" w:cs="Arial"/>
          <w:lang w:eastAsia="sr-Latn-RS"/>
        </w:rPr>
        <w:t>;α</w:t>
      </w:r>
      <w:r w:rsidRPr="00984859">
        <w:rPr>
          <w:rFonts w:ascii="Arial" w:eastAsia="Times New Roman" w:hAnsi="Arial" w:cs="Arial"/>
          <w:sz w:val="15"/>
          <w:szCs w:val="15"/>
          <w:vertAlign w:val="superscript"/>
          <w:lang w:eastAsia="sr-Latn-RS"/>
        </w:rPr>
        <w:t>s</w:t>
      </w:r>
      <w:r w:rsidRPr="00984859">
        <w:rPr>
          <w:rFonts w:ascii="Arial" w:eastAsia="Times New Roman" w:hAnsi="Arial" w:cs="Arial"/>
          <w:lang w:eastAsia="sr-Latn-RS"/>
        </w:rPr>
        <w:t xml:space="preserve"> jeste tabelarna vrednost </w:t>
      </w:r>
      <w:r w:rsidRPr="00984859">
        <w:rPr>
          <w:rFonts w:ascii="Arial" w:eastAsia="Times New Roman" w:hAnsi="Arial" w:cs="Arial"/>
          <w:i/>
          <w:iCs/>
          <w:lang w:eastAsia="sr-Latn-RS"/>
        </w:rPr>
        <w:t>t</w:t>
      </w:r>
      <w:r w:rsidRPr="00984859">
        <w:rPr>
          <w:rFonts w:ascii="Arial" w:eastAsia="Times New Roman" w:hAnsi="Arial" w:cs="Arial"/>
          <w:lang w:eastAsia="sr-Latn-RS"/>
        </w:rPr>
        <w:t xml:space="preserve"> za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 vrednost parova E i E</w:t>
      </w:r>
      <w:r w:rsidRPr="00984859">
        <w:rPr>
          <w:rFonts w:ascii="Arial" w:eastAsia="Times New Roman" w:hAnsi="Arial" w:cs="Arial"/>
          <w:sz w:val="15"/>
          <w:szCs w:val="15"/>
          <w:vertAlign w:val="subscript"/>
          <w:lang w:eastAsia="sr-Latn-RS"/>
        </w:rPr>
        <w:t>o</w:t>
      </w:r>
      <w:r w:rsidRPr="00984859">
        <w:rPr>
          <w:rFonts w:ascii="Arial" w:eastAsia="Times New Roman" w:hAnsi="Arial" w:cs="Arial"/>
          <w:lang w:eastAsia="sr-Latn-RS"/>
        </w:rPr>
        <w:t xml:space="preserve"> i statistička pouzdanost P (P = 1- a) i time je P na 95%</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 se izražava kao srednja vrednost sa 95% intervalima poverenja, standardnim devijacijama i brojem podataka u skupu podataka DRc bez ekstremnih vrednosti, te brojem ekstremnih podataka, npr: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DRc = 98,6 ± 2,3% uklonjenog 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c</w:t>
      </w:r>
      <w:r w:rsidRPr="00984859">
        <w:rPr>
          <w:rFonts w:ascii="Arial" w:eastAsia="Times New Roman" w:hAnsi="Arial" w:cs="Arial"/>
          <w:lang w:eastAsia="sr-Latn-RS"/>
        </w:rPr>
        <w:t xml:space="preserve"> jeste 4,65% uklonjenog 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 jeste 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x</w:t>
      </w:r>
      <w:r w:rsidRPr="00984859">
        <w:rPr>
          <w:rFonts w:ascii="Arial" w:eastAsia="Times New Roman" w:hAnsi="Arial" w:cs="Arial"/>
          <w:lang w:eastAsia="sr-Latn-RS"/>
        </w:rPr>
        <w:t xml:space="preserve"> jeste broj ekstremnih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ODVOJENI SISTEMI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 sistema se može proveriti pomoću sledećeg izraza: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441"/>
        <w:gridCol w:w="4344"/>
        <w:gridCol w:w="1327"/>
      </w:tblGrid>
      <w:tr w:rsidR="00984859" w:rsidRPr="00984859" w:rsidTr="00984859">
        <w:trPr>
          <w:tblCellSpacing w:w="0" w:type="dxa"/>
        </w:trPr>
        <w:tc>
          <w:tcPr>
            <w:tcW w:w="11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uklanjanja COD ili DOC = </w:t>
            </w:r>
          </w:p>
        </w:tc>
        <w:tc>
          <w:tcPr>
            <w:tcW w:w="140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COD ili DOC influenta-COD ili DOC efluenta </w:t>
            </w:r>
          </w:p>
        </w:tc>
        <w:tc>
          <w:tcPr>
            <w:tcW w:w="25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COD ili DOC influenta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Ove vrednosti za dnevno uklanjanje DOC ili HPK mogu se prikazati grafički da bi se uočilo postojanje nekog trenda, npr. aklimatizacije.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2.2.1. Određivanje HPK/DOC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Kako se izračunava DR dato je u odeljku 1.2.1.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Izračuna se srednja vrednost za serije vrednosti DR. Uz to se računa i standardna devijacija prema sledećem izrazu: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3419475" cy="1152525"/>
            <wp:effectExtent l="0" t="0" r="9525" b="9525"/>
            <wp:docPr id="95" name="Picture 95" descr="C:\Program Files (x86)\ParagrafLex\browser\Files\Old\t\t2013_12\t12_0570_s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Program Files (x86)\ParagrafLex\browser\Files\Old\t\t2013_12\t12_0570_s099.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19475" cy="1152525"/>
                    </a:xfrm>
                    <a:prstGeom prst="rect">
                      <a:avLst/>
                    </a:prstGeom>
                    <a:noFill/>
                    <a:ln>
                      <a:noFill/>
                    </a:ln>
                  </pic:spPr>
                </pic:pic>
              </a:graphicData>
            </a:graphic>
          </wp:inline>
        </w:drawing>
      </w:r>
      <w:r w:rsidRPr="00984859">
        <w:rPr>
          <w:rFonts w:ascii="Arial" w:eastAsia="Times New Roman" w:hAnsi="Arial" w:cs="Arial"/>
          <w:lang w:eastAsia="sr-Latn-RS"/>
        </w:rPr>
        <w:t>(6)</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DR</w:t>
      </w:r>
      <w:r w:rsidRPr="00984859">
        <w:rPr>
          <w:rFonts w:ascii="Arial" w:eastAsia="Times New Roman" w:hAnsi="Arial" w:cs="Arial"/>
          <w:lang w:eastAsia="sr-Latn-RS"/>
        </w:rPr>
        <w:t xml:space="preserve"> jeste standardna devijacija serije DR</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DR jeste srednja vrednost DR</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 jeste broj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Ekstremne vrednosti u nizu vrednosti DRc se odbacuju odgovarajućim statističkim postupkom, npr. Nalimovim postupkom</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uz nivo verovatnoće od 95%, pa se srednja vrednost i standardna devijacija ponovo izračunavaju za skup podataka DRc bez ekstremnih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Konačan rezultat se zatim izračuna prema formuli (7) kao: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2238375" cy="647700"/>
            <wp:effectExtent l="0" t="0" r="9525" b="0"/>
            <wp:docPr id="94" name="Picture 94" descr="C:\Program Files (x86)\ParagrafLex\browser\Files\Old\t\t2013_12\t12_0570_s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Program Files (x86)\ParagrafLex\browser\Files\Old\t\t2013_12\t12_0570_s100.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38375" cy="647700"/>
                    </a:xfrm>
                    <a:prstGeom prst="rect">
                      <a:avLst/>
                    </a:prstGeom>
                    <a:noFill/>
                    <a:ln>
                      <a:noFill/>
                    </a:ln>
                  </pic:spPr>
                </pic:pic>
              </a:graphicData>
            </a:graphic>
          </wp:inline>
        </w:drawing>
      </w:r>
      <w:r w:rsidRPr="00984859">
        <w:rPr>
          <w:rFonts w:ascii="Arial" w:eastAsia="Times New Roman" w:hAnsi="Arial" w:cs="Arial"/>
          <w:lang w:eastAsia="sr-Latn-RS"/>
        </w:rPr>
        <w:t>(7)</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n-1</w:t>
      </w:r>
      <w:r w:rsidRPr="00984859">
        <w:rPr>
          <w:rFonts w:ascii="Arial" w:eastAsia="Times New Roman" w:hAnsi="Arial" w:cs="Arial"/>
          <w:lang w:eastAsia="sr-Latn-RS"/>
        </w:rPr>
        <w:t>;α jeste tabelarna vrednost t za n vrednost parova E i E</w:t>
      </w:r>
      <w:r w:rsidRPr="00984859">
        <w:rPr>
          <w:rFonts w:ascii="Arial" w:eastAsia="Times New Roman" w:hAnsi="Arial" w:cs="Arial"/>
          <w:sz w:val="15"/>
          <w:szCs w:val="15"/>
          <w:vertAlign w:val="subscript"/>
          <w:lang w:eastAsia="sr-Latn-RS"/>
        </w:rPr>
        <w:t>o</w:t>
      </w:r>
      <w:r w:rsidRPr="00984859">
        <w:rPr>
          <w:rFonts w:ascii="Arial" w:eastAsia="Times New Roman" w:hAnsi="Arial" w:cs="Arial"/>
          <w:lang w:eastAsia="sr-Latn-RS"/>
        </w:rPr>
        <w:t xml:space="preserve"> i statistička pouzdanost P (P = 1- a) čime je P postavljen na 95%</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 se izražava kao srednja vrednost sa 95% intervalima poverenja, standardnim devijacijama i brojem podataka u skupu DR bez ekstremnih vrednosti, te brojem ekstremnih vrednosti, npr: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 jeste (98,6 ± 2,3)% uklonjenog 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c</w:t>
      </w:r>
      <w:r w:rsidRPr="00984859">
        <w:rPr>
          <w:rFonts w:ascii="Arial" w:eastAsia="Times New Roman" w:hAnsi="Arial" w:cs="Arial"/>
          <w:lang w:eastAsia="sr-Latn-RS"/>
        </w:rPr>
        <w:t xml:space="preserve"> jeste (4,65)% uklonjenog 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 jeste 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x</w:t>
      </w:r>
      <w:r w:rsidRPr="00984859">
        <w:rPr>
          <w:rFonts w:ascii="Arial" w:eastAsia="Times New Roman" w:hAnsi="Arial" w:cs="Arial"/>
          <w:lang w:eastAsia="sr-Latn-RS"/>
        </w:rPr>
        <w:t xml:space="preserve"> jeste broj odstupajućih vrednosti.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2.2.2. Primena specifične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Kako se izračunava procenat uklanjanja ispitivane supstance iz vodene faze (R</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dato je u odeljku 1.2.2.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ako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obrazac dat u Delu četvrtom ove metode, sa opisanim uslovima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odabrani sistem (OECD potvrdno ispitivanje ili "porozna posuda");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odabrani način rada, spojeni sistem ili neki drugi;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vrstu otpadnih voda: sintetičke ili komunalne otpadne vode (u slučaju komunalne otpadne vode navesti datum i mesto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vrstu inokuluma, sa datumom i mestom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primenjenog analitičkog postupka, ukoliko su se obavljale specifične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 prikaz vrednosti uklanjanja HPK ili DOC u funkciji vremena, uključujući period stabilizacije i period evaluacije;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efikasnost analitičke metode za određivanja sadržaja ispitivane supstance preko vrednosti HPK ili DOC za osnovni rastvor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ukoliko su rađene specifične analize, grafički prikaz vrednosti procenta uklanjanja ispitivane supstance iz vodene faze u funkciji vremena (period stabilizacije i period evaluacije);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srednja vrednost i standardna devijacija uklanjanja DOC ili HPK ispitivane supstance izračunavaju se iz podataka za period evaluacije, odnosno kad postoji ravnomerno uklanjanje ispitivane supstance ili period ustaljenog rada jedinica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 prikaz koncentracije aktivnog mulja u funkciji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sve napomene u vezi sa aktivnim muljem (odbacivanje suviška mulja, pojave agregacije, 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koncentracije ispitivane supstance korišćene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 rezultati u vezi sa aktivnim muljem;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 podaci i rezultati ispitivanja u vezi sa ispitivanom i referentnim supstancama, ako su korišćene;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naučno opravdani razlozi za eventualne izmene postupka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Nizak stepen uklanjanja ispitivane supstance iz vodene faze može biti posledica inhibitornog delovanje ispitivane supstance na mikroorganizame aktivnog mulja. Ovo se, takođe, može dokazati opažanjem lize ćelija mikroorganizama i gubitka mulja, što daje zamućeni supernatant, kao i smanjenja efikasnosti rada postrojenja u uklanjanju HPK (ili 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Ponekad može imati uticaja fizičko-hemijska adsorpcija. Razlike između biološkog delovanja na molekul i fizičko-hemijske adsorpcije se mogu otkriti analizom mulja nakon odgovarajuće desorpcije.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Dodatna ispitivanja su potrebna ukoliko se žele razlučiti procesi biološke razgradnje (ili delimične biološke razgradnje) od adsorpcije.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 se može uraditi na nekoliko načina, ali najbolje je koristiti supernatant za inokulum u bazičnom ispitivanju (najbolje respirometrijsko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primeti visok stepen uklanjanja DOC ili HPK, onda je to posledica biorazgradnje. Pri nižem stepenu uklanjanja, proces biorazgradnje ne može se razlikovati od procesa eliminacije. Na primer, ako jedinjenje rastvorljivo u vodi pokazuje visok stepen adsorpcije od 98%, a dnevna stopa potrošnje mulja veća je za 10%, moguća je eliminacija do 40%; pri višku stope potrošnje mulja od 30%, eliminacija zbog adsorpcije na suvišak mulja i uklanjanja zajedno sa tim suviškom mulja može narasti i na 65%</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izvode specifične analize, obratiti pažnju na odnos strukture supstance i vrste analiza koje se rade. U ovom slučaju, uočeni fenomen ne može se protumačiti kao mineralizacija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303 A, Decision of the Council C(81) 30 final.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Annex V C9 Degradation Test - Chemical Oxygen Demand, Commission Directive 84/449/EEC, (OJ L251, 19.9.1984, p. 1).31.5.2008 EN Official Journal of the European Union L 142/553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Painter, H. A., King, E. F., WRC Porous-Pot method for assessing biodegradability, Technical Report TR70,June 1978, Water Research Centre, United Kingdom.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Wierich, P., Gerike, P., The fate of soluble, recalcitrant, and adsorbing Compounds in activated sludgeplants, Ecotoxicology and Environmental Safety, vol. 5, No 2, June 1981, p. 161-171.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Council Directives 82/242/EEC and 82/243/EEC, (OJ, No L 109, 22.4.1982, p. 1), amending CouncilDirectives 73/404/EEC and 73/405/EEC on biodegradability of detergents, (OJ L 347, 17.12.1973, p.51).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Streuli, H., Fehlerhafte Interpretation und Anwendung von Ausreßertests, insbesondere bei Ringversuchenzur Oberprüfung analytisch-chemischer Untersuchungsmethoden, Fresenius-Zeitschrift fürAnalytische Chemie, 303 (1980), p. 406-408.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drugi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38950" cy="4791075"/>
            <wp:effectExtent l="0" t="0" r="0" b="9525"/>
            <wp:docPr id="93" name="Picture 93" descr="C:\Program Files (x86)\ParagrafLex\browser\Files\Old\t\t2013_12\t12_0570_s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Program Files (x86)\ParagrafLex\browser\Files\Old\t\t2013_12\t12_0570_s101.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38950" cy="4791075"/>
                    </a:xfrm>
                    <a:prstGeom prst="rect">
                      <a:avLst/>
                    </a:prstGeom>
                    <a:noFill/>
                    <a:ln>
                      <a:noFill/>
                    </a:ln>
                  </pic:spPr>
                </pic:pic>
              </a:graphicData>
            </a:graphic>
          </wp:inline>
        </w:drawing>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841"/>
        <w:gridCol w:w="5271"/>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 spremnik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 - pumpa za recirkulaciju mulja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 pumpa za doziranje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 - kolektor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 - aerator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 - difuzer vazduha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 taložnik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 - merač protoka vazduha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38950" cy="5572125"/>
            <wp:effectExtent l="0" t="0" r="0" b="9525"/>
            <wp:docPr id="92" name="Picture 92" descr="C:\Program Files (x86)\ParagrafLex\browser\Files\Old\t\t2013_12\t12_0570_s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Program Files (x86)\ParagrafLex\browser\Files\Old\t\t2013_12\t12_0570_s10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38950" cy="55721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treći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 Oprema koja se koristi za procenu biorazgradljivosti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875"/>
        <w:gridCol w:w="2237"/>
      </w:tblGrid>
      <w:tr w:rsidR="00984859" w:rsidRPr="00984859" w:rsidTr="00984859">
        <w:trPr>
          <w:tblCellSpacing w:w="0" w:type="dxa"/>
        </w:trPr>
        <w:tc>
          <w:tcPr>
            <w:tcW w:w="240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4343400" cy="4162425"/>
                  <wp:effectExtent l="0" t="0" r="0" b="9525"/>
                  <wp:docPr id="91" name="Picture 91" descr="C:\Program Files (x86)\ParagrafLex\browser\Files\Old\t\t2013_12\t12_0570_s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Program Files (x86)\ParagrafLex\browser\Files\Old\t\t2013_12\t12_0570_s10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43400" cy="4162425"/>
                          </a:xfrm>
                          <a:prstGeom prst="rect">
                            <a:avLst/>
                          </a:prstGeom>
                          <a:noFill/>
                          <a:ln>
                            <a:noFill/>
                          </a:ln>
                        </pic:spPr>
                      </pic:pic>
                    </a:graphicData>
                  </a:graphic>
                </wp:inline>
              </w:drawing>
            </w:r>
          </w:p>
        </w:tc>
        <w:tc>
          <w:tcPr>
            <w:tcW w:w="260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 spremnik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 pumpa za doziranje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 - porozna posuda za aeraciju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 - spoljni nepropustljivi ventil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 - kolektor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 - difuzer vazduha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 - rotometar (opciono)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2. Shema trolitarske porozne posude za aeraciju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unutrašnji dijametar posude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696075" cy="5391150"/>
            <wp:effectExtent l="0" t="0" r="9525" b="0"/>
            <wp:docPr id="90" name="Picture 90" descr="C:\Program Files (x86)\ParagrafLex\browser\Files\Old\t\t2013_12\t12_0570_s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Program Files (x86)\ParagrafLex\browser\Files\Old\t\t2013_12\t12_0570_s104.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96075" cy="53911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četvrti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USLOVI U ISPITIVANJU SIMULACIJE AKTIVNOG MULJA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30" w:type="dxa"/>
          <w:left w:w="30" w:type="dxa"/>
          <w:bottom w:w="30" w:type="dxa"/>
          <w:right w:w="30" w:type="dxa"/>
        </w:tblCellMar>
        <w:tblLook w:val="04A0" w:firstRow="1" w:lastRow="0" w:firstColumn="1" w:lastColumn="0" w:noHBand="0" w:noVBand="1"/>
      </w:tblPr>
      <w:tblGrid>
        <w:gridCol w:w="7770"/>
        <w:gridCol w:w="823"/>
        <w:gridCol w:w="549"/>
      </w:tblGrid>
      <w:tr w:rsidR="00984859" w:rsidRPr="00984859" w:rsidTr="00984859">
        <w:trPr>
          <w:tblCellSpacing w:w="0" w:type="dxa"/>
        </w:trPr>
        <w:tc>
          <w:tcPr>
            <w:tcW w:w="42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Upisati za svaku grupu </w:t>
            </w:r>
          </w:p>
        </w:tc>
        <w:tc>
          <w:tcPr>
            <w:tcW w:w="4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30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Oprema - vrsta sistema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OECD potvrdno ispitivanje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"porozna posuda"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Način izvođenja ispitivanja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pojedinačni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spojeni sistemi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ne-spojeni sistemi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Transinokulacija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aktivni mulj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supernatant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Srednje retenciono vreme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sata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sati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Otpadna voda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komunalna otpadna voda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sintetička otpadna voda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Inokulum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sekundarni efluent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kompozit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aktivni mulj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Uvođenje ispitivane supstance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ispitivanja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postepeno uvođenje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stabilizacije aktivnog mulja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Analize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specifične analize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određivanje HPK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određivanje DOC </w:t>
            </w:r>
          </w:p>
        </w:tc>
        <w:tc>
          <w:tcPr>
            <w:tcW w:w="0" w:type="auto"/>
            <w:tcBorders>
              <w:top w:val="outset" w:sz="6" w:space="0" w:color="000000"/>
              <w:left w:val="outset" w:sz="6" w:space="0" w:color="000000"/>
              <w:bottom w:val="outset" w:sz="6" w:space="0" w:color="000000"/>
              <w:right w:val="outset" w:sz="6" w:space="0" w:color="000000"/>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C.11. BIORAZGRADNJA - ISPITIVANJE INHIBICIJE RESPIRACIJE AKTIVNOG MULJA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procenjuje se efekat ispitivane supstance (pri različitim koncentracijama) na mikroorganizme merenjem brzine respiracije u unapred definisanim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metode je da se omogući brz skrining test kojim se identifikuju supstance koje mogu da imaju negativan uticaj na postrojenja za aerobno mikrobiološko prečišćavanje otpadnih voda i da se predlože smernice za izbor koncentracija ispitivane supstance za potrebe ispitivanja biorazgradljivosti.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Preliminarna studija može da se radi pre definitivnog ispitivanja. Ova studija daje podatke o opsegu koncentracija koje se koriste u definitivnom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postupak ispitivanja uključene su dve kontrole bez ispitivane supstance: jedna koja se postavlja na početku i druga na kraju, tj. nakon postavke svih serija koncentracija ispitivane supstance. Svaka kultura aktivnog mulja treba da se proveri ispitivanjem sa referentnom supstancom.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najlakše primenjuje na supstance koje, zbog svoje rastvorljivosti u vodi i niske isparljivosti, obrazuju stabilne vodene rastvore.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supstance koje su slabo rastvorljive u medijumu koji se koristi za potrebe ovog ispitivanja nije uvek moguće odrediti vrednost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Rezultati koji se zasnivaju na potrošnji kiseonika mogu dovesti do pogrešnih zaključaka u slučaju kad ispitivana supstanca može da zaustavi oksidativnu fosforilaciju.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izvođenje ispitivanja poželjno je imati sledeće podatke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napon pare;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strukturna formula;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stepen čistoće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Preporuka: Aktivni mulj može da sadrži potencijalno patogene organizme, pa je pri radu sa aktivnim muljem potreban oprez.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Brzina respiracije jeste potrošnja kiseonika mikroorganizama aktivnog mulja, koja se izražava kao mg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 mg mulja po satu.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izračunavanje inhibitornog efekta ispitivane supstance pri određenoj koncentraciji, brzina respiracije izražava se kao procenat srednje vrednosti brzine respiracije u dve kontrole: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15"/>
        <w:gridCol w:w="202"/>
        <w:gridCol w:w="659"/>
        <w:gridCol w:w="270"/>
        <w:gridCol w:w="7766"/>
      </w:tblGrid>
      <w:tr w:rsidR="00984859" w:rsidRPr="00984859" w:rsidTr="00984859">
        <w:trPr>
          <w:tblCellSpacing w:w="0" w:type="dxa"/>
        </w:trPr>
        <w:tc>
          <w:tcPr>
            <w:tcW w:w="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104775" cy="657225"/>
                  <wp:effectExtent l="0" t="0" r="9525" b="9525"/>
                  <wp:docPr id="89" name="Picture 89" descr="C:\Program Files (x86)\ParagrafLex\browser\Files\Old\t\t2013_12\t12_0570_s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Program Files (x86)\ParagrafLex\browser\Files\Old\t\t2013_12\t12_0570_s08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657225"/>
                          </a:xfrm>
                          <a:prstGeom prst="rect">
                            <a:avLst/>
                          </a:prstGeom>
                          <a:noFill/>
                          <a:ln>
                            <a:noFill/>
                          </a:ln>
                        </pic:spPr>
                      </pic:pic>
                    </a:graphicData>
                  </a:graphic>
                </wp:inline>
              </w:drawing>
            </w:r>
          </w:p>
        </w:tc>
        <w:tc>
          <w:tcPr>
            <w:tcW w:w="1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w:t>
            </w:r>
          </w:p>
        </w:tc>
        <w:tc>
          <w:tcPr>
            <w:tcW w:w="40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0" w:type="pct"/>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r>
              <w:rPr>
                <w:rFonts w:ascii="Times New Roman" w:eastAsia="Times New Roman" w:hAnsi="Times New Roman" w:cs="Times New Roman"/>
                <w:noProof/>
                <w:sz w:val="24"/>
                <w:szCs w:val="24"/>
                <w:lang w:val="en-US"/>
              </w:rPr>
              <w:drawing>
                <wp:inline distT="0" distB="0" distL="0" distR="0">
                  <wp:extent cx="142875" cy="638175"/>
                  <wp:effectExtent l="0" t="0" r="9525" b="9525"/>
                  <wp:docPr id="88" name="Picture 88" descr="C:\Program Files (x86)\ParagrafLex\browser\Files\Old\t\t2013_12\t12_0570_s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Program Files (x86)\ParagrafLex\browser\Files\Old\t\t2013_12\t12_0570_s089.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638175"/>
                          </a:xfrm>
                          <a:prstGeom prst="rect">
                            <a:avLst/>
                          </a:prstGeom>
                          <a:noFill/>
                          <a:ln>
                            <a:noFill/>
                          </a:ln>
                        </pic:spPr>
                      </pic:pic>
                    </a:graphicData>
                  </a:graphic>
                </wp:inline>
              </w:drawing>
            </w:r>
          </w:p>
        </w:tc>
        <w:tc>
          <w:tcPr>
            <w:tcW w:w="43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 % inhibicije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2R</w:t>
            </w:r>
            <w:r w:rsidRPr="00984859">
              <w:rPr>
                <w:rFonts w:ascii="Arial" w:eastAsia="Times New Roman" w:hAnsi="Arial" w:cs="Arial"/>
                <w:sz w:val="15"/>
                <w:szCs w:val="15"/>
                <w:vertAlign w:val="subscript"/>
                <w:lang w:eastAsia="sr-Latn-RS"/>
              </w:rPr>
              <w:t>c</w:t>
            </w: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c1</w:t>
            </w:r>
            <w:r w:rsidRPr="00984859">
              <w:rPr>
                <w:rFonts w:ascii="Arial" w:eastAsia="Times New Roman" w:hAnsi="Arial" w:cs="Arial"/>
                <w:lang w:eastAsia="sr-Latn-RS"/>
              </w:rPr>
              <w:t xml:space="preserve"> + R</w:t>
            </w:r>
            <w:r w:rsidRPr="00984859">
              <w:rPr>
                <w:rFonts w:ascii="Arial" w:eastAsia="Times New Roman" w:hAnsi="Arial" w:cs="Arial"/>
                <w:sz w:val="15"/>
                <w:szCs w:val="15"/>
                <w:vertAlign w:val="subscript"/>
                <w:lang w:eastAsia="sr-Latn-RS"/>
              </w:rPr>
              <w:t>c2</w:t>
            </w: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jeste brzina potrošnje kiseonika pri datoj koncentraciji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c1</w:t>
      </w:r>
      <w:r w:rsidRPr="00984859">
        <w:rPr>
          <w:rFonts w:ascii="Arial" w:eastAsia="Times New Roman" w:hAnsi="Arial" w:cs="Arial"/>
          <w:lang w:eastAsia="sr-Latn-RS"/>
        </w:rPr>
        <w:t xml:space="preserve"> jeste brzina potrošnje kiseonika u kontroli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c2</w:t>
      </w:r>
      <w:r w:rsidRPr="00984859">
        <w:rPr>
          <w:rFonts w:ascii="Arial" w:eastAsia="Times New Roman" w:hAnsi="Arial" w:cs="Arial"/>
          <w:lang w:eastAsia="sr-Latn-RS"/>
        </w:rPr>
        <w:t xml:space="preserve"> jeste brzina potrošnje kiseonika u kontroli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ovoj metodi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jeste koncentracija ispitivane supstance pri kojoj brzina respiracije iznosi 50% u odnosu na brzine respiracije u kontroli pod uslovima definisanim za ovu metodu.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Kao referentna supstanca preporučuje se 3,5-dihlorofenol, supstanca koja je poznata kao inhibitor respiracije. Za proveru osetljivosti odrediti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 za ovu supstancu za svaku kulturu aktivnog mulja.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Brzina respiracije aktivnog mulja pomešanog sa standardnom količinom sintetičke otpadne vode meri se nakon kontakta od 30 minuta, tri sata ili u oba vremena. Brzina respiracije istog aktivnog mulja meri se nakon izlaganja različitim koncentracijama ispitivane supstance u identičnim uslovima. Inhibitorni efekat ispitivane supstance pri određenoj koncentraciji </w:t>
      </w:r>
      <w:r w:rsidRPr="00984859">
        <w:rPr>
          <w:rFonts w:ascii="Arial" w:eastAsia="Times New Roman" w:hAnsi="Arial" w:cs="Arial"/>
          <w:lang w:eastAsia="sr-Latn-RS"/>
        </w:rPr>
        <w:lastRenderedPageBreak/>
        <w:t>izražava se kao procenat srednje vrednosti brzine respiracije u odnosu na dve kontrole. Vrednost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izračunava se iz rezultata za seriju koncentracija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ispitivanja su validni ako: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vrednosti brzine respiracije u kontroli se razlikuju manje od 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 xml:space="preserve">(30 minuta, odnosno 3 sata) za 3,5-dihlorofenol se nalazi unutar prihvaćenog opsega od 5 do 30 mg/l.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Reagensi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1.6.1.1. Ispitivani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ispitivanja pripreme se sveži rastvori ispitivane supstance iz osnovnog rastvora. Osnovni rastvor ispitivane supstance od 0,5 g/l je odgovarajući ukoliko se ispitivanja izvode prema uputstvima datim u ovoj metodi.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1.6.1.2. Rastvor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Rastvor 3,5-dihlorofenola može se pripremiti, tako što se, npr. rastvori 0,5 g 3,5-dihlorofenola u 10 ml 1M NaOH, dopuni do otprilike 30 ml sa destiliovanom vodom, doda uz mešanje 0,5M 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sve dok se dođe do precipitacije - potrebno oko 8 ml 0,5M 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i na kraju dopuni do jednog L sa destilovanom vodom. Vrednost pH treba da bude između 7 i 8.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1.6.1.3. Sintetičke otpadne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Sintetička otpadna voda se priprema rastvaranjem sledećih količina supstanci u 1 L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- 16 g peptona;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- 11 g mesnog ekstrakta;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- 3 g uree;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- 0,7 g NaCl;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- 0,4 g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Í2H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- 0,2 g 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Í7H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- 2,8 g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Napomena 1: Ova sintetička otpadna voda je 100 puta koncentrovanija od otpadne vode opisane u literaturi</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uz dodatak dikalijum hidrogen fosfata.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2: Ako se pripremljeni medijum ne koristi odmah, čuva se u mraku na na temperaturi od 0° C do 4° C, ne duže od jedne sedmice u uslovima koji obezbeđuju njegovu stabilnost. Medijum se pre skladištenja može i sterilizovati, ili se pepton i mesni ekstrakt </w:t>
      </w:r>
      <w:r w:rsidRPr="00984859">
        <w:rPr>
          <w:rFonts w:ascii="Arial" w:eastAsia="Times New Roman" w:hAnsi="Arial" w:cs="Arial"/>
          <w:lang w:eastAsia="sr-Latn-RS"/>
        </w:rPr>
        <w:lastRenderedPageBreak/>
        <w:t xml:space="preserve">mogu dodati neposredno pre izvođenja ispitivanja. Pre upotrebe, medijum se temeljno promeša i prilagodi vrednost pH.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za merenje: precizna postavka ispitivanja nije od presudne važnosti. Treba da postoji dovoljan slobodan prostor pri vrhu posude (headspace) i sonda čvrsto da prijanja uz vrat posude za 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Potrebna je uobičajena laboratorijska oprema, a naročito: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aparatura za 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aerator;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pH-elektroda i oprema za 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-elektroda.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Priprema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Aktivni mulj iz postrojenja za obradu dominantno komunalnih otpadnih voda koristi se kao mikrobiološki inokulum za potrebe ovog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je potrebno, po povratku u laboratoriju, grube čestice se mogu ukloniti kratkotrajnim taloženjem, npr. 15 minuta, a zatim se dekantuje gornji sloj sa sitnijim česticama i koristi se za potrebe ispitivanja. Mulj se može promešati mikserom u trajanju od nekoliko sekundi.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Postoji sumnja da je prisutan materijal koji deluje inhibitorno, te se aktivni mulj ispere vodom iz česme ili izotoničnim rastvorom. Nakon centrifugiranja, supernatant se dekantuje (ovaj postupak se ponavlja tri puta).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Mala količina mulja se izmeri i osuši. Iz ovog rezultata može se izračunati količina vlažnog mulja koji je suspendovan u vodi da bi se dobio aktivni mulj sa koncentracijom čvrstih suspendovanih materija u opsegu od 2 g/l do 4 g/l. Ovaj nivo odgovara koncentraciji između 0,8 g/l i 1,6 g/l u medijumu ukoliko se ispitivanje izvodi prema smernicama.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mulj ne može upotrebiti istog dana, dodaje se 50 ml sintetičke otpadne vode u svaki litar aktivnog mulja pripremljenog na prethodno opisan način. Zatim se aktivni mulj aeriše preko noći na temperaturi od 20° C ± 2° C i aeriše se sve do ispitivanja. Pre izvođenja ispitivanja, proverava se pH vrednost i ukoliko je potrebno, podešava na 6 do 8 pH jedinica. Koncentracija suspendovanih čvrstih čestica u tečnoj smeši određuje se na način opisan u prethodnom paragrafu.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koristi ista kultura aktivnog mulja za ispitivanja narednih dana (maksimalno četiri dana), dodati na 50 ml sintetičke otpadne vode po litru aktivnog mulja na kraju dana.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Izvođenje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Trajanje/kontaktno vreme: 30 minuta, odnosno 3 sata (neprekidna aeracija)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Voda: voda za piće (dehlorisana po potrebi)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Snabdevanje vazduhom: čist vazduh bez masnoća, dotok 0,5 L/min do 1 L/min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Aparatura za merenje: boce sa ravnim dnom, poput boca za određivanje BPK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Oksimetar: odgovarajuća elektroda za kiseonik, sa pisačem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 nutrijenata: sintetička otpadna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sveže pripremljen rastvor supstance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Referentna supstanca: npr. 3,5-dihlorofenol (ispituju se najmanje tri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Kontrole: inokuliran uzorak bez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20° C ± 2°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supstance i referentne supstance, u trajanju od 3 sata, predlaže se sledeći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koristi se nekoliko posuda (npr. jednolitarske posude);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ispituje se najmanje pet koncentracija ispitivane supstance, u geometrijskoj seriji sa faktorom povećanja 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u nultom vremenu (t</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16 ml sintentičke otpadne vode rastvori se sa vodom do 300 ml, doda se 200 ml mikrobiološkog inokuluma i dobijena smeša (500 ml) se presipa u prvu posudu (prva kontrola,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posude se neprekidno aerišu da bi se obezbedila koncentracija rastvorenog kiseonika iznad 2,5 mg/l i da bi neposredno pre merenja brzine respiracije, koncentracija rastvorenog kiseonika bila 6,5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u vremenu t</w:t>
      </w:r>
      <w:r w:rsidRPr="00984859">
        <w:rPr>
          <w:rFonts w:ascii="Arial" w:eastAsia="Times New Roman" w:hAnsi="Arial" w:cs="Arial"/>
          <w:sz w:val="15"/>
          <w:szCs w:val="15"/>
          <w:vertAlign w:val="subscript"/>
          <w:lang w:eastAsia="sr-Latn-RS"/>
        </w:rPr>
        <w:t>15</w:t>
      </w:r>
      <w:r w:rsidRPr="00984859">
        <w:rPr>
          <w:rFonts w:ascii="Arial" w:eastAsia="Times New Roman" w:hAnsi="Arial" w:cs="Arial"/>
          <w:lang w:eastAsia="sr-Latn-RS"/>
        </w:rPr>
        <w:t xml:space="preserve"> (15 minuta je arbitrarni, ali pogodan interval) ponovi se opisani postupak, s tim da se u 16 ml sintetičke otpadne vode doda 100 ml osnovnog rastvora ispitivane supstance, dopuni sa vodom do 300 ml i potom doda mikrobiološki inokulum do konačne zapremine od 500 ml. Dobijena smeša se presipa u drugu posudu i aeriše na isti način. Postupak se ponavlja svakih 15 minuta sa različitim zapreminama osnovnog rastvora ispitivane supstance, kako bi se dobio set posuda koje sadrže različite koncentracije ispitivane supstance. Na kraju se priprema druga kontrola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nakon tri sata beleži se pH vrednost, a dobro promešani sadržaj iz prve posude presipa se u uređaj za merenje brzine respiracije u toku najviše 10 minuta;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merenje se ponavlja sa sadržajem svake posude u intervalima od 15 minuta, kako bi vreme kontakta u svakoj posudi iznosilo 3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referentna supstanca se na isti način ispituje na svakoj šarži mikrobiološkog inokuluma;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primenjuje se drugačiji režim (npr. više od jednog oksimetra) u slučaju da se merenja vrše nakon 30 minuta;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ako se meri hemijska potrošnja kiseonika, neophodno je pripremiti dodatne posude koje sadrže ispitivanu supstancu, sintetičke otpadne vode i običnu vodu, ali ne i aktivni mulj. Potrošnja kiseonika meri se i beleži nakon aeracije, tj. kontaktnog vremena.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Brzina respiracije izračunava se sa krive između otprilike 6,5 mg/l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2,5 mg/l 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ili u toku desetominutnog perioda kad je brzina respiracije niska. Deo krive respiracije iz koje se meri brzina respiracije da bude linearan.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vrednosti brzina respiracije u dve kontrole razlikuju za više od 15% ili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(30 minuta, odnosno tri sata) za referentnu supstancu nije u okviru prihvaćenog opsega (5 mg/l do 30 mg/l za 3,5-dihlorofenol), ispitivanje nije validno i potrebno ga je ponoviti.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inhibicije izračunava se za svaku koncentraciju ispitivane supstance (videti odeljak 1.2. ove metode). Vrednosti procenta inhibicije za svaku koncentraciju ispitivane supstance predstavljaju se grafički u funkciji koncentracija na logaritmaskom (ili log-probit) papiru i očitava se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Intervali poverenja od 95% za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mogu se odrediti pomoću standardnih postupaka.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hemijskoj identifikaciji;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Sistemu: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predobrada aktivnog mulja (ako je rađena);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smeše pre merenja respiracije;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referentna supstanca i izračunata vrednost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abiotička potrošnja kiseonika (ukoliko postoji);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svi rezultati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kriva inhibicije i postupak za izračunavanje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ako je moguće, 95% intervali poverenja,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i EC</w:t>
      </w:r>
      <w:r w:rsidRPr="00984859">
        <w:rPr>
          <w:rFonts w:ascii="Arial" w:eastAsia="Times New Roman" w:hAnsi="Arial" w:cs="Arial"/>
          <w:sz w:val="15"/>
          <w:szCs w:val="15"/>
          <w:vertAlign w:val="subscript"/>
          <w:lang w:eastAsia="sr-Latn-RS"/>
        </w:rPr>
        <w:t>80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 opažanja i moguća odstupanja od ove metode ispitivanja koja mogu da utiču na rezultat.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 se smatra samo pokazateljem potencijalnog negativnog delovanja ispitivane supstance na proces obrade otpadne vode aktivnim muljem ili na mikroorganizme iz otpadne vode, s obzirom na to da se složene interakcije koje se događaju u životnoj sredini ne mogu verno simulirati u laboratorijskim uslovima. Rezultati ispitivanja sa supstancom koja može imati inhibitorni efekat na proces oksidacije amonijaka mogu dati atipične krive inhibicije. Stoga se ovi rezultati i ovakve krive tumače sa oprezom.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International Standard ISO 8192-1986.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Broecker, B., Zahn, R., Water Research 11,1977, p. 165.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Brown, D., Hitz, H. R., Schaefer, L., Chemosphere 10, 1981, p. 245.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ETAD (ECOlogical and Tox.icological Association of Dyestuffs Manufacturing Industries), Recommended Method No 103, also described by: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Robra, B., Wasserl Abwasser 117, 1976, p. 80.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Schefer, W., Textilveredlung 6,1977, p. 247.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OECD, Paris, 1981, Test Guideline 209, Decision of the Council C(84) 30 final.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OECD, June 11, 1976, Technical Report, 'Proposed method for the determination of the biodegradability of surfactants used in synthetic detergents'.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C.12. BIORAZGRADNJA - MODIFIKOVANA SCAS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ove metode je procena mogućnosti potpune biorazgradljivosti neisparljivih, organskih materija dobro rastvorljivih u vodi, ako su izložene relativno visokim koncentracijama mikroorganizama u toku dužeg vremenskog perioda. Životna aktivnost mikroorganizama održava se u toku tog perioda svakodnevnim dodavanjem taloga komunalne otpadne vode za prehranu. (Tokom vikenda, otpadna voda može se čuvati na temperaturi od 4° C. Može se koristiti i sintetička otpadna voda OECD potvrdnog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Prilikom tumačenja rezultata uzeti u obzir mogućnost fizičko-hemijske adsorpcije na suspendovane materije (videti odeljak 3.2.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Zbog dugog vremena zadržavanja tečne faze (36 sati) i diskontinualnog dodavanja nutrijenata, metoda ne simulira uslove kakvi postoje u postrojenju za prečišćavanje otpadnih voda. Rezultati ispitivanja sa različitim supstancama pokazuju da ova metoda ima veliki potencijal biorazgradljivosti.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Uslovi u ovom ispitivanju izrazito su povoljni za izbor, odnosno adaptaciju mikroorganizama sposobnih da razgrade ispitivano jedinjenje. (Postupak se može koristiti i za proizvodnju aklimatizovanih inokuluma za korišćenje u drugim ispitivanjima.)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Pomoću ove metode, potpuna biorazgradljivost ispitivanih supstanci procenjuje se na osnovu izmerene koncentracije rastvorenog organskog ugljenika. DOC je bolje odrediti nakon zakiseljavanja i čišćenja nego ga izračunati kao razliku C ukupni - C anorganski.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Istovremeno korišćenje specifičnog analitičkog postupka može da omogući procenu primarne biorazgradljivosti supstanci (nestanak početne hemijske strukture).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Postupak se može primeniti samo na organske supstance koje su, u koncentraciji primenjenoj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rastvorljive u vodi (najmanje 20 mg/lDOC);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imaju zanemarljiv napon para;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nemaju inhibitorni efekat na bakterije;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 adsorbuju se u značajnoj meri unutar test sistema;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 gube se stvaranjem pene iz test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utvrditi sadržaj organskog ugljenika u ispitivanom materijalu.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o relativnom udelu glavnih sastojaka ispitivanog materijala korisni su pri tumačenju dobijenih rezultata, posebno u slučajevima kad su dobijene vrednosti niske ili granične.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o toksičnosti supstanci za mikroorganizme mogu biti korisni u tumačenju niskih vrednost i izboru odgovarajuće ispitivane koncentracije.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JEDINICE MERE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jeste koncentracija ispitivane supstance izražena kao organski ugljenik prisutan u ili dodat talogu otpadne vode na početku perioda aeracije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jeste koncentracija rastvorenog organskog ugljenika u tečnom supernatantu iz ispitivane grupe na kraju perioda aeracije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c </w:t>
      </w:r>
      <w:r w:rsidRPr="00984859">
        <w:rPr>
          <w:rFonts w:ascii="Arial" w:eastAsia="Times New Roman" w:hAnsi="Arial" w:cs="Arial"/>
          <w:lang w:eastAsia="sr-Latn-RS"/>
        </w:rPr>
        <w:t xml:space="preserve">jeste koncentracija rastvorenog organskog ugljenika u tečnom supernatantu iz kontrole na kraju perioda aeracije (mg/l).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ovoj metodi biorazgradljivost jeste nestanak organskog ugljenika. Biorazgradljivot se može izraziti kao: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razgradnje one količine supstance koja se svakodnevno dodaje - D</w:t>
      </w:r>
      <w:r w:rsidRPr="00984859">
        <w:rPr>
          <w:rFonts w:ascii="Arial" w:eastAsia="Times New Roman" w:hAnsi="Arial" w:cs="Arial"/>
          <w:sz w:val="15"/>
          <w:szCs w:val="15"/>
          <w:vertAlign w:val="subscript"/>
          <w:lang w:eastAsia="sr-Latn-RS"/>
        </w:rPr>
        <w:t>da</w:t>
      </w:r>
      <w:r w:rsidRPr="00984859">
        <w:rPr>
          <w:rFonts w:ascii="Arial" w:eastAsia="Times New Roman" w:hAnsi="Arial" w:cs="Arial"/>
          <w:lang w:eastAsia="sr-Latn-RS"/>
        </w:rPr>
        <w:t xml:space="preserve"> (degradation/daily addition) računa se prema formuli: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6"/>
        <w:gridCol w:w="1002"/>
        <w:gridCol w:w="7654"/>
      </w:tblGrid>
      <w:tr w:rsidR="00984859" w:rsidRPr="00984859" w:rsidTr="00984859">
        <w:trPr>
          <w:tblCellSpacing w:w="0" w:type="dxa"/>
        </w:trPr>
        <w:tc>
          <w:tcPr>
            <w:tcW w:w="2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D</w:t>
            </w:r>
            <w:r w:rsidRPr="00984859">
              <w:rPr>
                <w:rFonts w:ascii="Arial" w:eastAsia="Times New Roman" w:hAnsi="Arial" w:cs="Arial"/>
                <w:sz w:val="15"/>
                <w:szCs w:val="15"/>
                <w:vertAlign w:val="subscript"/>
                <w:lang w:eastAsia="sr-Latn-RS"/>
              </w:rPr>
              <w:t>da</w:t>
            </w:r>
            <w:r w:rsidRPr="00984859">
              <w:rPr>
                <w:rFonts w:ascii="Arial" w:eastAsia="Times New Roman" w:hAnsi="Arial" w:cs="Arial"/>
                <w:lang w:eastAsia="sr-Latn-RS"/>
              </w:rPr>
              <w:t xml:space="preserve"> = </w:t>
            </w:r>
          </w:p>
        </w:tc>
        <w:tc>
          <w:tcPr>
            <w:tcW w:w="5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w:t>
            </w:r>
          </w:p>
        </w:tc>
        <w:tc>
          <w:tcPr>
            <w:tcW w:w="4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razgradnje one količine supstance koja je prisutna na početku svakog dana -D</w:t>
      </w:r>
      <w:r w:rsidRPr="00984859">
        <w:rPr>
          <w:rFonts w:ascii="Arial" w:eastAsia="Times New Roman" w:hAnsi="Arial" w:cs="Arial"/>
          <w:sz w:val="15"/>
          <w:szCs w:val="15"/>
          <w:vertAlign w:val="subscript"/>
          <w:lang w:eastAsia="sr-Latn-RS"/>
        </w:rPr>
        <w:t xml:space="preserve">ssd </w:t>
      </w:r>
      <w:r w:rsidRPr="00984859">
        <w:rPr>
          <w:rFonts w:ascii="Arial" w:eastAsia="Times New Roman" w:hAnsi="Arial" w:cs="Arial"/>
          <w:lang w:eastAsia="sr-Latn-RS"/>
        </w:rPr>
        <w:t xml:space="preserve">(degradation/substance start of day) računa se prema formuli: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40"/>
        <w:gridCol w:w="2728"/>
        <w:gridCol w:w="1281"/>
        <w:gridCol w:w="4563"/>
      </w:tblGrid>
      <w:tr w:rsidR="00984859" w:rsidRPr="00984859" w:rsidTr="00984859">
        <w:trPr>
          <w:tblCellSpacing w:w="0" w:type="dxa"/>
        </w:trPr>
        <w:tc>
          <w:tcPr>
            <w:tcW w:w="2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ssd</w:t>
            </w:r>
            <w:r w:rsidRPr="00984859">
              <w:rPr>
                <w:rFonts w:ascii="Arial" w:eastAsia="Times New Roman" w:hAnsi="Arial" w:cs="Arial"/>
                <w:lang w:eastAsia="sr-Latn-RS"/>
              </w:rPr>
              <w:t xml:space="preserve"> = </w:t>
            </w:r>
          </w:p>
        </w:tc>
        <w:tc>
          <w:tcPr>
            <w:tcW w:w="10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ti</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ci</w:t>
            </w:r>
            <w:r w:rsidRPr="00984859">
              <w:rPr>
                <w:rFonts w:ascii="Arial" w:eastAsia="Times New Roman" w:hAnsi="Arial" w:cs="Arial"/>
                <w:lang w:eastAsia="sr-Latn-RS"/>
              </w:rPr>
              <w:t xml:space="preserve"> - 3C</w:t>
            </w:r>
            <w:r w:rsidRPr="00984859">
              <w:rPr>
                <w:rFonts w:ascii="Arial" w:eastAsia="Times New Roman" w:hAnsi="Arial" w:cs="Arial"/>
                <w:sz w:val="15"/>
                <w:szCs w:val="15"/>
                <w:vertAlign w:val="subscript"/>
                <w:lang w:eastAsia="sr-Latn-RS"/>
              </w:rPr>
              <w:t xml:space="preserve">t(i+1) </w:t>
            </w:r>
            <w:r w:rsidRPr="00984859">
              <w:rPr>
                <w:rFonts w:ascii="Arial" w:eastAsia="Times New Roman" w:hAnsi="Arial" w:cs="Arial"/>
                <w:lang w:eastAsia="sr-Latn-RS"/>
              </w:rPr>
              <w:t>+ 3C</w:t>
            </w:r>
            <w:r w:rsidRPr="00984859">
              <w:rPr>
                <w:rFonts w:ascii="Arial" w:eastAsia="Times New Roman" w:hAnsi="Arial" w:cs="Arial"/>
                <w:sz w:val="15"/>
                <w:szCs w:val="15"/>
                <w:vertAlign w:val="subscript"/>
                <w:lang w:eastAsia="sr-Latn-RS"/>
              </w:rPr>
              <w:t>c(i+1)</w:t>
            </w:r>
          </w:p>
        </w:tc>
        <w:tc>
          <w:tcPr>
            <w:tcW w:w="9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c>
          <w:tcPr>
            <w:tcW w:w="27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ti</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ci</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2(a)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5"/>
        <w:gridCol w:w="1640"/>
        <w:gridCol w:w="2005"/>
        <w:gridCol w:w="5012"/>
      </w:tblGrid>
      <w:tr w:rsidR="00984859" w:rsidRPr="00984859" w:rsidTr="00984859">
        <w:trPr>
          <w:tblCellSpacing w:w="0" w:type="dxa"/>
        </w:trPr>
        <w:tc>
          <w:tcPr>
            <w:tcW w:w="250" w:type="pct"/>
            <w:vMerge w:val="restart"/>
            <w:vAlign w:val="center"/>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Symbol" w:eastAsia="Times New Roman" w:hAnsi="Symbol" w:cs="Arial"/>
                <w:lang w:eastAsia="sr-Latn-RS"/>
              </w:rPr>
              <w:t></w:t>
            </w:r>
          </w:p>
        </w:tc>
        <w:tc>
          <w:tcPr>
            <w:tcW w:w="9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- 2(C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w:t>
            </w:r>
          </w:p>
        </w:tc>
        <w:tc>
          <w:tcPr>
            <w:tcW w:w="11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c>
          <w:tcPr>
            <w:tcW w:w="27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c)</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2(b)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Pokazatelji </w:t>
      </w:r>
      <w:r w:rsidRPr="00984859">
        <w:rPr>
          <w:rFonts w:ascii="Arial" w:eastAsia="Times New Roman" w:hAnsi="Arial" w:cs="Arial"/>
          <w:i/>
          <w:iCs/>
          <w:lang w:eastAsia="sr-Latn-RS"/>
        </w:rPr>
        <w:t>i</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i</w:t>
      </w:r>
      <w:r w:rsidRPr="00984859">
        <w:rPr>
          <w:rFonts w:ascii="Arial" w:eastAsia="Times New Roman" w:hAnsi="Arial" w:cs="Arial"/>
          <w:lang w:eastAsia="sr-Latn-RS"/>
        </w:rPr>
        <w:t xml:space="preserve"> + 1) odnose se na dan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Jednačina 2(a) preporučuje se ako DOC u izlaznoj vodi (efluentu) varira svakodnevno, dok se jednačina 2(b) može koristiti kad DOC izlazne vode ima relativno stalne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mogu biti od koristi kada se ispituje nova supstanca. Za ovu metodu nije preporučena neka određena referentna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o nekoliko jedinjenja procenjenih u međulaboratorijskom ispitivanju (ringtest) ponuđeni su (videti Deo drugi ove metode) u cilju povremene kalibracije postupka i da se omogući poređenje rezultata dobijenih nekim drugim postupkom.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NAČELO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Aktivni mulj iz postrojenja za obradu otpadnih voda stavlja se u jedinicu za polukontinualnu obradu aktivnog mulja (u daljem tekstu: SCAS). Dodaju se ispitivana supstanca i talog komunalne otpadne vode. Ova mešavina se aeriše u toku 23 sata. Aeracija se nakon toga prekida, mešavina se ostavlja da se istaloži mulj, a tečni suprenatant se ukloni.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Preostali talog se meša sa narednom količinom ispitivanog jedinjenja i otpadne vode u aeracionoj komori i postupak se ponavlja na isti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Biorazgradljivost se utvrđuje određivanjem količine rastvorenog organskog ugljenika u tečnom supernatantu. Ova vrednost se poredi sa vrednošću izmerenom u tečnoj fazi iz kontrole, u koju je dodat samo talog otpadne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koristi specifični analitički postupak, mogu se meriti promene u koncentraciji izvornog molekula izazvane biorazgradnjom (primarna biorazgradnja).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Ponovljivost metode koja se bazira na uklanjanju rastvorenog organskog ugljenika nije utvrđena (kad se uzme u obzir primarna biorazgradljivost, dobiju se precizni podaci za materijale koji se dobro razgrađuju).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Osetljivost postupka zavisi od varijabilnosti slepe probe i u manjoj meri od preciznosti određivanja rastvorenog organskog ugljenika i koncentraciji test jedinjenja u tečnoj fazi na početku svakog ciklusa.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Priprema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Potreban je dovoljan broj čistih jedinica za aeraciju, alternativno se može koristiti originalna SCAS test jedinica zapremine 1,5 L i cevi za dovod vazduha (Slika 1) za svaku test supstancu i kontrole. Komprimovani vazduh pročišćen kroz vatu koji se dovodi u test jedinice ne sme da sadrži organski ugljenik i prethodno da bude zasićen vodom da se smanje gubici isparavanjem.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Uzorak tečne mešavine, koja sadrži od 1 g do 4 g suspendovanih materija po litru, dobija se iz postrojenja za obradu aktivnog mulja koje obrađuje pretežno komunalnu otpadnu vodu. Za svaku aeracionu jedinicu potrebno je oko 150 mg tečne mešavine.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rastvori ispitivane supstance pripremaju se u destilovanoj vodi. Najčešće je potrebna koncentracija od 400 mg/l kao organski ugljenik, što daje koncentraciju ispitivane supstance od 20 mg/l ugljenika na početku svakog ciklusa aeracije, ako ne dolazi do biološke razgradnje.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 se koristiti i više koncentracije ako ne uzrokuju toksičan efekat na mikroorganizme.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osnovnom rastvoru meri se sadržaj organskog ugljenika.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izvodi na temperaturi od 20° C do 25°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visoka koncentracija aerobnih mikroorganizama (najviše 1 g/l do 4 g/l suspendovanih materija), a delotvoran period zadržavanja je 36 sati. Materijal koji sadrži ugljenik u najvećoj meri se oksiduje u hranljivoj podlozi od otpadnih voda, obično unutar osam sati nakon početka svakog ciklusa aeracije. Nakon toga, mulj diše endogeno za vreme preostalog perioda aeracije, u toku kojeg je ispitivano jedinjenje jedini raspoloživi supstrat, osim u slučaju da se i ono brzo razgrađuje. Ova svojstva, u kombinaciji sa dnevnom reinokulacijom kad se kao podloga koristi komunalna otpadna voda, obezbeđuju povoljne uslove za aklimatizaciju i za visoki stepen biološke razgradnje.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Uzima se uzorak tečne mešavine iz uređaja laboratorijskog tipa ili pogodnog postrojenja za obradu aktivnog mulja iz pretežno komunalne otpadne vode i čuva u aerobnim uslovima do korišćenja u laboratoriji. Svaka aeraciona jedinica kao i kontrolna jedinica pune se sa po 150 mg tečne mešavine (ako se koristi originalna SCAS test jedinica, ta se zapremina množi sa 10) i započinje se sa aeracijom. Nakon 23 sata, aeracija se prekida i mulj se ostavlja 45 minuta da se istaloži. Naizmenično se otvaraju slavine svake posude i izvlači se po 100 mg tečnog supernatanta. Uzorak istaložene komunalne otpadne vode uzima se neposredno pre upotrebe, a 100 mg se dodaje mulju koji je preostao u svakoj aeracionoj jedinici. Ponovo se započinje sa aeracijom. U ovoj fazi ne dodaje se ispitivani materijal, a u jedinice se svakodnevno dodaje komunalna otpadna voda sve dok se nakon taloženja ne dobije supernatant u obliku bistre tečnosti. Za to je obično potrebno dve nedelje, a do kraja tog perioda rastvoreni organski ugljenik u tečnom supernatantu na kraju svakog aeracionog ciklusa približava se konstantnoj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ovog perioda, pojedini istaloženi muljevi se pomešaju i u svaku jedinicu se doda po 50 mg ovako pripremljenog kompozita.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kontrolne jedinice dodaje se po 95 mg istaložene otpadne vode i 5 mg vode, a u ispitivane jedinice 95 mg istaložene otpadne vode i 5 mg odgovarajućeg osnovnog rastvora ispitivanog jedinjenja (400 mg/l). Ponovo se započinje sa aeracijom koja traje 23 sata. Mulj se zatim ostavi 45 minuta da se slegne, izvuče se supernatant i analizira se sadržaj rastvorenog organskog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Opisani postupak ponavlja se svakodnevno u toku trajanja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taloženja, potrebno je očistiti čestice koje su se nakupile na zidovima jedinica iznad nivoa tečnosti. Za čišćenje svake jedinice koristiti posebnu strugalicu ili četku da se spreči međusobna kontaminacija.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idealnom slučaju, rastvoreni organski ugljenik u tečnom supernatantu određuje se svakog dana, ali analize mogu biti i ređe. Tečnosti se pre analize filtriraju kroz isprane membranske filtere od 0,45 µm ili se centrifugiraju. Odgovarajući membranski filteri su oni koji ne otpuštaju ugljenik niti apsorbuju supstance u toku filtracije. Temperatura uzorka za vreme centrifugiranja ne sme biti veća od 40°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Dužina ispitivanja za jedinjenja koja se slabo ili uopšte biološki ne razgrađuju nije određena, ali na osnovu iskustva, treba da bude najmanje 12, a najviše 26 nedelja.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Vrednosti rastvorenog organskog ugljenika u tečnom supernatantu ispitivanih i kontrolnih jedinica grafički se prikazuju u funkciji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 se postigne biološka razgradnja, nivo te razgradnje u ispitivanim jedinicama približava se nivou razgradnje u kontrolnim jedinicama. Kad se razlika između dva nivoa u tri uzastopna merenja ustali, broj daljih merenja treba da bude dovoljan da omogući statističku obradu podataka i izračunavanje procenata biološke razgradnje (D</w:t>
      </w:r>
      <w:r w:rsidRPr="00984859">
        <w:rPr>
          <w:rFonts w:ascii="Arial" w:eastAsia="Times New Roman" w:hAnsi="Arial" w:cs="Arial"/>
          <w:sz w:val="15"/>
          <w:szCs w:val="15"/>
          <w:vertAlign w:val="subscript"/>
          <w:lang w:eastAsia="sr-Latn-RS"/>
        </w:rPr>
        <w:t>da</w:t>
      </w:r>
      <w:r w:rsidRPr="00984859">
        <w:rPr>
          <w:rFonts w:ascii="Arial" w:eastAsia="Times New Roman" w:hAnsi="Arial" w:cs="Arial"/>
          <w:lang w:eastAsia="sr-Latn-RS"/>
        </w:rPr>
        <w:t xml:space="preserve"> ili D</w:t>
      </w:r>
      <w:r w:rsidRPr="00984859">
        <w:rPr>
          <w:rFonts w:ascii="Arial" w:eastAsia="Times New Roman" w:hAnsi="Arial" w:cs="Arial"/>
          <w:sz w:val="15"/>
          <w:szCs w:val="15"/>
          <w:vertAlign w:val="subscript"/>
          <w:lang w:eastAsia="sr-Latn-RS"/>
        </w:rPr>
        <w:t>ssd</w:t>
      </w:r>
      <w:r w:rsidRPr="00984859">
        <w:rPr>
          <w:rFonts w:ascii="Arial" w:eastAsia="Times New Roman" w:hAnsi="Arial" w:cs="Arial"/>
          <w:lang w:eastAsia="sr-Latn-RS"/>
        </w:rPr>
        <w:t xml:space="preserve">, videti odeljak 1.2.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ako je moguće,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podatke o vrsti otpadne vode, tipu upotrebljene jedinice i rezultatima koji se tiču ispitivane supstance, referentne supstance - ako je korišćena, i slepe probe;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krivu uklanjanja sa opisom, način izračunavanja (videti odeljak 1.2.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i mesto gde su uzeti uzorci aktivnog mulja i otpadne vode, status adaptacije, koncentracija,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naučno utemeljene razloge za moguće izmene ispitivanja postupka;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potpis i datum.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Supstanca koja se ispituje ovom metodom nije biološki lako razgradljiva, te se do uklanjanja DOC izazvanog jedino biološkom razgradnjom dolazi postepeno u toku više dana ili nedelja, osim u slučaju kad naglo nastupi aklimatizacija na šta ukazuje nagli nestanak nakon nekoliko nedelja.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Fizičko-hemijska adsorpcija je nekada važna, što se vidi iz potpunog ili delimičnog uklanjanja dodatog DOC na početku ispitivanja. Ono što se dogodi nakon toga zavisi od faktora kao što je stepen adsorpcije i koncentracija suspendovanih materija u odbačenom efluentu. Obično se početno niska razlika između koncentracije DOC u kontrolnim i ispitivanim tečnim supernatantima postupno povećava i zatim se zadržava na novoj vrednosti do kraja ispitivanja, osim u slučaju aklimatizacije.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biorazgradljivost (ili delimična biorazgradljivost) želi razlikovati od adsorpcije, potrebno je sprovesti dodatna ispitivanja. Najbolje je za ovo koristiti tečni supernatant ili mulj kao inokulum u osnovnom eksperimentu (najbolje je uraditi respirometrijsko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u ovom ispitivanju dobije visok stepen uklanjanja DOC bez adsorpcije, ispitivana supstanca se smatra potencijalno biorazgradljivom. Delimično neadsorptivno uklanjanje ukazuje na delimičnu biorazgradljivost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uklanjanje DOC nisko ili do njega ne dolazi, uzrok može biti inhibitorno dejstvo ispitivane supstance na mikroorganizame. To se može otkriti lizom i gubitkom mulja, što daje zamućen supernatant. Ispitivanje ponoviti pomoću nižih koncentracija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Upotreba posebnog analitičkog postupka ili ispitivane supstance obeležene izotopom ugljenika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 može povećati osetljivost.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koriste ispitivana jedinjenja označena sa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pronalazak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 potvrđuje da je došlo do biorazgradnje.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rezultati prikazuju na osnovu primarne biorazgradnje, dati objašnjenje o promeni hemijske strukture koja dovodi do gubitka odgovora izvorne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Validacija analitičkog postupka daje se zajedno sa odgovorom dobijenim na ispitnoj podlozi koja je služila kao slepa proba.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Paris, 1981, Test Guideline 302 A, Decision of the Council C(81) 30 final.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SCAS METODA ISPITIVANJA: PRIMER REZULTATA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553"/>
        <w:gridCol w:w="871"/>
        <w:gridCol w:w="994"/>
        <w:gridCol w:w="2378"/>
        <w:gridCol w:w="2336"/>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CT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Procenat biorazgradnje - D</w:t>
            </w:r>
            <w:r w:rsidRPr="00984859">
              <w:rPr>
                <w:rFonts w:ascii="Arial" w:eastAsia="Times New Roman" w:hAnsi="Arial" w:cs="Arial"/>
                <w:sz w:val="15"/>
                <w:szCs w:val="15"/>
                <w:vertAlign w:val="subscript"/>
                <w:lang w:eastAsia="sr-Latn-RS"/>
              </w:rPr>
              <w:t>da</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Dužina ispitivanja (broj dana)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4-acetil aminobenzen sulfonat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tetrapropilen benzen sulfonat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4-nitrofenol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95,3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Dietilen glikol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98,8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anilin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ciklopentan tetrakarboksilat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120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PRIMER OPREME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5743575" cy="7534275"/>
            <wp:effectExtent l="0" t="0" r="9525" b="9525"/>
            <wp:docPr id="87" name="Picture 87" descr="C:\Program Files (x86)\ParagrafLex\browser\Files\Old\t\t2013_12\t12_0570_s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Program Files (x86)\ParagrafLex\browser\Files\Old\t\t2013_12\t12_0570_s105.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43575" cy="75342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C.13. BIOKONCENTRACIJA: ISPITIVANJE NA RIBAMA U PROTOČNOM SISTEMU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Metoda se zasniva na Uputstvu za ispitivanje OECD 305 (1996).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Ovom metodom ispitivanja određuje se potencijal biokoncentracije ispitivane supstance u ribama kada se one drže u protočnom sistemu. Iako je protočni sistem najpogodniji, ispitivanje se može izvesti i u polustatičnom sistemu pod uslovom da su zadovoljeni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metodi su date precizne instrukcije za izvođenje ispitivanja, ali se dozvoljavaju modifikacije postupka ispitivanja u zavisnosti od laboratorijskih uslova, odnosno svojstava ispitivane supstanci. Metoda je namenjena za ispitivanje stabilnih organskih supstanci sa vrednostima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između 1,5 i 6,0</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ali se mogu ispitivati i superlipofilne supstance (koje imaju vrednost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&gt; 6,0). Preliminarna procena faktora biokoncentracije (bioconcentration factor, u daljem tekstu: BCF), koji se ponekad označava sa K</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za takve superlipofilne supstance je veća od vrednosti faktora biokoncentracije u ravnotežnom do kojih se dolazi izvođenjem laboratorijskih ispitivanja. Preliminarne procene stanju (steady-state bioconcentration factor, u daljem tekstu: BCF</w:t>
      </w:r>
      <w:r w:rsidRPr="00984859">
        <w:rPr>
          <w:rFonts w:ascii="Arial" w:eastAsia="Times New Roman" w:hAnsi="Arial" w:cs="Arial"/>
          <w:sz w:val="15"/>
          <w:szCs w:val="15"/>
          <w:vertAlign w:val="subscript"/>
          <w:lang w:eastAsia="sr-Latn-RS"/>
        </w:rPr>
        <w:t>SS</w:t>
      </w:r>
      <w:r w:rsidRPr="00984859">
        <w:rPr>
          <w:rFonts w:ascii="Arial" w:eastAsia="Times New Roman" w:hAnsi="Arial" w:cs="Arial"/>
          <w:lang w:eastAsia="sr-Latn-RS"/>
        </w:rPr>
        <w:t>) faktora biokoncentracije za organske supstance sa visokim vrednostima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čak do 9,0 mogu se dobiti pomoću jednačine</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Parametri koji određuju biokoncentracioni potencijal uključuju konstantu brzine unosa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konstantu brzine eliminacije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i faktor biokoncentracije u ravnotežnom stanju BCF</w:t>
      </w:r>
      <w:r w:rsidRPr="00984859">
        <w:rPr>
          <w:rFonts w:ascii="Arial" w:eastAsia="Times New Roman" w:hAnsi="Arial" w:cs="Arial"/>
          <w:sz w:val="15"/>
          <w:szCs w:val="15"/>
          <w:vertAlign w:val="subscript"/>
          <w:lang w:eastAsia="sr-Latn-RS"/>
        </w:rPr>
        <w:t>SS</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sa obeleženim ispitivanim supstancama može olakšati analizu uzoraka vode i uzoraka tkiva ribe, ali može i pomoći u planiranju sledećih koraka - da li je potrebno identifikovati i kvantifikovati produkte razgradnje. Ukoliko se mere ukupni radioaktivni rezidijumi (npr. sagorevanjem ili rastvaranjem tkiva), BCF se odnosi na polaznu supstancu, preostale metabolite, kao i asimilirani ugljenik. Faktori biokoncentracije koji se baziraju na ukupnim radioaktivnim rezidijumima ne mogu se direktno porediti sa faktorima biokoncentracije koji su dobijeni specifičnim hemijskim analizama samo za polaznu supstancu.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Postupci čišćenja mogu se iskoristiti u ispitivanjima sa radioobeleženim supstancama da bi se odredila vrednost BCF za polaznu supstancu, a po potrebi se mogu okarakterisati i glavni metaboliti. Moguće je kombinovati studije proučavanja metabolizma riba i ispitivanja biokoncentracije putem analize i identifikacije rezidiuma u tkivima.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JEDINICE MERE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Biokoncentracija/bioakumulacija jeste povećanje koncentracije ispitivane supstance u ili na organizmu (ili određenim tkivima) u odnosu na koncentraciju ispitivane supstance u odgovarajućem medijumu.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Faktor biokoncentracije (BCF ili K</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jeste odnos koncentracije ispitivane supstance u ili na ribi, ili određenim tkivima ribe (C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se izražava u mg/g (ppm)) i koncentracije te supstance u okružujućem medijumu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se izražava u μg/ml (ppm)), u bilo kom trenutku faze unosa tokom ispitivanja akumulacije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Faktor biokoncentracije u ravnotežnom stanju (BCF</w:t>
      </w:r>
      <w:r w:rsidRPr="00984859">
        <w:rPr>
          <w:rFonts w:ascii="Arial" w:eastAsia="Times New Roman" w:hAnsi="Arial" w:cs="Arial"/>
          <w:sz w:val="15"/>
          <w:szCs w:val="15"/>
          <w:vertAlign w:val="subscript"/>
          <w:lang w:eastAsia="sr-Latn-RS"/>
        </w:rPr>
        <w:t xml:space="preserve">SS </w:t>
      </w:r>
      <w:r w:rsidRPr="00984859">
        <w:rPr>
          <w:rFonts w:ascii="Arial" w:eastAsia="Times New Roman" w:hAnsi="Arial" w:cs="Arial"/>
          <w:lang w:eastAsia="sr-Latn-RS"/>
        </w:rPr>
        <w:t>ili K</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se ne menja značajno u toku dužeg vremenskog perioda. Koncentracija ispitivane supstance u medijumu u toku ovog perioda je stalna.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Plato ili ravnotežno stanje se uočava kod grafičkog prikaza koncentracije ispitivane supstance u ribi (C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u funckiji vremena kao ravna linija paralelna sa </w:t>
      </w:r>
      <w:r w:rsidRPr="00984859">
        <w:rPr>
          <w:rFonts w:ascii="Arial" w:eastAsia="Times New Roman" w:hAnsi="Arial" w:cs="Arial"/>
          <w:i/>
          <w:iCs/>
          <w:lang w:eastAsia="sr-Latn-RS"/>
        </w:rPr>
        <w:t>x</w:t>
      </w:r>
      <w:r w:rsidRPr="00984859">
        <w:rPr>
          <w:rFonts w:ascii="Arial" w:eastAsia="Times New Roman" w:hAnsi="Arial" w:cs="Arial"/>
          <w:lang w:eastAsia="sr-Latn-RS"/>
        </w:rPr>
        <w:t xml:space="preserve">-osom. Ravnotežnim stanjem se smatra kada se rezultati tri uzastopna merenja koncentracije ispitivane supstance </w:t>
      </w:r>
      <w:r w:rsidRPr="00984859">
        <w:rPr>
          <w:rFonts w:ascii="Arial" w:eastAsia="Times New Roman" w:hAnsi="Arial" w:cs="Arial"/>
          <w:lang w:eastAsia="sr-Latn-RS"/>
        </w:rPr>
        <w:lastRenderedPageBreak/>
        <w:t>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u uzorcima uzetim u intervalima od najmanje dva dana međusobno razlikuju do ± 20% i kad ne postoje značajne razlike između tri perioda uzorkovanja. Kad se analiziraju združeni uzorci potrebno je uraditi najmanje četiri uzastopne analize. Za ispitivane supstance koje sporo usvajaju, pogodniji su intervali od sedam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Faktor biokoncentracije koji se izračunava direktno preko vrednosti konstanti brzine unosa i eliminacije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jeste kinetički faktor biokoncentracije (u daljem tekstu: BCF</w:t>
      </w:r>
      <w:r w:rsidRPr="00984859">
        <w:rPr>
          <w:rFonts w:ascii="Arial" w:eastAsia="Times New Roman" w:hAnsi="Arial" w:cs="Arial"/>
          <w:sz w:val="15"/>
          <w:szCs w:val="15"/>
          <w:vertAlign w:val="subscript"/>
          <w:lang w:eastAsia="sr-Latn-RS"/>
        </w:rPr>
        <w:t>K</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Koeficijent raspodele u sistemu n-oktanol/voda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jeste odnos vrednosti za rastvorljivost hemijske supstance u </w:t>
      </w:r>
      <w:r w:rsidRPr="00984859">
        <w:rPr>
          <w:rFonts w:ascii="Arial" w:eastAsia="Times New Roman" w:hAnsi="Arial" w:cs="Arial"/>
          <w:i/>
          <w:iCs/>
          <w:lang w:eastAsia="sr-Latn-RS"/>
        </w:rPr>
        <w:t>n</w:t>
      </w:r>
      <w:r w:rsidRPr="00984859">
        <w:rPr>
          <w:rFonts w:ascii="Arial" w:eastAsia="Times New Roman" w:hAnsi="Arial" w:cs="Arial"/>
          <w:lang w:eastAsia="sr-Latn-RS"/>
        </w:rPr>
        <w:t>-oktanolu i vrednosti za rastvorljivost u vodi u ravnotežnom stanju (Metoda A.8. koja je data u ovom pravilniku). Logaritam od P</w:t>
      </w:r>
      <w:r w:rsidRPr="00984859">
        <w:rPr>
          <w:rFonts w:ascii="Arial" w:eastAsia="Times New Roman" w:hAnsi="Arial" w:cs="Arial"/>
          <w:sz w:val="15"/>
          <w:szCs w:val="15"/>
          <w:vertAlign w:val="subscript"/>
          <w:lang w:eastAsia="sr-Latn-RS"/>
        </w:rPr>
        <w:t xml:space="preserve">ow </w:t>
      </w:r>
      <w:r w:rsidRPr="00984859">
        <w:rPr>
          <w:rFonts w:ascii="Arial" w:eastAsia="Times New Roman" w:hAnsi="Arial" w:cs="Arial"/>
          <w:lang w:eastAsia="sr-Latn-RS"/>
        </w:rPr>
        <w:t xml:space="preserve">koristi se kao indikator biokoncentracionog potencijala hemijske supstance u akvatičnim organizmima.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izloženosti ili unosa jeste vreme u toku kojeg je riba izložena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Konstanta brzine unosa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jeste numerička vrednost kojom se definiše stepen porasta koncentracije ispitivane supstance u/na ribi (ili određenim tkivima ribe) kad je riba izložena datoj supstanci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se izražava u dan</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post-izloženosti ili faza eliminacije jeste period u kome dolazi do smanjenja (ili potpune eliminacije) ispitivane supstance iz jedinki (ribe) (ili određenog tkiva te ribe), a nastupa nakon premeštanja jedinki iz medijuma u čist medijum (tj. medijum koji ne sadrži ispitivanu supstancu).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Konstanta brzine eliminacije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jeste numerička vrednost kojom se definiše stepen smanjenja koncentracije ispitivane supstance u jedinci (riba) (ili određenim tkivima te ribe) nakon transfera jedinki iz medijuma u čist medijum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se izražava kao dan</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sastoji iz dve faze: faze izloženosti (unosa) i faze post-izloženosti (eliminacije). Tokom faze unosa, pojedinačne grupe riba iste vrste izložene su ispitivanoj supstanci u najmanje dve koncentracije. Ribe se zatim prenose u čist medijum i nastupa faza eliminacije. Faza eliminacije je neophodna, osim ukoliko je unos ispitivane supstance u toku faze unosa bio neznatan (npr. BCF manji od 10). Koncentracija ispitivane supstance u ili na ribi (ili određenim tkivima ribe) se prati u toku obe faze ispitivanja. Uz dve koncentracije ispitivane supstance (dve ispitivane grupe), postavlja se i kontrola sa jedinkama riba u uslovima identičnim onima u ispitivanim grupama, osim što kod kontrole jedinke nisu izložene ispitivanoj supstanci. Na taj način se uočeni negativni efekti u ispitivanim grupama mogu pripisati isključivo delovanju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Faza unosa traje 28 dana, osim u slučaju kad se ravnotežno stanje uspostavi ranije. Trajanje faze unosa i vreme do postizanja ravnotežnog stanja može se predvideti pomoću jednačine iz Dela trećeg ove metode. Nakon toga započinje faza eliminacije: jedinke riba se premeštaju u drugi čisti akvarijum sa istim medijumom, ali bez ispitivane supstance. Kad je moguće, BCF izračunati i kao BCF</w:t>
      </w:r>
      <w:r w:rsidRPr="00984859">
        <w:rPr>
          <w:rFonts w:ascii="Arial" w:eastAsia="Times New Roman" w:hAnsi="Arial" w:cs="Arial"/>
          <w:sz w:val="15"/>
          <w:szCs w:val="15"/>
          <w:vertAlign w:val="subscript"/>
          <w:lang w:eastAsia="sr-Latn-RS"/>
        </w:rPr>
        <w:t>SS</w:t>
      </w:r>
      <w:r w:rsidRPr="00984859">
        <w:rPr>
          <w:rFonts w:ascii="Arial" w:eastAsia="Times New Roman" w:hAnsi="Arial" w:cs="Arial"/>
          <w:lang w:eastAsia="sr-Latn-RS"/>
        </w:rPr>
        <w:t>, tj. kao odnos koncentracije supstance u ribi (C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i njene koncentracije u vodi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pri uočenom ravnotežnom stanju i kao BCF</w:t>
      </w:r>
      <w:r w:rsidRPr="00984859">
        <w:rPr>
          <w:rFonts w:ascii="Arial" w:eastAsia="Times New Roman" w:hAnsi="Arial" w:cs="Arial"/>
          <w:sz w:val="15"/>
          <w:szCs w:val="15"/>
          <w:vertAlign w:val="subscript"/>
          <w:lang w:eastAsia="sr-Latn-RS"/>
        </w:rPr>
        <w:t>K</w:t>
      </w:r>
      <w:r w:rsidRPr="00984859">
        <w:rPr>
          <w:rFonts w:ascii="Arial" w:eastAsia="Times New Roman" w:hAnsi="Arial" w:cs="Arial"/>
          <w:lang w:eastAsia="sr-Latn-RS"/>
        </w:rPr>
        <w:t>, tj. odnos vrednosti konstanti brzine unosa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i eliminacije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ukoliko se proces može opisati kao kinetika prvog reda. Ukoliko se proces ne može opisati kao kinetika prvog reda, upotrebiti složenije modele (videti Deo šesti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ravnotežno stanje ne postigne u roku od 28 dana, faza unosa se produžava do trenutka uspostavljanja ravnoteže ili najviše do 60 dana, kada se započinje sa fazom eliminacije.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Vrednosti za konstantu brzine unosa, konstantu brzine eliminacije (gubitka) (ili više konstanti, kad su uključeni složeniji modeli), faktor biokoncentracije i gde je to moguće, intervali poverenja za svaki od ovih parametara izračunavaju se iz modela koji najbolje opisuje izmerene koncentracije ispitivane supstance u ribi i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BCF se izražava u funkciji ukupne sveže težine ribe. U posebnim slučajevima mogu se koristiti određena tkiva ili organi (npr. mišići, jetra) ako je riba dovoljno velika ili se može podeliti u jestive (fileti) i nejestive delove (unutrašnji organi). Za mnoge organske supstance postoji jasna veza između biokoncentracionog potencijala i lipofilnosti, te postoji i odgovarajući odnos između sadržaja lipida u jedinkama ribe i uočene biokoncentracije tih supstanci. Da se smanji ovaj izvor varijabilnosti rezultata ispitivanja za supstance sa izraženom lipofilnošću (odnosno sa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&gt; 3), biokoncentraciju izraziti u odnosu na ukupnu težinu jedinke i u odnosu na sadržaj lipida u organizmu.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je moguće, sadržaj lipida odrediti na istom biološkom materijalu u kojem se meri koncentracija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PODACI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izvođenja ispitivanja biokoncentracije, imati sledeće podatke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koeficijent raspodele u sistemu n-oktanol/voda,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(označava se i sa K</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određuje se HPLC metodom opisanom u Metodi A.8);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hidroliza;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fototransformacija u vodi pod prirodnim ili veštačkim osvetljenjem i u uslovima osvetljenja koji su definisani ovom metodom</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površinski napon (odnosno za supstance gde se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ne može odrediti);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napon pare;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brza biološka razgradljivost (ako je odgovarajuće).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Ostali potrebni podaci uključuju toksičnost ispitivane supstance za izabranu vrstu ribe koja se koristi u ispitivanju, ako je moguće asimptotska LC</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(odnosno nezavisna od vremena). Na raspolaganju imati odgovarajuću analitičku metodu poznate tačnosti, preciznosti i osetljivosti za kvantifikaciju ispitivane supstance u rastvorima i u biološkom materijalu, kao i podatke o pripremi i čuvanju uzorka. Potrebno je da bude poznat limit detekcije ispitivane supstance kako u vodi, tako i u ribljim tkivima. Ako se koristi ispitivana supstanca obeležena sa izotopom ugljenika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 znati i procenat radioaktivnosti koji se pripisuje nečistoćama.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VALIDNOST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ispitivanje smatralo validnim potrebno je da budu ispunjeni uslovi: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variranje temperature manje od ± 2°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saturacija kiseonika veća od 60%;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koncentracija ispitivane supstance u posudama (akvarijumima) održava se unutar ± 20% srednje vrednosti izmerene u toku faze unosa;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smrtnost ili drugi štetni efekti/bolesti uočeni kod jedinki u kontroli i ispitivanim grupama da bude manja od 10% na kraju ispitivanja. Kad je ispitivanje produženo na nekoliko sedmica ili meseci, smrtnost ili drugi štetni efekti u kontroli i ispitivanim grupama treba da budu manji od 5% mesečno i da ne premašuju ukupno 30% u toku trajanja celog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referentnih supstanci za koje se raspolaže podacima o biokoncentracionom potencijalu može biti korisno za proveru procedure ispitivanja. Nisu preporučene određene referentne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Svaki deo opreme je napravljen od inertnog materijala koji ne utiče štetno na jedinke koje se koriste u ispitivanju. Mogu se koristiti standardni pravougaoni ili cilindrični akvarijumi, napravljeni od hemijski internog materijala i odgovarajuće zapremine koji odgovara dinamici nasada. Upotrebu mekih plastičnih cevi svesti na najmanju moguću meru. Prednost se daje teflonu, nerđajućem čeliku, odnosno staklenim cevima. Iskustvo je pokazalo da za supstance sa visokim koeficijentima adsorpcije, kao što su sintetički piretroidi, koristiti silanizirano staklo. Oprema se, u ovom slučaju, nakon upotrebe baca.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Uobičajeno se koristi obična voda, koja se dobija iz nekontaminiranog izvora sa ujednačenim kvalitetom. Kvalitet vode za razblaživanje je takav da za vreme trajanja perioda aklimatizacije i perioda ispitivanja omogući preživljavanje odabrane vrste riba i da ne izaziva negativne promene u izgledu i ponašanju jedinki. U idealnom slučaju, pokazuje se da izabrana vrsta ribe može da preživi, raste i razmnožava se u vodi za razblaživanje (npr. u laboratorijskoj kulturi ili u toku ispitivanja toksičnosti). U opisu kvaliteta vode navesti pH vrednost, tvrdoću, ukupne suspendovane materije, ukupan organski ugljenik. Poželjno je navesti i sadržaj amonijaka, nitrita i alkalitet, a za morske vrste i salinitet. Parametri potrebni za optimalan rast i razvoj riba potpuno su poznati i u Delu drugom ove metode date su preporučene maksimalne koncentracije seta parametara za slatku i morsku vodu koja se koristi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Tokom trajanja ispitivanja, voda je ujednačenog kvaliteta. Vrednost pH je između 6,0 i 8,5 i u toku ispitivanja se održava unutar opsega od ± 0,5. Da bi se osiguralo da voda za razblaživanje neće uticati na rezultate ispitivanja (npr. kompleksiranjem ispitivane supstance) ili da neće štetno uticati na jedinke odabrane vrste riba, potrebno je periodično uzimati uzorke vode za analizu. Mere se koncentracije teških metala (npr. Cu, Pb, Zn, Hg, Cd, Ni), glavnih anjona i katjona (npr. Cu, Mg, Na, K, Cl, 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pesticida (npr. ukupne organofosforne i ukupne organohlorne pesticide), ukupnog organskog ugljenika i suspendvanih materija, npr. na svaka tri meseca ako se zna da je voda za razblaživanje relativno ujednačenog kvaliteta. Ako se utvrdi da je kvalitet vode ujednačen u toku najmanje godinu dana, provera kvaliteta može biti ređa, a intervali duži (npr. svakih 6 meseci).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Sadržaj prirodnih materija kao i ukupni organski ugljenik (u daljem tekstu: TOC) u vodi za razblaživanje treba da bude što manji da bi se izbegla adsorpcija ispitivane supstance na organsku materiju što može smanjiti biodostupnost supstance</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Maksimalna prihvatljiva </w:t>
      </w:r>
      <w:r w:rsidRPr="00984859">
        <w:rPr>
          <w:rFonts w:ascii="Arial" w:eastAsia="Times New Roman" w:hAnsi="Arial" w:cs="Arial"/>
          <w:lang w:eastAsia="sr-Latn-RS"/>
        </w:rPr>
        <w:lastRenderedPageBreak/>
        <w:t xml:space="preserve">vrednost za suspendovane materije je 5 mg/l (suve materije, ne prolazi filter od 0,45 mm) i za ukupni organski ugljenik 2 mg/l (videti Deo drugi ove metode). Voda se, po potrebi, filtrira pre upotrebe. Ekskreti jedinki, kao i ostaci hrane doprinose ukupnom sadržaju organskog ugljenika, pa ih svesti na minimalnu meru. Tokom čitavog perioda ispitivanja, koncentracija organskog ugljenika u akvarijumu ne treba da bude veća od koncentracije organskog ugljenika koja potiče od ispitivane supstance. Koncentracija rastvarača, ukoliko se koristi u ispitivanju, ne sme da bude veća od 10 mg/l (± 20%).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1.7.3. Ispitivani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rastvor ispitivane supstance priprema se u odgovarajućoj koncentraciji. Osnovni rastvor se priprema mešanjem ili mućkanjem ispitivane supstance u vodi za razblaživanje. Ne preporučuje se upotreba rastvarača ili disperzionih sredstava. Nekada je neophodna upotreba ovih sredstava radi dobijanja osnovnih rastvora ispitivane supstance željene koncentracije. Rastvarači koji se mogu koristiti su etanol, metanol, etilenglikol monometil eter, etilenglikol dimetil eter, dimetilformamid i trietilen glikol. Disperziona sredstva koja se mogu koristiti su Cremophor RH40, Tween 80, metilceluloza 0,01% i HCO-40. Mere opreza uzeti u obzir kad se koriste brzo biološki razgradljiva disperziona sredstva, jer mogu prouzrokovati probleme sa rastom bakterija u ispitivanju u protočnim uslovima. Ispitivana supstanca može se označiti radioaktivnim izotopom i treba da bude najvišeg stepena čistoće (ako je moguće &gt; 98%).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u protočnim uslovima potreban je sistem sa dispenzorom i diluterom rastvora ispitivane supstance (npr. pumpa sa meračem, sistem za proporcionalno razblaživanje, sistem za zasićenje) da bi se u akvarijumima održavala konstantna koncentracija te supstance. Poželjno je da se najmanje pet puta u toku dana izmeni celokupna zapremina akvarijuma. Prednost se daje ispitivanju u protočnim uslovima, ali u slučajevima gde to nije moguće (npr. kad postoje štetni efekti na organizme koje se koriste u ispitivanju) može se izvoditi i ispitivanje u semi-statičkim uslovima, ako su zadovoljeni kriterijumi validnosti. Protok osnovnog rastvora ispitivane supstance i vode za razblaživanje proverava se 48 sati pre početka i zatim najmanje jedanput dnevno u toku ispitivanja. Ova provera uključuje određivanje protoka u svakom akvarijumu i protok ne sme da varira više od 20% u jednom akvarijumu, kao i između akvarijuma.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1.7.4. Izbor vrsta za potrebe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Kriterijumi za izbor vrste riba su da su lako dostupne, da se mogu dobiti u odgovarajućim veličinama i da se mogu na zadovoljavajući način uzgajati u laboratoriji. Drugi kriterijumi za izbor vrste uključuju njenu komercijalnu, rekreacionu i ekološku važnost, kao i mogućnost poređenja osetljivosti sa drugim vrstama, prethodnu uspešnu upotrebu u ispitivanjima,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Preporučene vrste za potrebe ove metode navedene su Delu drugom ove metode. Mogu se koristiti i druge vrste, ali u tom slučaju modifikovati metodu ispitivanja kako bi se obezbedili pogodni uslovi. U izveštaju se daje objašnjenje za izbor vrste i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1.7.5. Gajenje riba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Aklimatizacija matičnog jata riba traje najmanje dve sedmice u vodi pri temperaturnom režimu i režimu ishrane definisanim za samo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perioda aklimatizacije od 48 sati, uočava se smrtnost i primenjuju sledeći kriterijumi: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smrtnost veća od 10% populacije u sedam dana, celo matično jato se odbacuje;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ako je smrtnost između 5% i 10% populacije u sedam dana, matično jato se aklimatizuje još sedam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smrtnost manja od 5% populacije u sedam dana, matično jato se prihvata;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smrtnost iznad 5% u narednih 5 dana, celo jato se odbacuje.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voditi računa da jedinke ribe koje se koriste u ispitivanju nemaju vidljivih bolesti i abnormalnosti. Svaka obolela jedinka isključuje se iz ispitivanja. Jedinke se ne smeju lečiti dve sedmice pre početka ispitivanja, kao niti za vreme samog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IZVOĐENJE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Preliminarno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Poželjno je izvesti preliminarno ispitivanje kako bi se postavili optimalni uslovi za konačno ispitivanje, npr. izbor ispitivanih koncentracija supstance, trajanje faza unosa i eliminacije.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Uslovi izloženosti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1.8.2.1. Trajanje faze unosa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Trajanja faze unosa može se predvideti na osnovu iskustva (npr. iz prethodnog ispitivanja, ili rezultata ispitivanja sa supstancom sličnog potencijala za akumulaciju) ili određenih empirijskih odnosa na osnovu poznavanja ili rastvorljivosti u vodi ili koeficijenta raspodele u sistemun-oktanol/voda za ispitivanu supstancu (videti Deo četvrti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unosa traje 28 dana, osim u slučaju kad se može uočiti da se ravnotežno stanje uspostavilo i ranije. Ako se ravnotežno stanje ne dostigne do kraja 28. dana, fazu unosa produžiti do dostizanja ravnotežnog stanja ili do 60 dana, zavisno od toga koji uslov se pre ispuni.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1.8.2.2. Trajanje faze eliminacije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Polovina vremena koliko traje faza unosa jeste dovoljno dug period da nastupi zadovoljavajuće smanjenje sadržaja ispitivane supstance u organizmu jedinke od npr. 95% (za objašnjenje procene videti Deo četvrti ove metode). Ako je vreme da se postigne 95% smanjenja nepraktično dugo i premašuje npr. dvostruku dužinu trajanja normalnog trajanja faze unosa (tj. više od 56 dana) može se koristiti kraći period (odnosno dok koncentracija ispitivane supstance ne dostigne vrednost manje od 10% ravnotežne koncentracije). Za određivanje konstanti brzine eliminacije supstanci kod kojih su procesi unosa i eliminacije složeniji i ne predstavljaju kinetiku prvog reda, produžiti trajanje faze eliminacije. Taj period može biti određen vremenom u toku kojeg koncentracija ispitivane supstance u ribi ostaje iznad limita detekcije.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1.8.2.3. Broj jedinki riba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Broj jedinki riba za svaku ispitivanu koncentraciju treba da bude dovoljan da obezbedi najmanje četiri jedinke ribe po uzorkovanju. Za preciznija statistička određivanja, potrebno je imati na raspolaganju veći broj jedinki riba.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u ispitivanju koriste odrasle jedinke riba, u izveštaju navesti da li se radi o mužjaku ili ženki ili se koriste jedinke oba pola. Ako se koriste jedinke oba pola, potvrditi da </w:t>
      </w:r>
      <w:r w:rsidRPr="00984859">
        <w:rPr>
          <w:rFonts w:ascii="Arial" w:eastAsia="Times New Roman" w:hAnsi="Arial" w:cs="Arial"/>
          <w:lang w:eastAsia="sr-Latn-RS"/>
        </w:rPr>
        <w:lastRenderedPageBreak/>
        <w:t xml:space="preserve">razlike u sadržaju lipida između mužjaka i ženki pre početka izlaganja ispitivanoj supstanci nisu značajne. Može biti neophodno da se objedine uzorci za sve jedinke muškog i za sve jedinke ženskog pola.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svako ispitivanje biraju se jedinke približno iste težine, tako da težina najmanjih primeraka nije manja od dve trećine težine najvećih primeraka. Sve jedinke treba da budu istog uzrasta i da potiču iz istog matičnog jata. Primećeno je da težina i uzrast jedinki riba imaju značajan uticaj na vrednost BCF1, pa se ovi podaci navode u izveštaju. Preporučuje se da se pre ispitivanja iz matičnog jata uzme nekoliko jedinki riba i izmeri njihova težina kako bi se procenila srednja težina jedinki matičnog jata.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1.8.2.4. Nasad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Velika količina vode u odnosu na težinu jedinki riba koristi se kako bi se smanjila redukcija vrednosti Cw prouzrokovana dodavanjem jedinki ribe na početku ispitivanja i da bi se izbeglo smanjenje koncentracije rastvorenog kiseonika. Važno je da režim nasada jedinki ribe odgovara vrsti ribe koja se koristi u ispitivanju. Preporučuje se režim nasada od 0,1 g do 1,0 g ribe (sveže mase) po litru vode na dan. Povećan unos se koristi ako se pokaže da se tražena koncentracija ispitivane supstance može održati unutar granica od ± 20% i da saturacija kiseonika ne pada ispod 60%.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izboru odgovarajućeg režima unosa, uzima se u obzir prirodno stanište date vrste riba. Na primer, riba koja živi pri dnu može za istu zapreminu vode zahtevati veću površinu dna u akvarijumu u odnosu na pelagijske vrste.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1.8.2.5.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perioda aklimatizacije i perioda trajanja ispitivanja, ribe se hrane odgovarajućom hranom poznatog sadržaja lipida i ukupnih belančevina, u količini dovoljnoj da ih održi zdravima i sa stalnom telesnom težinom. Ribe se hrane svaki dan u toku čitavog perioda aklimatizacije i u toku trajanja ispitivanja u količini od približno 1% do 2% telesne težine dnevno. Ovakav režim održava sadržaj lipida kod većine ribljih vrsta na relativno ujednačenom nivou u toku ispitivanja. Količina hrane se preračunava, npr. jednom sedmično, kako bi se održala ujednačena telesna težina i ujednačen sadržaj lipida. Za ovaj preračun, težina jedinki u svakom akvarijumu određuje se na osnovu težine jedinki ribe koje su prethodni put uzete za uzorkovanje iz tog akvarijumu. Ne meri se težina preostalih jedinki u akvarijumu.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Hrana koja nije pojedena i ekskrementi svakodnevno se ispuštaju iz akvarijuma nakon hranjenja (30 minuta do 1 sat). Akvarijumi se održavaju čistim, u što većoj mogućoj meri, u toku čitavog trajanja ispitivanja, tako da se koncentracija organske materije održava na što nižem nivou, s obzirom na to da prisustvo organskog ugljenika može ograničiti biodostupnost ispitivane supstance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Mnoge vrste riblje hrane napravljene su od ribljih prerađevina, te analizirati sadržaj te hrane na prisustvo ispitivane supstance. Bilo bi dobro analizirati pesticide i teške metale u hrani.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1.8.2.6. Svetlost i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Fotoperiod uobičajeno traje 12 do 16 sati, a temperatura (± 2° C) treba da odgovara vrsti riba koja se koristi u ispitivanju (videti Deo treći ove metode). Vrsta i svojstva osvetljenja treba da budu poznati. Potreban je oprez zbog moguće transformacije ispitivane supstance pod uticajem svetlosti pri datim uslovima osvetljenja definisanim za ovu metodu. Koristi se </w:t>
      </w:r>
      <w:r w:rsidRPr="00984859">
        <w:rPr>
          <w:rFonts w:ascii="Arial" w:eastAsia="Times New Roman" w:hAnsi="Arial" w:cs="Arial"/>
          <w:lang w:eastAsia="sr-Latn-RS"/>
        </w:rPr>
        <w:lastRenderedPageBreak/>
        <w:t xml:space="preserve">odgovarajuće osvetljenje i izbegava izlaganje ribe veštačkom svetlu. U nekim slučajevima poželjno je koristiti odgovarajući filter za blokiranje UV zračenja talasne dužine ispod 290 nm.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1.8.2.7. Koncentracije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se odvija u protočnom sistemu i ispituju se najmanje dve koncentracije ispitivane supstance. Viša ili najviša koncentracija ispitivane supstance obično je 1% akutne asimptotske vrednosti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te supstance i potrebno je da bude najmanje deset puta viša od limita detekcije primenjenog analitičkog postupka.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Najviša ispitivana koncentracija supstance može da se odredi deljenjem 96 h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za akutnu toksičnost sa odgovarajućom ACR</w:t>
      </w:r>
      <w:r w:rsidRPr="00984859">
        <w:rPr>
          <w:rFonts w:ascii="Arial" w:eastAsia="Times New Roman" w:hAnsi="Arial" w:cs="Arial"/>
          <w:b/>
          <w:bCs/>
          <w:sz w:val="15"/>
          <w:szCs w:val="15"/>
          <w:vertAlign w:val="superscript"/>
          <w:lang w:eastAsia="sr-Latn-RS"/>
        </w:rPr>
        <w:t>VIII</w:t>
      </w:r>
      <w:r w:rsidRPr="00984859">
        <w:rPr>
          <w:rFonts w:ascii="Arial" w:eastAsia="Times New Roman" w:hAnsi="Arial" w:cs="Arial"/>
          <w:lang w:eastAsia="sr-Latn-RS"/>
        </w:rPr>
        <w:t xml:space="preserve"> vrednošću (ACR nekih hemikalija se kreće u rasponu od 3 do 100). Ukoliko je moguće, u ispitivanju se koristi jedna ili više drugih koncentracija koje se od najviše ispitivane koncentracije razlikuju za faktor 10. Ako to nije moguće, zbog kriterijuma od 1%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limita detekcije analitičke metode, može da se upotrebi manji faktor ili se razmatra ispitivanje supstance koja je obeležena radioaktivnim izotopom ugljenika -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 Nijedna koncentracija ne treba da bude jednaka maksimalnoj rastvorljivosti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koristi rastvarač, njegova koncentracija ne treba da bude veća od 0,1 ml/l i treba da bude ista u svim tretmanima. Rastvarač zajedno sa ispitivanom supstancom doprinosi ukupnom sadržaju organskog ugljenika u medijumu i treba da bude poznat njegov udeo u ukupnom sadržaju organskog ugljenika. Upotrebu rastvarača treba svesti na najmanju moguću meru.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VIII</w:t>
      </w:r>
      <w:r w:rsidRPr="00984859">
        <w:rPr>
          <w:rFonts w:ascii="Arial" w:eastAsia="Times New Roman" w:hAnsi="Arial" w:cs="Arial"/>
          <w:lang w:eastAsia="sr-Latn-RS"/>
        </w:rPr>
        <w:t xml:space="preserve"> Odnos akutne i hronične toksičnosti (acute/chronic toxicity ratio) je faktorkoji služi za procenu hronične toksičnosti neke hemikalije na osnovu podataka o njenoj akutnoj toksičnosti i obrnuto.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1.8.2.8.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ispitivanju je potrebno imati jednu kontrolnu grupu sa jedinkama ribe samo u čistom medijumu ili, ukoliko je relevantno, dodatnu kontrolnu grupu sa rastvaračem, po uslovom da je prethodno utvrđeno da dati rastvarač ne ispoljava efekat na jedinke. U suprotnom, postavljaju se obe kontrolne grupe.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1.8.3. Učestalost merenja kvaliteta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ispitivanja u svim akvarijumima meriti: rastvoreni kiseonik, TOC, pH vrednost i temperaturi akvarijumima. Ukupna tvrdoća i salinitet, ukoliko su relevantni, mere se u kontrolama i u jednom akvarijumu sa višom (ili najvišom) koncentracijom. Rastvoreni kiseonik i salinitet, ukoliko je relevantno, mere se najmanje tri puta: na početku, oko sredine i na kraju faze unosa i jednom sedmično u toku faze eliminacije. TOC se meri na početku ispitivanja (24 sata i 48 sati pre početka faze unosa) pre unosa ribe i najmanje jedanput sedmično u toku faza unosa i eliminacije. Temperatura se meri svakodnevno. Vrednost pH se meri na početku i na kraju svake faze, a tvrdoća jedanput u toku ispitivanja. Poželjno je neprekidno meriti temperaturu najmanje u jednom akvarijumu.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1.8.4. Uzorkovanje i analiziranje ribe i vode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1.8.4.1. Raspored uzorkovanja ribe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Uzorak vode iz komora za ispitivanje, radi određivanja koncentracije ispitivane supstance, uzima se pre unosa ribe i u toku faza unosa i eliminacije. Voda se uzima kad i riba i to pre njenog hranjenja. Tokom faze unosa, mere se koncentracije ispitivane supstance da bi se potvrdilo da su zadovoljeni kriterijumi kvaliteta.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Jedinke riba uzorkuju se najmanje pet puta u toku faze unosa i najmanje četiri puta u toku faze eliminacije. U nekim slučajevima je teško izračunati dovoljno preciznu procenu BCF vrednosti na osnovu ovog broja uzoraka, naročito kad se radi o procesu unosa i eliminacije koji se ne ponaša po modelu kinetike prvog reda, pa uzorkovanje obavljati češće u toku obe faze (videti Deo peti ove metode). Dodatni uzorci čuvaju se i analiziraju samo ako se rezultati prvog kruga analiza pokažu neodgovarajućima za izračunavanje BCF sa željenom preciznošću.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Primer prihvatljivog rasporeda uzimanja uzoraka dat je u Delu četvrtom ove metode. Drugi rasporedi mogu se odrediti pomoću drugih pretpostavljenih vrednosti K</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za izračunavanje trajanja izloženosti u kome dolazi do 95% unosa.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Uzorkovanje se nastavlja u toku faze unosa sve dok se ne uspostavi ravnotežno stanje ili u toku 28 dana, zavisno od toga koji se uslov pre ispuni. Ako se ravnotežno stanje ne postigne u toku 28 dana, uzorkovanje se nastavlja sve do postizanja ravnotežnog stanja ili do 60 dana, zavisno od toga koji uslov se pre ispuni. Pre početka faze eliminacije, jedinke riba se prenose u akvarijume sa čistim medijumom.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1.8.4.2. Uzimanje i priprema 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Uzorci vode za analizu uzimaju se npr. ispuštanjem vode kroz inertne cevi postavljene na sredini akvarijuma. Filtracija ni centrifugiranje ne odvajaju uvek frakcije ispitivane supstance koje nisu biodostupne od frakcija koje jesu biodostupne (važi naročito za superlipofilne hemikalije odnosno one hemikalije čiji je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&gt; 5)</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xml:space="preserve">. Nije uvek potrebno raditi filtriranje ili centrifugiranje uzoraka. Umesto toga, potrebno je komore za ispitivanje držati što čistijim, a u toku faza unosa i faze eliminacije prati se sadržaj ukupnog organskog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svakom uzorkovanju odgovarajući broj jedinki riba (obično najmanje četiri) uklanja se iz komore za ispitivanje. Uzorkovane jedinke brzo se ispiraju vodom, obrišu od suvišne tečnosti, trenutno ubijaju na najhumaniji način i izmere.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Poželjno je analizirati uzorke vode i jedinki riba odmah posle uzorkovanja, čime se izbegava razgradnja ili drugi načini gubitka i omogućava izračunavanje brzina unosa i eliminacije u toku ispitivanja. Brzom analizom se omogućava pravovremeno određivanje tačke postizanja ravnotežnog stanja.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analiza ne obavi odmah, uzorci se čuvaju na odgovarajući način. Pre početka ispitivanja potrebno je imati podatke o odgovarajućim načinima skladištenja za ispitivanu supstancu, npr. zamrzavanje, čuvanje na temperaturi od 4 °C, trajanje skladištenja, ekstrakcija, itd.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1.8.4.3. Kvalitet analitičkog postupka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zavisi od tačnosti, preciznosti i osetljivosti primenjene analitičke metode za datu ispitivanu supstancu, pa je neophodno ispitivanjem proveriti da li su preciznost i ponovljivost hemijske analize, kao i efikasnost analitičkog postupka za ispitivanu supstancu u vodi i ribi, zadovoljavajući za određeni analitički postupak. Analizira se i voda za razblaživanje na prisustvo date ispitivane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Po potrebi se koriguju vrednosti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i 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dobijene iz ispitivanja i to pomoću vrednosti efikasnosti analitičke tehnike i vrednosti fona u kontroli. Potrebno je pažljivo rukovati uzorcima ribe i vode tako da se u najvećoj mogućoj meri onemogući kontaminacija i gubici (na primer gubici koji mogu nastati usled adsorpcije na opremu za uzorkovanje).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1.8.4.4. Analiza uzoraka ribe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u ispitivanju koriste obeležene supstance, može se analizirati ukupni radio obeleženi materijal (odnosno polazna supstanca i njeni metaboliti), ili uzorci mogu biti prečišćeni tako da se polazna supstance može analizirati posebno. Glavni metaboliti mogu se okarakterisati u ravnotežnom stanju ili na kraju faze unosa, zavisno od toga koji uslov se pre ispuni. Ako je BCF u smislu ukupnih radioaktivnih rezidijuma ± 1.000%, savetuje se (za određene kategorije hemikalija, kao što su pesticidi čvrsto preporučuje) da se identifikuju i kvantifikuju produkti razgradnje koji čine ± 10% ukupnih rezidijuma u tkivu ribe u ravnotežnom stanju. Ako se identifikuju i kvantifikuju produkti razgradnje koji čine ± 10% ukupnih radioaktivnih rezidijuma u ribljem tkivu, preporučuje se i identifikacija i kvantifikacija produkata razgradnje u medijumu.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Koncentracija ispitivane supstance se meri u svakoj jedinki ribe koja je prethodno izmerena. Ako to nije moguće, koncentracija ispitivane supstance može se odrediti u objedinjenom uzorku, ali takvo određivanje smanjuje broj statističkih postupaka koji se mogu primeniti na date podatke. Ako se uzimaju u obzir specifični statistički postupak i statistička snaga, u ispitivanje se uključuje odgovarajući broj jedinki riba da bi se zadovoljili kriterijumi za željeni postupak analize objedinjenih uzoraka i za statistički značaj ispitivanja</w:t>
      </w:r>
      <w:r w:rsidRPr="00984859">
        <w:rPr>
          <w:rFonts w:ascii="Arial" w:eastAsia="Times New Roman" w:hAnsi="Arial" w:cs="Arial"/>
          <w:b/>
          <w:bCs/>
          <w:sz w:val="15"/>
          <w:szCs w:val="15"/>
          <w:vertAlign w:val="superscript"/>
          <w:lang w:eastAsia="sr-Latn-RS"/>
        </w:rPr>
        <w:t>6, 7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BCF se izražava u funkciji ukupne sveže mase, a za visoko lipofilne supstance i u funkciji sadržaja lipida. Sadržaj lipida u ribama određuje se pri svakom uzimanju uzoraka, ukoliko je to moguće. Za određivanje sadržaja lipida koriste se odgovarajuće metode (videti Deo četvrti</w:t>
      </w:r>
      <w:r w:rsidRPr="00984859">
        <w:rPr>
          <w:rFonts w:ascii="Arial" w:eastAsia="Times New Roman" w:hAnsi="Arial" w:cs="Arial"/>
          <w:b/>
          <w:bCs/>
          <w:sz w:val="15"/>
          <w:szCs w:val="15"/>
          <w:vertAlign w:val="superscript"/>
          <w:lang w:eastAsia="sr-Latn-RS"/>
        </w:rPr>
        <w:t xml:space="preserve">8,2 </w:t>
      </w:r>
      <w:r w:rsidRPr="00984859">
        <w:rPr>
          <w:rFonts w:ascii="Arial" w:eastAsia="Times New Roman" w:hAnsi="Arial" w:cs="Arial"/>
          <w:lang w:eastAsia="sr-Latn-RS"/>
        </w:rPr>
        <w:t>ove metode). Kao standardna metoda preporučuje se tehnika ekstrakcije hloroform/metanol</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Različite metode daju različite vrednosti</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pa je važno detaljno opisati primenjenu metodu. Analiza sadržaja lipida po mogućnosti se sprovodi u istom ekstraktu u kojem se meri i koncentracija ispitivane supstance, s obzirom na to da je često potrebno lipide ukloniti iz ekstrakta da bi se ekstrakt mogao analizirati metodom hromatografije. Sadržaj lipida u ribi (u mg/kg mokre težine) na kraju ispitivanja ne sme da se razlikuje za više od ± 25% u odnosu na sadržaj na početku ispitivanja. Navodi se i procenat suve materije tkiva da bi se omogućila konverzija vrednosti koncentracije lipida u funkciji sveže mase u koncentraciju lipida u funkciji suve mase.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Kriva unosa za ispitivanu supstancu dobija se grafičkim prikazom koncentracije ispitivane supstance u ili na ribi (ili određenim tkivima) u fazi unosa u funkciji vremena. Ako je kriva dostigla plato, odnosno ako je postala približno paralelna sa x-osom, BCF</w:t>
      </w:r>
      <w:r w:rsidRPr="00984859">
        <w:rPr>
          <w:rFonts w:ascii="Arial" w:eastAsia="Times New Roman" w:hAnsi="Arial" w:cs="Arial"/>
          <w:sz w:val="15"/>
          <w:szCs w:val="15"/>
          <w:vertAlign w:val="subscript"/>
          <w:lang w:eastAsia="sr-Latn-RS"/>
        </w:rPr>
        <w:t>SS</w:t>
      </w:r>
      <w:r w:rsidRPr="00984859">
        <w:rPr>
          <w:rFonts w:ascii="Arial" w:eastAsia="Times New Roman" w:hAnsi="Arial" w:cs="Arial"/>
          <w:lang w:eastAsia="sr-Latn-RS"/>
        </w:rPr>
        <w:t xml:space="preserve"> se izračunava formulom: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98"/>
        <w:gridCol w:w="4309"/>
        <w:gridCol w:w="4005"/>
      </w:tblGrid>
      <w:tr w:rsidR="00984859" w:rsidRPr="00984859" w:rsidTr="00984859">
        <w:trPr>
          <w:tblCellSpacing w:w="0" w:type="dxa"/>
        </w:trPr>
        <w:tc>
          <w:tcPr>
            <w:tcW w:w="3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BCF</w:t>
            </w:r>
            <w:r w:rsidRPr="00984859">
              <w:rPr>
                <w:rFonts w:ascii="Arial" w:eastAsia="Times New Roman" w:hAnsi="Arial" w:cs="Arial"/>
                <w:sz w:val="15"/>
                <w:szCs w:val="15"/>
                <w:vertAlign w:val="subscript"/>
                <w:lang w:eastAsia="sr-Latn-RS"/>
              </w:rPr>
              <w:t>SS</w:t>
            </w:r>
            <w:r w:rsidRPr="00984859">
              <w:rPr>
                <w:rFonts w:ascii="Arial" w:eastAsia="Times New Roman" w:hAnsi="Arial" w:cs="Arial"/>
                <w:lang w:eastAsia="sr-Latn-RS"/>
              </w:rPr>
              <w:t xml:space="preserve"> = </w:t>
            </w:r>
          </w:p>
        </w:tc>
        <w:tc>
          <w:tcPr>
            <w:tcW w:w="14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kao ravnotežno stanje (srednja vrednost) </w:t>
            </w:r>
          </w:p>
        </w:tc>
        <w:tc>
          <w:tcPr>
            <w:tcW w:w="32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kao ravnotežno stanje (srednja vrednost)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 se ne dostigne ravnotežno stanje, moguće je izračunati BCF</w:t>
      </w:r>
      <w:r w:rsidRPr="00984859">
        <w:rPr>
          <w:rFonts w:ascii="Arial" w:eastAsia="Times New Roman" w:hAnsi="Arial" w:cs="Arial"/>
          <w:sz w:val="15"/>
          <w:szCs w:val="15"/>
          <w:vertAlign w:val="subscript"/>
          <w:lang w:eastAsia="sr-Latn-RS"/>
        </w:rPr>
        <w:t>SS</w:t>
      </w:r>
      <w:r w:rsidRPr="00984859">
        <w:rPr>
          <w:rFonts w:ascii="Arial" w:eastAsia="Times New Roman" w:hAnsi="Arial" w:cs="Arial"/>
          <w:lang w:eastAsia="sr-Latn-RS"/>
        </w:rPr>
        <w:t xml:space="preserve"> koji je dovoljno precizan za procenu rizika iz ravnotežnog stanja kao 80% (1,6/k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ili 95% (3,0/k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ekvilibrijuma.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Određuje se i BCF</w:t>
      </w:r>
      <w:r w:rsidRPr="00984859">
        <w:rPr>
          <w:rFonts w:ascii="Arial" w:eastAsia="Times New Roman" w:hAnsi="Arial" w:cs="Arial"/>
          <w:sz w:val="15"/>
          <w:szCs w:val="15"/>
          <w:vertAlign w:val="subscript"/>
          <w:lang w:eastAsia="sr-Latn-RS"/>
        </w:rPr>
        <w:t>K</w:t>
      </w:r>
      <w:r w:rsidRPr="00984859">
        <w:rPr>
          <w:rFonts w:ascii="Arial" w:eastAsia="Times New Roman" w:hAnsi="Arial" w:cs="Arial"/>
          <w:lang w:eastAsia="sr-Latn-RS"/>
        </w:rPr>
        <w:t xml:space="preserve"> kao odnos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dve konstante kinetike prvog reda. Konstanta brzine eliminacije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obično se određuje iz krive eliminacije (odnosno grafičkog prikaza smanjenja koncentracije ispitivane supstance u ribi u funkciji vremena). Zatim se izračunava konstanta brzine unosa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s obzirom na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vrednost 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koja se određuje iz krive unosa (videti Deo šesti ove metode). Najbolji postupak za određivanje vrednosti BCFK i konstantni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 upotrebom računara korišćenjem metoda za procenu nelinearnih parametara</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Koristi se i grafički metod za izračunavanje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Ako kriva eliminacije očigledno nije kriva kinetike prvog reda, upotrebljavaju se složeniji modeli (videti literaturu u Delu četvrtom ove metode) i traži savet statističara.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biti oprezan prilikom tumačenja rezultata ispitivanja kada se izmerene koncentracije ispitivane supstance nalaze blizu limita detekcije primenjene analitičke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Jasno definisane krive unosa i eliminacije su indikatori dobrog kvaliteta podataka. Razlika između vrednosti konstanti unosa/eliminacije za dve primenjene koncentracije ispitivane supstance je manje od 20%. U izveštaju o ispitivanju navode se i objašnjavaju opažene značajne razlike u brzinama unosa/eliminacije za dve primenjene koncentracije ispitivane supstance. Uobičajeno, intervali poverenja za vrednosti BCF iz dobro osmišljenog i izvedenog ispitivanja iznose oko ± 20%.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priroda i ukoliko je relevantno,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hemijskoj identifikaciji (uključujući sadržaj organskog ugljenika, ukoliko je prikladno);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ukoliko se ispituju obeležene supstance, tačan položaj radioaktivno obeleženih atoma i procenat radioaktivnosti povezan sa nečistoćama;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vrstama koje se koriste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latinski naziv, soj, poreklo, prethodni tretmani (ukoliko ih je bilo), aklimatizacija, uzrast, veličina jedinki,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primenjeni uslovi ispitivanja (npr. protočni ili semi-statički);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tip i svojstva primenjenog osvetljenja i trajanje fotoperioda;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postavka ispitivanja (npr. broj i veličina akvarijuma, dinamika izmene medijuma u akvarijumima, broj ponavljanja, broj jedinki riba po ponavljanju, broj koncentracija ispitivane supstance, dužina trajanja faza unosa i eliminacije, učestalost uzimanja uzoraka ribe 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postupak pripreme osnovnih rastvora i učestalost izmene (ukoliko se koristi rastvarač za povećanje rastvorljivosti ispitivane supstance, navodi se koji rastvarač, njegova koncentracija i doprinos sadržaju ukupnom organskog ugljenika u medijumu);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nominalne koncentracije ispitivane supstance, srednje vrednosti i standardne devijacije koncentracija izmerenih u akvarijumima i postupak kojim su određene;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vode za razblaživanje, opis svake prethodne obrade, rezultati bilo kog ispitivanja koji potvrđuje da jedinke ribe mogu da žive u toj vodi, kao i svojstva vode: pH vrednost, tvrdoća, temperatura, koncentracija rastvorenog kiseonika, rezidijumi hlora (ukoliko je mereno), ukupni organski ugljenik, suspendovane materije, salinitet mediuma (ukoliko je primereno) i rezultati svih merenja koja su urađena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kvalitet vode u akvarijumima, pH vrednost, tvrdoća, TOC, temperatura i koncentracija rastvorenog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detaljni podaci o hranjenju (npr, vrsta hrane, poreklo, sastav - ako je moguće, bar sadržaj lipida i proteina, količina hrane i učestalost hranjenja);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obradi uzoraka ribe i vode, uključujući detalje o pripremi, čuvanju, ekstrakciji i analitičkim metodama (i preciznost) primenjenim na ispitivanoj supstanci i sadržaj lipida ukoliko je meren).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svakog preliminarnog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smrtnost u kontrolnim i u svim ispitivanim grupama, kao i svako uočeno abnormalno ponašanje;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lipida u jedinkama ribe (ukoliko je određivano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krive (uključujući sve podatke merenja) koje pokazuju unos i eliminaciju ispitivane supstance iz ribe i vreme do uspostavljanja ravnotežnog stanja;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i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(sa standardnom devijacijom i intervalima poverenja, ukoliko je primereno) za sva uzorkovanja (C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izražen u mg/g mokre težine (ppm) cele ribe ili određenih tkiva ribe, npr. lipida, i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u mg/g (ppm).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vrednosti za kontrolu (vrednost fona se takođe navodi);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BCF</w:t>
      </w:r>
      <w:r w:rsidRPr="00984859">
        <w:rPr>
          <w:rFonts w:ascii="Arial" w:eastAsia="Times New Roman" w:hAnsi="Arial" w:cs="Arial"/>
          <w:sz w:val="15"/>
          <w:szCs w:val="15"/>
          <w:vertAlign w:val="subscript"/>
          <w:lang w:eastAsia="sr-Latn-RS"/>
        </w:rPr>
        <w:t>SS</w:t>
      </w:r>
      <w:r w:rsidRPr="00984859">
        <w:rPr>
          <w:rFonts w:ascii="Arial" w:eastAsia="Times New Roman" w:hAnsi="Arial" w:cs="Arial"/>
          <w:lang w:eastAsia="sr-Latn-RS"/>
        </w:rPr>
        <w:t>, odnosno BCF</w:t>
      </w:r>
      <w:r w:rsidRPr="00984859">
        <w:rPr>
          <w:rFonts w:ascii="Arial" w:eastAsia="Times New Roman" w:hAnsi="Arial" w:cs="Arial"/>
          <w:sz w:val="15"/>
          <w:szCs w:val="15"/>
          <w:vertAlign w:val="subscript"/>
          <w:lang w:eastAsia="sr-Latn-RS"/>
        </w:rPr>
        <w:t>K</w:t>
      </w:r>
      <w:r w:rsidRPr="00984859">
        <w:rPr>
          <w:rFonts w:ascii="Arial" w:eastAsia="Times New Roman" w:hAnsi="Arial" w:cs="Arial"/>
          <w:lang w:eastAsia="sr-Latn-RS"/>
        </w:rPr>
        <w:t xml:space="preserve">, ukoliko je primenljivo, 95% intervali poverenja za konstante brzina unosa i eliminacije (sve izražene u odnosu na celu ribu, i ukupni sadržaj lipida ukoliko je izmeren, ribe ili određenih tkiva ribe), intervala poverenja i standardne devijacije (ukoliko se raspolaže tim podacima) i postupci izračunavanja/analize podataka za svaku koncentraciju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su korišćene obeležene supstance i ukoliko je zahtevano, može se prikazati akumulacija svih detektovanih metabolita;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 neobična opažanja u toku ispitivanja, sva odstupanja od ovde opisanih postupaka i sve ostale relevantne informacije;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ispod limita detekcije ne koriste se za izračunavanje konstanti brzina.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Connell D.W. (1988) Bioaccumulation behaviour of persistent chemicals with aquatic organisms. Rev. Environ. Contam. Toxicol. 102, p. 117-156.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Bintein S., Devillers J. and Karcher W. (1993) Nonlinear dependence of fish bioconcentration on n-octanol/water partition coefficient. SAR and QSAR in Environmental Research, 1, p. 29-390.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OECD, Paris (1996) Direct Phototransformation of chemicals in water. Environmental Health and Safety Guidance Document Series on Testing and Assessment of Chemicals. No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Kristensen P. (1991) BioCOncentration in fish: Comparison of bioconcentration factors derived from OECD and ASTM testing methods; influence of particulate organic matter to the bioavailability of chemicals. Water Quality Institute, Denmark.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US EPA 822-R-94-002 (1994) Great Lake Water Quality Initiative Technical Support Document for the Procedure to Determine Bioaccumulation Factors. July 1994.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US FDA, (Food and Drug Administration) Revision. Pesticide analytical manual, 1, 5600 Fisher's Lane, Rockville, MD 20852, July 1975.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US EPA (1974). Section 5, A(1) Analysis of Human or Animal Adipose Tissue, in Analysis of Pesticide Residues in Human and Environmental Samples, Thompson J.F. (ed.) Research Triangle Park, N.C. 27711.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Compaan H. (1980) in 'The determination of the possible effects of chemicals and wastes on the aquatic environment: degradation, toxicity, bioaccumulation' Ch. 2.3, Part II. Government Publishing Office, The Hague, The Netherlands.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Gardner et al, (1995) Limn. &amp; Oceanogr. 30, p. 1099-1105.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Randall R.C., Lee H., Ozretich R.J., Lake J.L. and Pruell R.J. (1991). Evaluation of selected lipid methods for normalising pollutant bioaccumulation. Envir. Toxicol. Chem. 10, p. 1431-1436.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CEC, Bioconcentration of chemical substances in fish: the flow-through method-Ring Test Programme, 1984 to 1985. Final report March 1987. Authors: P. Kristensen and N. Nyholm.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ASTM E-1022-84 (Reapproved 1988) Standard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HEMIJSKA SVOJSTVA ODGOVARAJUĆE VODE ZA RAZBLAŽIVANJE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30"/>
        <w:gridCol w:w="5445"/>
        <w:gridCol w:w="3257"/>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Parametar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Granična koncentracija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Suspendove materije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organski ugljenik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Nejonizovani amonijak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Rezidijumi hlora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organofosforni pesticidi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50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organohlorni pesticidi plus PCB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50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organski hlor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Aluminijum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Arsen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Hrom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Kobalt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Bakar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Gvožđe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Olovo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Nikl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Cink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μg/l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Kadmijum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100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Živa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100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Srebro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100 ng/l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PREPORUČENE VRSTE RIBA ZA ISPITIVANJA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3"/>
        <w:gridCol w:w="4276"/>
        <w:gridCol w:w="2234"/>
        <w:gridCol w:w="2439"/>
      </w:tblGrid>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Preporučene vrste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Preporučeni opseg temperatura (°C)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Preporučena ukupna dužina jedinki (cm)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Danio rerio</w:t>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xml:space="preserve"> (Teleostei, Cyprinidae) (Hamilton-Buchanan), zebrica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20 - 25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 0,5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Pimephales promelas</w:t>
            </w:r>
            <w:r w:rsidRPr="00984859">
              <w:rPr>
                <w:rFonts w:ascii="Arial" w:eastAsia="Times New Roman" w:hAnsi="Arial" w:cs="Arial"/>
                <w:lang w:eastAsia="sr-Latn-RS"/>
              </w:rPr>
              <w:t xml:space="preserve"> (Teleostei, Cyprinidae)</w:t>
            </w:r>
            <w:r w:rsidRPr="00984859">
              <w:rPr>
                <w:rFonts w:ascii="Arial" w:eastAsia="Times New Roman" w:hAnsi="Arial" w:cs="Arial"/>
                <w:lang w:eastAsia="sr-Latn-RS"/>
              </w:rPr>
              <w:br/>
              <w:t xml:space="preserve">(Rafinesque)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20 - 25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 2,0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Cyprinus carpio</w:t>
            </w:r>
            <w:r w:rsidRPr="00984859">
              <w:rPr>
                <w:rFonts w:ascii="Arial" w:eastAsia="Times New Roman" w:hAnsi="Arial" w:cs="Arial"/>
                <w:lang w:eastAsia="sr-Latn-RS"/>
              </w:rPr>
              <w:t xml:space="preserve"> (Teleostei, Cyprinidae)</w:t>
            </w:r>
            <w:r w:rsidRPr="00984859">
              <w:rPr>
                <w:rFonts w:ascii="Arial" w:eastAsia="Times New Roman" w:hAnsi="Arial" w:cs="Arial"/>
                <w:lang w:eastAsia="sr-Latn-RS"/>
              </w:rPr>
              <w:br/>
              <w:t xml:space="preserve">(Linnaeus), šaran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20 - 25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 3,0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Oryzias latipes</w:t>
            </w:r>
            <w:r w:rsidRPr="00984859">
              <w:rPr>
                <w:rFonts w:ascii="Arial" w:eastAsia="Times New Roman" w:hAnsi="Arial" w:cs="Arial"/>
                <w:lang w:eastAsia="sr-Latn-RS"/>
              </w:rPr>
              <w:t xml:space="preserve"> (Teleostei, Poeciliidae)</w:t>
            </w:r>
            <w:r w:rsidRPr="00984859">
              <w:rPr>
                <w:rFonts w:ascii="Arial" w:eastAsia="Times New Roman" w:hAnsi="Arial" w:cs="Arial"/>
                <w:lang w:eastAsia="sr-Latn-RS"/>
              </w:rPr>
              <w:br/>
              <w:t xml:space="preserve">(Temminck and Schlegel)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20 - 25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 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Poecilia reticulata</w:t>
            </w:r>
            <w:r w:rsidRPr="00984859">
              <w:rPr>
                <w:rFonts w:ascii="Arial" w:eastAsia="Times New Roman" w:hAnsi="Arial" w:cs="Arial"/>
                <w:lang w:eastAsia="sr-Latn-RS"/>
              </w:rPr>
              <w:t xml:space="preserve"> (Teleostei, Poeciliidae)</w:t>
            </w:r>
            <w:r w:rsidRPr="00984859">
              <w:rPr>
                <w:rFonts w:ascii="Arial" w:eastAsia="Times New Roman" w:hAnsi="Arial" w:cs="Arial"/>
                <w:lang w:eastAsia="sr-Latn-RS"/>
              </w:rPr>
              <w:br/>
              <w:t xml:space="preserve">(Peters), gupi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20 - 25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 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Lepomis macrochirus</w:t>
            </w:r>
            <w:r w:rsidRPr="00984859">
              <w:rPr>
                <w:rFonts w:ascii="Arial" w:eastAsia="Times New Roman" w:hAnsi="Arial" w:cs="Arial"/>
                <w:lang w:eastAsia="sr-Latn-RS"/>
              </w:rPr>
              <w:t xml:space="preserve"> (Teleostei, Centrarchidae) (Rafinesque)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20 - 25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 2,0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Oncorhynchus </w:t>
            </w:r>
            <w:r w:rsidRPr="00984859">
              <w:rPr>
                <w:rFonts w:ascii="Arial" w:eastAsia="Times New Roman" w:hAnsi="Arial" w:cs="Arial"/>
                <w:i/>
                <w:iCs/>
                <w:lang w:eastAsia="sr-Latn-RS"/>
              </w:rPr>
              <w:t>mykiss</w:t>
            </w:r>
            <w:r w:rsidRPr="00984859">
              <w:rPr>
                <w:rFonts w:ascii="Arial" w:eastAsia="Times New Roman" w:hAnsi="Arial" w:cs="Arial"/>
                <w:lang w:eastAsia="sr-Latn-RS"/>
              </w:rPr>
              <w:t xml:space="preserve"> (Teleostei, Salmonidae) (Walbaum), kalifornijska pastrmka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13 - 17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 4,0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Gasterosteus aculeatus</w:t>
            </w:r>
            <w:r w:rsidRPr="00984859">
              <w:rPr>
                <w:rFonts w:ascii="Arial" w:eastAsia="Times New Roman" w:hAnsi="Arial" w:cs="Arial"/>
                <w:lang w:eastAsia="sr-Latn-RS"/>
              </w:rPr>
              <w:t xml:space="preserve"> (Teleostei, Gasterosteidae) (Linnaeus) koljuška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18 - 20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 1,0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Različite estuarske i morske vrste riba koje se koriste u drugim zemljama su: </w:t>
      </w:r>
      <w:r w:rsidRPr="00984859">
        <w:rPr>
          <w:rFonts w:ascii="Arial" w:eastAsia="Times New Roman" w:hAnsi="Arial" w:cs="Arial"/>
          <w:i/>
          <w:iCs/>
          <w:lang w:eastAsia="sr-Latn-RS"/>
        </w:rPr>
        <w:t>Leiostomus xanthurus, Cyprinodon variegatus, Menidia beryllina, Cymatogaster aggregata, Parophrys vetulus, Leptocottus armatus, Gasterosteus aculeatus, Dicentracus labrax</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Alburnus alburnus.</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IX</w:t>
      </w:r>
      <w:r w:rsidRPr="00984859">
        <w:rPr>
          <w:rFonts w:ascii="Arial" w:eastAsia="Times New Roman" w:hAnsi="Arial" w:cs="Arial"/>
          <w:lang w:eastAsia="sr-Latn-RS"/>
        </w:rPr>
        <w:t xml:space="preserve"> Meyer A., Orti G. (1993) Proc. Royal Society of London, Series B., Vol. 252, p. 231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PRIKUPLJANJE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Navedene vrste riba lako se razmnožavaju i uzgajaju. U mnogim delovima sveta ove vrste riba mogu se nabaviti u toku cele godine. Kako su navedene vrste pogodne i za uzgajanje u laboratorijskim uslovima, zdravstveno stanje i poreklo jedinki koje se koriste za ispitivanje je, uz kontrolu prisustva parazita i bolesti, uvek poznato.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četvrti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PREDVIĐANJE TRAJANJA FAZA UNOSA I ELIMINACIJE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PREDVIĐANJE TRAJANJA FAZE UNOSA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 izvođenja ispitivanja, procena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procena vremena potrebnog da se uspostavi ravnotežno stanje može se dobiti iz empirijskih odnosa između vrednosti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koeficijenta raspodele u sistemu </w:t>
      </w:r>
      <w:r w:rsidRPr="00984859">
        <w:rPr>
          <w:rFonts w:ascii="Arial" w:eastAsia="Times New Roman" w:hAnsi="Arial" w:cs="Arial"/>
          <w:i/>
          <w:iCs/>
          <w:lang w:eastAsia="sr-Latn-RS"/>
        </w:rPr>
        <w:t>n</w:t>
      </w:r>
      <w:r w:rsidRPr="00984859">
        <w:rPr>
          <w:rFonts w:ascii="Arial" w:eastAsia="Times New Roman" w:hAnsi="Arial" w:cs="Arial"/>
          <w:lang w:eastAsia="sr-Latn-RS"/>
        </w:rPr>
        <w:t>-oktanol/voda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ili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rastvorljivosti u vodi ispitivane supstance (s).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(dan</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može se dobiti, npr. iz sledeće empirijske jednačine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-0.414×log</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)+1.47×(r</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 0.95) (jednačina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ostale jednačine videti u literaturi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podeoni koeficijent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nije poznat, može se napraviti procena</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na osnovu poznavanja rastvorljivosti ispitivane supstance u vodi koristeći jednačinu: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 0.862×log</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(s)+0.710×(r</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 0.994) (jednačina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s</w:t>
      </w:r>
      <w:r w:rsidRPr="00984859">
        <w:rPr>
          <w:rFonts w:ascii="Arial" w:eastAsia="Times New Roman" w:hAnsi="Arial" w:cs="Arial"/>
          <w:lang w:eastAsia="sr-Latn-RS"/>
        </w:rPr>
        <w:t xml:space="preserve"> jeste rastvorljivost (mol/l) :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Ovi odnosi važe samo za supstance sa vrednostima log P</w:t>
      </w:r>
      <w:r w:rsidRPr="00984859">
        <w:rPr>
          <w:rFonts w:ascii="Arial" w:eastAsia="Times New Roman" w:hAnsi="Arial" w:cs="Arial"/>
          <w:sz w:val="15"/>
          <w:szCs w:val="15"/>
          <w:vertAlign w:val="subscript"/>
          <w:lang w:eastAsia="sr-Latn-RS"/>
        </w:rPr>
        <w:t xml:space="preserve">ow </w:t>
      </w:r>
      <w:r w:rsidRPr="00984859">
        <w:rPr>
          <w:rFonts w:ascii="Arial" w:eastAsia="Times New Roman" w:hAnsi="Arial" w:cs="Arial"/>
          <w:lang w:eastAsia="sr-Latn-RS"/>
        </w:rPr>
        <w:t>između 2 i 6,5</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potrebno da se postigne određeni procenat ravnotežnog stanja može se dobiti iz opšte kinetičke jednačine koja opisuje unos i eliminaciju (kinetika prvog reda):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607"/>
        <w:gridCol w:w="7505"/>
      </w:tblGrid>
      <w:tr w:rsidR="00984859" w:rsidRPr="00984859" w:rsidTr="00984859">
        <w:trPr>
          <w:tblCellSpacing w:w="0" w:type="dxa"/>
        </w:trPr>
        <w:tc>
          <w:tcPr>
            <w:tcW w:w="0" w:type="auto"/>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dC</w:t>
            </w:r>
            <w:r w:rsidRPr="00984859">
              <w:rPr>
                <w:rFonts w:ascii="Arial" w:eastAsia="Times New Roman" w:hAnsi="Arial" w:cs="Arial"/>
                <w:sz w:val="15"/>
                <w:szCs w:val="15"/>
                <w:vertAlign w:val="subscript"/>
                <w:lang w:eastAsia="sr-Latn-RS"/>
              </w:rPr>
              <w:t>f</w:t>
            </w:r>
          </w:p>
        </w:tc>
        <w:tc>
          <w:tcPr>
            <w:tcW w:w="0" w:type="auto"/>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x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x C</w:t>
            </w:r>
            <w:r w:rsidRPr="00984859">
              <w:rPr>
                <w:rFonts w:ascii="Arial" w:eastAsia="Times New Roman" w:hAnsi="Arial" w:cs="Arial"/>
                <w:sz w:val="15"/>
                <w:szCs w:val="15"/>
                <w:vertAlign w:val="subscript"/>
                <w:lang w:eastAsia="sr-Latn-RS"/>
              </w:rPr>
              <w:t>f</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ili ako je vrednost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konstantna: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52"/>
        <w:gridCol w:w="344"/>
        <w:gridCol w:w="1247"/>
        <w:gridCol w:w="7269"/>
      </w:tblGrid>
      <w:tr w:rsidR="00984859" w:rsidRPr="00984859" w:rsidTr="00984859">
        <w:trPr>
          <w:tblCellSpacing w:w="0" w:type="dxa"/>
        </w:trPr>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 </w:t>
            </w:r>
          </w:p>
        </w:tc>
        <w:tc>
          <w:tcPr>
            <w:tcW w:w="2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1</w:t>
            </w:r>
          </w:p>
        </w:tc>
        <w:tc>
          <w:tcPr>
            <w:tcW w:w="5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x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(1 - e</w:t>
            </w:r>
            <w:r w:rsidRPr="00984859">
              <w:rPr>
                <w:rFonts w:ascii="Arial" w:eastAsia="Times New Roman" w:hAnsi="Arial" w:cs="Arial"/>
                <w:sz w:val="15"/>
                <w:szCs w:val="15"/>
                <w:vertAlign w:val="superscript"/>
                <w:lang w:eastAsia="sr-Latn-RS"/>
              </w:rPr>
              <w:t>-k2t</w:t>
            </w:r>
            <w:r w:rsidRPr="00984859">
              <w:rPr>
                <w:rFonts w:ascii="Arial" w:eastAsia="Times New Roman" w:hAnsi="Arial" w:cs="Arial"/>
                <w:lang w:eastAsia="sr-Latn-RS"/>
              </w:rPr>
              <w:t xml:space="preserve">) </w:t>
            </w:r>
          </w:p>
        </w:tc>
        <w:tc>
          <w:tcPr>
            <w:tcW w:w="4050" w:type="pct"/>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(jednačina 3)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 se približava dostizanje ravnotežnog stanja (t®¥), jednačina 3 može se svesti</w:t>
      </w:r>
      <w:r w:rsidRPr="00984859">
        <w:rPr>
          <w:rFonts w:ascii="Arial" w:eastAsia="Times New Roman" w:hAnsi="Arial" w:cs="Arial"/>
          <w:b/>
          <w:bCs/>
          <w:sz w:val="15"/>
          <w:szCs w:val="15"/>
          <w:vertAlign w:val="superscript"/>
          <w:lang w:eastAsia="sr-Latn-RS"/>
        </w:rPr>
        <w:t xml:space="preserve">5, 6 </w:t>
      </w:r>
      <w:r w:rsidRPr="00984859">
        <w:rPr>
          <w:rFonts w:ascii="Arial" w:eastAsia="Times New Roman" w:hAnsi="Arial" w:cs="Arial"/>
          <w:lang w:eastAsia="sr-Latn-RS"/>
        </w:rPr>
        <w:t xml:space="preserve">na: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64"/>
        <w:gridCol w:w="456"/>
        <w:gridCol w:w="8292"/>
      </w:tblGrid>
      <w:tr w:rsidR="00984859" w:rsidRPr="00984859" w:rsidTr="00984859">
        <w:trPr>
          <w:tblCellSpacing w:w="0" w:type="dxa"/>
        </w:trPr>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 </w:t>
            </w:r>
          </w:p>
        </w:tc>
        <w:tc>
          <w:tcPr>
            <w:tcW w:w="2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1</w:t>
            </w:r>
          </w:p>
        </w:tc>
        <w:tc>
          <w:tcPr>
            <w:tcW w:w="45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x C</w:t>
            </w:r>
            <w:r w:rsidRPr="00984859">
              <w:rPr>
                <w:rFonts w:ascii="Arial" w:eastAsia="Times New Roman" w:hAnsi="Arial" w:cs="Arial"/>
                <w:sz w:val="15"/>
                <w:szCs w:val="15"/>
                <w:vertAlign w:val="subscript"/>
                <w:lang w:eastAsia="sr-Latn-RS"/>
              </w:rPr>
              <w:t>w</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5"/>
        <w:gridCol w:w="182"/>
        <w:gridCol w:w="456"/>
        <w:gridCol w:w="8019"/>
      </w:tblGrid>
      <w:tr w:rsidR="00984859" w:rsidRPr="00984859" w:rsidTr="00984859">
        <w:trPr>
          <w:tblCellSpacing w:w="0" w:type="dxa"/>
        </w:trPr>
        <w:tc>
          <w:tcPr>
            <w:tcW w:w="2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C</w:t>
            </w:r>
            <w:r w:rsidRPr="00984859">
              <w:rPr>
                <w:rFonts w:ascii="Arial" w:eastAsia="Times New Roman" w:hAnsi="Arial" w:cs="Arial"/>
                <w:sz w:val="15"/>
                <w:szCs w:val="15"/>
                <w:vertAlign w:val="subscript"/>
                <w:lang w:eastAsia="sr-Latn-RS"/>
              </w:rPr>
              <w:t>f</w:t>
            </w:r>
          </w:p>
        </w:tc>
        <w:tc>
          <w:tcPr>
            <w:tcW w:w="100" w:type="pct"/>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2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1</w:t>
            </w:r>
          </w:p>
        </w:tc>
        <w:tc>
          <w:tcPr>
            <w:tcW w:w="44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BCF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w</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Onda se iz izraza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/k</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može odrediti koncentracija ispitivane supstance u ribi pri ravnotežnom stanju (C</w:t>
      </w:r>
      <w:r w:rsidRPr="00984859">
        <w:rPr>
          <w:rFonts w:ascii="Arial" w:eastAsia="Times New Roman" w:hAnsi="Arial" w:cs="Arial"/>
          <w:sz w:val="15"/>
          <w:szCs w:val="15"/>
          <w:vertAlign w:val="subscript"/>
          <w:lang w:eastAsia="sr-Latn-RS"/>
        </w:rPr>
        <w:t>f,s</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Jednačina 3 može se pretvoriti 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f,s</w:t>
      </w:r>
      <w:r w:rsidRPr="00984859">
        <w:rPr>
          <w:rFonts w:ascii="Arial" w:eastAsia="Times New Roman" w:hAnsi="Arial" w:cs="Arial"/>
          <w:lang w:eastAsia="sr-Latn-RS"/>
        </w:rPr>
        <w:t xml:space="preserve"> x (1 - e</w:t>
      </w:r>
      <w:r w:rsidRPr="00984859">
        <w:rPr>
          <w:rFonts w:ascii="Arial" w:eastAsia="Times New Roman" w:hAnsi="Arial" w:cs="Arial"/>
          <w:sz w:val="15"/>
          <w:szCs w:val="15"/>
          <w:vertAlign w:val="superscript"/>
          <w:lang w:eastAsia="sr-Latn-RS"/>
        </w:rPr>
        <w:t>-k2t</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84"/>
        <w:gridCol w:w="637"/>
        <w:gridCol w:w="7791"/>
      </w:tblGrid>
      <w:tr w:rsidR="00984859" w:rsidRPr="00984859" w:rsidTr="00984859">
        <w:trPr>
          <w:tblCellSpacing w:w="0" w:type="dxa"/>
        </w:trPr>
        <w:tc>
          <w:tcPr>
            <w:tcW w:w="4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f</w:t>
            </w:r>
          </w:p>
        </w:tc>
        <w:tc>
          <w:tcPr>
            <w:tcW w:w="3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 e</w:t>
            </w:r>
            <w:r w:rsidRPr="00984859">
              <w:rPr>
                <w:rFonts w:ascii="Arial" w:eastAsia="Times New Roman" w:hAnsi="Arial" w:cs="Arial"/>
                <w:sz w:val="15"/>
                <w:szCs w:val="15"/>
                <w:vertAlign w:val="superscript"/>
                <w:lang w:eastAsia="sr-Latn-RS"/>
              </w:rPr>
              <w:t>-k2t</w:t>
            </w:r>
          </w:p>
        </w:tc>
        <w:tc>
          <w:tcPr>
            <w:tcW w:w="4300" w:type="pct"/>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(jednačina 4) </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f,s</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Primenom jednačine 4, vreme da se dostigne određeni procenat ravnotežnog stanja može se predvideti kad se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prethodno odredi koristeći jednačine 1 ili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Kao smernica, statistički optimalno trajanje faze unosa za dobijanje statistički prihvatljivih podataka (BCF</w:t>
      </w:r>
      <w:r w:rsidRPr="00984859">
        <w:rPr>
          <w:rFonts w:ascii="Arial" w:eastAsia="Times New Roman" w:hAnsi="Arial" w:cs="Arial"/>
          <w:sz w:val="15"/>
          <w:szCs w:val="15"/>
          <w:vertAlign w:val="subscript"/>
          <w:lang w:eastAsia="sr-Latn-RS"/>
        </w:rPr>
        <w:t>K</w:t>
      </w:r>
      <w:r w:rsidRPr="00984859">
        <w:rPr>
          <w:rFonts w:ascii="Arial" w:eastAsia="Times New Roman" w:hAnsi="Arial" w:cs="Arial"/>
          <w:lang w:eastAsia="sr-Latn-RS"/>
        </w:rPr>
        <w:t>) jeste period potreban da kriva koja predstavlja log-transformisane podatke za koncentraciju ispitivane supstance u funkciji vremena dostigne srednju tačku, ili 1,6/k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ili 80% ravnotežnog stanja, ali ne više od 3,0/k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ili 95% ravnotežnog stanja</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potrebno da se dostigne 80% ravnotežnog stanja je (jednačina 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0,80 = 1 - e - K</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t</w:t>
      </w:r>
      <w:r w:rsidRPr="00984859">
        <w:rPr>
          <w:rFonts w:ascii="Arial" w:eastAsia="Times New Roman" w:hAnsi="Arial" w:cs="Arial"/>
          <w:sz w:val="15"/>
          <w:szCs w:val="15"/>
          <w:vertAlign w:val="superscript"/>
          <w:lang w:eastAsia="sr-Latn-RS"/>
        </w:rPr>
        <w:t>80</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64"/>
        <w:gridCol w:w="547"/>
        <w:gridCol w:w="8201"/>
      </w:tblGrid>
      <w:tr w:rsidR="00984859" w:rsidRPr="00984859" w:rsidTr="00984859">
        <w:trPr>
          <w:tblCellSpacing w:w="0" w:type="dxa"/>
        </w:trPr>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80</w:t>
            </w:r>
            <w:r w:rsidRPr="00984859">
              <w:rPr>
                <w:rFonts w:ascii="Arial" w:eastAsia="Times New Roman" w:hAnsi="Arial" w:cs="Arial"/>
                <w:lang w:eastAsia="sr-Latn-RS"/>
              </w:rPr>
              <w:t xml:space="preserve"> = </w:t>
            </w:r>
          </w:p>
        </w:tc>
        <w:tc>
          <w:tcPr>
            <w:tcW w:w="3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 </w:t>
            </w:r>
          </w:p>
        </w:tc>
        <w:tc>
          <w:tcPr>
            <w:tcW w:w="4500" w:type="pct"/>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(jednačina 5)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Slično tome, vreme potrebno za dostizanje 95% ravnotežnog stanja 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64"/>
        <w:gridCol w:w="547"/>
        <w:gridCol w:w="8201"/>
      </w:tblGrid>
      <w:tr w:rsidR="00984859" w:rsidRPr="00984859" w:rsidTr="00984859">
        <w:trPr>
          <w:tblCellSpacing w:w="0" w:type="dxa"/>
        </w:trPr>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95</w:t>
            </w:r>
            <w:r w:rsidRPr="00984859">
              <w:rPr>
                <w:rFonts w:ascii="Arial" w:eastAsia="Times New Roman" w:hAnsi="Arial" w:cs="Arial"/>
                <w:lang w:eastAsia="sr-Latn-RS"/>
              </w:rPr>
              <w:t xml:space="preserve"> = </w:t>
            </w:r>
          </w:p>
        </w:tc>
        <w:tc>
          <w:tcPr>
            <w:tcW w:w="3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w:t>
            </w:r>
          </w:p>
        </w:tc>
        <w:tc>
          <w:tcPr>
            <w:tcW w:w="4500" w:type="pct"/>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(jednačina 6)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primer, trajanje faze unosa (up) za ispitivanu supstancu sa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 4 bilo bi (primenom jednačina 1, 5 i 6):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-0,414.(4)+1,47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0,652 dana</w:t>
      </w:r>
      <w:r w:rsidRPr="00984859">
        <w:rPr>
          <w:rFonts w:ascii="Arial" w:eastAsia="Times New Roman" w:hAnsi="Arial" w:cs="Arial"/>
          <w:sz w:val="15"/>
          <w:szCs w:val="15"/>
          <w:vertAlign w:val="superscript"/>
          <w:lang w:eastAsia="sr-Latn-RS"/>
        </w:rPr>
        <w:t>-1</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up (80%) = 1,6/0,652 odnosno 2,45 dana (59 sati)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up (95%) = 3,0/0,652 odnosno 4,6 dana (110 sati)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Slično tome, za ispitivanu supstancu sa s =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mol/L (log (s) = -5,0), trajanje faze unosa bilo bi (primenom jednačina 1,2,5,6):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 -0,862(-5,0)+0,710 = 5,02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-0,414.(4)+1,47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0,246 dana</w:t>
      </w:r>
      <w:r w:rsidRPr="00984859">
        <w:rPr>
          <w:rFonts w:ascii="Arial" w:eastAsia="Times New Roman" w:hAnsi="Arial" w:cs="Arial"/>
          <w:sz w:val="15"/>
          <w:szCs w:val="15"/>
          <w:vertAlign w:val="superscript"/>
          <w:lang w:eastAsia="sr-Latn-RS"/>
        </w:rPr>
        <w:t>-1</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up (80%) = 1,6/0,246 odnosno 6,5 dana (156 sati)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up (95%) = 3,0/0,246 odnosno 12,2 dana (293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Alternativno tome, izraz: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teq = 6,54 ×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+ 55,31 (sati)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može se koristiti da se izračuna vreme potrebno za dostizanje efektivnog ravnotežnog stanja</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PREDVIĐANJE TRAJANJA FAZE ELIMINACIJE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Predviđanje vremena potrebnog da se smanji koncentracija ispitivane supstance u organizmu koji se koristi u ovoj metodi do određenog procenta početne koncentracije može se dobiti iz opšte jednačine koja opisuje unos i eliminaciju (kinetika prvog reda)</w:t>
      </w:r>
      <w:r w:rsidRPr="00984859">
        <w:rPr>
          <w:rFonts w:ascii="Arial" w:eastAsia="Times New Roman" w:hAnsi="Arial" w:cs="Arial"/>
          <w:b/>
          <w:bCs/>
          <w:sz w:val="15"/>
          <w:szCs w:val="15"/>
          <w:vertAlign w:val="superscript"/>
          <w:lang w:eastAsia="sr-Latn-RS"/>
        </w:rPr>
        <w:t>1, 8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fazu eliminacije, pretpostavlja se da je vrednost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nula. Jednačina se može redukovati na: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38"/>
        <w:gridCol w:w="8474"/>
      </w:tblGrid>
      <w:tr w:rsidR="00984859" w:rsidRPr="00984859" w:rsidTr="00984859">
        <w:trPr>
          <w:tblCellSpacing w:w="0" w:type="dxa"/>
        </w:trPr>
        <w:tc>
          <w:tcPr>
            <w:tcW w:w="3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dC</w:t>
            </w:r>
            <w:r w:rsidRPr="00984859">
              <w:rPr>
                <w:rFonts w:ascii="Arial" w:eastAsia="Times New Roman" w:hAnsi="Arial" w:cs="Arial"/>
                <w:sz w:val="15"/>
                <w:szCs w:val="15"/>
                <w:vertAlign w:val="subscript"/>
                <w:lang w:eastAsia="sr-Latn-RS"/>
              </w:rPr>
              <w:t>f</w:t>
            </w:r>
          </w:p>
        </w:tc>
        <w:tc>
          <w:tcPr>
            <w:tcW w:w="46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 k2 C</w:t>
            </w:r>
            <w:r w:rsidRPr="00984859">
              <w:rPr>
                <w:rFonts w:ascii="Arial" w:eastAsia="Times New Roman" w:hAnsi="Arial" w:cs="Arial"/>
                <w:sz w:val="15"/>
                <w:szCs w:val="15"/>
                <w:vertAlign w:val="subscript"/>
                <w:lang w:eastAsia="sr-Latn-RS"/>
              </w:rPr>
              <w:t>f</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w:t>
            </w:r>
            <w:r w:rsidRPr="00984859">
              <w:rPr>
                <w:rFonts w:ascii="Arial" w:eastAsia="Times New Roman" w:hAnsi="Arial" w:cs="Arial"/>
                <w:sz w:val="15"/>
                <w:szCs w:val="15"/>
                <w:vertAlign w:val="subscript"/>
                <w:lang w:eastAsia="sr-Latn-RS"/>
              </w:rPr>
              <w:t>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 xml:space="preserve">f,o </w:t>
      </w:r>
      <w:r w:rsidRPr="00984859">
        <w:rPr>
          <w:rFonts w:ascii="Arial" w:eastAsia="Times New Roman" w:hAnsi="Arial" w:cs="Arial"/>
          <w:lang w:eastAsia="sr-Latn-RS"/>
        </w:rPr>
        <w:t>× e - K</w:t>
      </w:r>
      <w:r w:rsidRPr="00984859">
        <w:rPr>
          <w:rFonts w:ascii="Arial" w:eastAsia="Times New Roman" w:hAnsi="Arial" w:cs="Arial"/>
          <w:sz w:val="15"/>
          <w:szCs w:val="15"/>
          <w:vertAlign w:val="superscript"/>
          <w:lang w:eastAsia="sr-Latn-RS"/>
        </w:rPr>
        <w:t>2t</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 xml:space="preserve">f,0 </w:t>
      </w:r>
      <w:r w:rsidRPr="00984859">
        <w:rPr>
          <w:rFonts w:ascii="Arial" w:eastAsia="Times New Roman" w:hAnsi="Arial" w:cs="Arial"/>
          <w:lang w:eastAsia="sr-Latn-RS"/>
        </w:rPr>
        <w:t xml:space="preserve">jeste koncentracija na početku perioda eliminacije.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Eliminacija od 50% postiže se u vremenu 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47"/>
        <w:gridCol w:w="273"/>
        <w:gridCol w:w="638"/>
        <w:gridCol w:w="7654"/>
      </w:tblGrid>
      <w:tr w:rsidR="00984859" w:rsidRPr="00984859" w:rsidTr="00984859">
        <w:trPr>
          <w:tblCellSpacing w:w="0" w:type="dxa"/>
        </w:trPr>
        <w:tc>
          <w:tcPr>
            <w:tcW w:w="3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f</w:t>
            </w:r>
          </w:p>
        </w:tc>
        <w:tc>
          <w:tcPr>
            <w:tcW w:w="150" w:type="pct"/>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3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4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e-K</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t</w:t>
            </w:r>
            <w:r w:rsidRPr="00984859">
              <w:rPr>
                <w:rFonts w:ascii="Arial" w:eastAsia="Times New Roman" w:hAnsi="Arial" w:cs="Arial"/>
                <w:sz w:val="15"/>
                <w:szCs w:val="15"/>
                <w:vertAlign w:val="superscript"/>
                <w:lang w:eastAsia="sr-Latn-RS"/>
              </w:rPr>
              <w:t>50</w:t>
            </w: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f,o</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65"/>
        <w:gridCol w:w="911"/>
        <w:gridCol w:w="7836"/>
      </w:tblGrid>
      <w:tr w:rsidR="00984859" w:rsidRPr="00984859" w:rsidTr="00984859">
        <w:trPr>
          <w:tblCellSpacing w:w="0" w:type="dxa"/>
        </w:trPr>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 </w:t>
            </w:r>
          </w:p>
        </w:tc>
        <w:tc>
          <w:tcPr>
            <w:tcW w:w="5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0,693 </w:t>
            </w:r>
          </w:p>
        </w:tc>
        <w:tc>
          <w:tcPr>
            <w:tcW w:w="430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Slično tome, 95% eliminacija postiže se pri: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65"/>
        <w:gridCol w:w="911"/>
        <w:gridCol w:w="7836"/>
      </w:tblGrid>
      <w:tr w:rsidR="00984859" w:rsidRPr="00984859" w:rsidTr="00984859">
        <w:trPr>
          <w:tblCellSpacing w:w="0" w:type="dxa"/>
        </w:trPr>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95</w:t>
            </w:r>
            <w:r w:rsidRPr="00984859">
              <w:rPr>
                <w:rFonts w:ascii="Arial" w:eastAsia="Times New Roman" w:hAnsi="Arial" w:cs="Arial"/>
                <w:lang w:eastAsia="sr-Latn-RS"/>
              </w:rPr>
              <w:t xml:space="preserve"> = </w:t>
            </w:r>
          </w:p>
        </w:tc>
        <w:tc>
          <w:tcPr>
            <w:tcW w:w="5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w:t>
            </w:r>
          </w:p>
        </w:tc>
        <w:tc>
          <w:tcPr>
            <w:tcW w:w="430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koristi 80% unosa za prvi period (1,6/k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i 95% gubitka u fazi eliminacije (3,0/k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onda faza eliminacije traje približno dva puta duže od faze unosa.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Ove procene se zasnivaju na pretpostavci da se procesi unosa i eliminacije mogu opisati kao kinetika prvog reda. Ukoliko se ne ponašaju po modelu kinetike prvog reda, koriste se složeniji modeli</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Spacie A. and Hamelink J.L. (1982) Alternative models for describing the bioConcentration of organics in fish. Environ. ToxiCol. and Chem. 1, pp 309-320.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Kristensen P. (1991) BioConcentration in fish: Comparison of BCF's derived from OECD and ASTM testing methods; influence of particulate matter to the bioavailability of chemicals. Danish Water Quality Institute.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Chiou C.T. and Schmedding D.W. (1982) Partitioning of organic Compounds in octanol-water systems. Environ. Sci. Technol. 16 (1), pp 4-10.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Hawker D.W. and Connell D.W. (1988) Influence of partition Coefficient of lipophilic Compounds on bioConcentration kinetics with fish. Wat. Res. 22 (6), pp 701-707.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Branson D.R., Blau G.E., Alexander H.C. and Neely W.B. (1975) Transactions of the American Fisheries Society, 104 (4), pp 785-792.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Ernst W. (1985) Accumulation in Aquatic organisms. In: Appraisal of tests to predict the environmental behaviour of chemicals. Ed. by Sheehman P., Korte F., Klein W. and Bourdeau P.H. Part 4.4 pp 243-255. SCOPE, 1985, John Wiley &amp; Sons Ltd. N.Y.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Reilly P.M., Bajramovic R., Blau G.E., Branson D.R. and Sauerhoff M.W. (1977) Guidelines for the optimal design of experiments to estimate parameters in first order kinetic models, Can. J. Chem. Eng. 55, pp 614-622.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Könemann H. and Van Leeuwen K. (1980) ToxiCokinetics in fish: Accumulation and Elimination of six Chlorobenzenes by Guppies. Chemosphere, 9, pp 3-19.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peti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PRIMER UZORKOVANJA ZA ISPITIVANJE BIOKONCENTRACIJE ZA SUPSTANCE SA LOG P</w:t>
      </w:r>
      <w:r w:rsidRPr="00984859">
        <w:rPr>
          <w:rFonts w:ascii="Arial" w:eastAsia="Times New Roman" w:hAnsi="Arial" w:cs="Arial"/>
          <w:b/>
          <w:bCs/>
          <w:sz w:val="15"/>
          <w:szCs w:val="15"/>
          <w:vertAlign w:val="subscript"/>
          <w:lang w:eastAsia="sr-Latn-RS"/>
        </w:rPr>
        <w:t>ow</w:t>
      </w:r>
      <w:r w:rsidRPr="00984859">
        <w:rPr>
          <w:rFonts w:ascii="Arial" w:eastAsia="Times New Roman" w:hAnsi="Arial" w:cs="Arial"/>
          <w:b/>
          <w:bCs/>
          <w:lang w:eastAsia="sr-Latn-RS"/>
        </w:rPr>
        <w:t xml:space="preserve"> = 4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51"/>
        <w:gridCol w:w="2240"/>
        <w:gridCol w:w="1622"/>
        <w:gridCol w:w="1232"/>
        <w:gridCol w:w="2587"/>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Uzorkovanje riba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Raspored uzimanja uzoraka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Broj uzoraka vode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Broj jedinki riba po uzorku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Najmanja potrebna učestalost (u danima)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Dodatno uzimanje uzoraka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Faza unosa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w:t>
            </w:r>
            <w:r w:rsidRPr="00984859">
              <w:rPr>
                <w:rFonts w:ascii="Arial" w:eastAsia="Times New Roman" w:hAnsi="Arial" w:cs="Arial"/>
                <w:b/>
                <w:bCs/>
                <w:sz w:val="15"/>
                <w:szCs w:val="15"/>
                <w:vertAlign w:val="superscript"/>
                <w:lang w:eastAsia="sr-Latn-RS"/>
              </w:rPr>
              <w:t>X</w:t>
            </w:r>
            <w:r w:rsidRPr="00984859">
              <w:rPr>
                <w:rFonts w:ascii="Arial" w:eastAsia="Times New Roman" w:hAnsi="Arial" w:cs="Arial"/>
                <w:lang w:eastAsia="sr-Latn-RS"/>
              </w:rPr>
              <w:b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dodati 45-80 riba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w:t>
            </w:r>
            <w:r w:rsidRPr="00984859">
              <w:rPr>
                <w:rFonts w:ascii="Arial" w:eastAsia="Times New Roman" w:hAnsi="Arial" w:cs="Arial"/>
                <w:lang w:eastAsia="sr-Latn-RS"/>
              </w:rPr>
              <w:b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4</w:t>
            </w:r>
            <w:r w:rsidRPr="00984859">
              <w:rPr>
                <w:rFonts w:ascii="Arial" w:eastAsia="Times New Roman" w:hAnsi="Arial" w:cs="Arial"/>
                <w:lang w:eastAsia="sr-Latn-RS"/>
              </w:rPr>
              <w:br/>
              <w:t xml:space="preserve">(4)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w:t>
            </w:r>
            <w:r w:rsidRPr="00984859">
              <w:rPr>
                <w:rFonts w:ascii="Arial" w:eastAsia="Times New Roman" w:hAnsi="Arial" w:cs="Arial"/>
                <w:lang w:eastAsia="sr-Latn-RS"/>
              </w:rPr>
              <w:b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4</w:t>
            </w:r>
            <w:r w:rsidRPr="00984859">
              <w:rPr>
                <w:rFonts w:ascii="Arial" w:eastAsia="Times New Roman" w:hAnsi="Arial" w:cs="Arial"/>
                <w:lang w:eastAsia="sr-Latn-RS"/>
              </w:rPr>
              <w:br/>
              <w:t xml:space="preserve">(4)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w:t>
            </w:r>
            <w:r w:rsidRPr="00984859">
              <w:rPr>
                <w:rFonts w:ascii="Arial" w:eastAsia="Times New Roman" w:hAnsi="Arial" w:cs="Arial"/>
                <w:lang w:eastAsia="sr-Latn-RS"/>
              </w:rPr>
              <w:b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4</w:t>
            </w:r>
            <w:r w:rsidRPr="00984859">
              <w:rPr>
                <w:rFonts w:ascii="Arial" w:eastAsia="Times New Roman" w:hAnsi="Arial" w:cs="Arial"/>
                <w:lang w:eastAsia="sr-Latn-RS"/>
              </w:rPr>
              <w:br/>
              <w:t xml:space="preserve">(4)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w:t>
            </w:r>
            <w:r w:rsidRPr="00984859">
              <w:rPr>
                <w:rFonts w:ascii="Arial" w:eastAsia="Times New Roman" w:hAnsi="Arial" w:cs="Arial"/>
                <w:lang w:eastAsia="sr-Latn-RS"/>
              </w:rPr>
              <w:b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4</w:t>
            </w:r>
            <w:r w:rsidRPr="00984859">
              <w:rPr>
                <w:rFonts w:ascii="Arial" w:eastAsia="Times New Roman" w:hAnsi="Arial" w:cs="Arial"/>
                <w:lang w:eastAsia="sr-Latn-RS"/>
              </w:rPr>
              <w:br/>
              <w:t xml:space="preserve">(4)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Faza </w:t>
            </w:r>
            <w:r w:rsidRPr="00984859">
              <w:rPr>
                <w:rFonts w:ascii="Arial" w:eastAsia="Times New Roman" w:hAnsi="Arial" w:cs="Arial"/>
                <w:lang w:eastAsia="sr-Latn-RS"/>
              </w:rPr>
              <w:br/>
              <w:t xml:space="preserve">eliminacije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Prenos jedinki u akvarijum sa čistim medijumom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4</w:t>
            </w:r>
            <w:r w:rsidRPr="00984859">
              <w:rPr>
                <w:rFonts w:ascii="Arial" w:eastAsia="Times New Roman" w:hAnsi="Arial" w:cs="Arial"/>
                <w:lang w:eastAsia="sr-Latn-RS"/>
              </w:rPr>
              <w:br/>
              <w:t xml:space="preserve">(4)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4</w:t>
            </w:r>
            <w:r w:rsidRPr="00984859">
              <w:rPr>
                <w:rFonts w:ascii="Arial" w:eastAsia="Times New Roman" w:hAnsi="Arial" w:cs="Arial"/>
                <w:lang w:eastAsia="sr-Latn-RS"/>
              </w:rPr>
              <w:br/>
              <w:t xml:space="preserve">(4)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4</w:t>
            </w:r>
            <w:r w:rsidRPr="00984859">
              <w:rPr>
                <w:rFonts w:ascii="Arial" w:eastAsia="Times New Roman" w:hAnsi="Arial" w:cs="Arial"/>
                <w:lang w:eastAsia="sr-Latn-RS"/>
              </w:rPr>
              <w:br/>
              <w:t xml:space="preserve">(4)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6</w:t>
            </w:r>
            <w:r w:rsidRPr="00984859">
              <w:rPr>
                <w:rFonts w:ascii="Arial" w:eastAsia="Times New Roman" w:hAnsi="Arial" w:cs="Arial"/>
                <w:lang w:eastAsia="sr-Latn-RS"/>
              </w:rPr>
              <w:br/>
              <w:t xml:space="preserve">(4)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w:t>
      </w:r>
      <w:r w:rsidRPr="00984859">
        <w:rPr>
          <w:rFonts w:ascii="Arial" w:eastAsia="Times New Roman" w:hAnsi="Arial" w:cs="Arial"/>
          <w:lang w:eastAsia="sr-Latn-RS"/>
        </w:rPr>
        <w:t xml:space="preserve"> Uzorak vode nakon minumum tri zamene kompletne zapremine akvarijuma. Vrednosti u zagradama su broj uzoraka (vode, riba) koji će se uzeti ukoliko je potrebno dodatno uzorkovanje.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Napomena: Prethodna procena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za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od 4,0 je 0,652 dana</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Ukupno trajanje ispitivanja postavljeno je na 3 × up = 3 4,6 dana, odnosno 14 dana. Za procenu "up" videti Deo četvrti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šesti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IZBOR MODELA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Većina podataka dobijenih iz ispitivanja biokoncentracije može se dobro opisati pomoću jednostavnog dvoparametarskog modela, što se vidi iz linearizovane krive za vrednosti koncentracija ispitivane supstance u ribi u toku faze eliminacije, kad se grafički prikaže na semi-logaritamskom papiru (kada se ova kriva ne može linearizovati, upotrebljavaju se složeniji modeli</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Grafički postupak za određivanje konstante brzine eliminacije (gubitka) k</w:t>
      </w:r>
      <w:r w:rsidRPr="00984859">
        <w:rPr>
          <w:rFonts w:ascii="Arial" w:eastAsia="Times New Roman" w:hAnsi="Arial" w:cs="Arial"/>
          <w:sz w:val="15"/>
          <w:szCs w:val="15"/>
          <w:vertAlign w:val="subscript"/>
          <w:lang w:eastAsia="sr-Latn-RS"/>
        </w:rPr>
        <w:t>2</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Koncentracija ispitivane supstance izmerena u svakom uzorku ribe grafički se prikazuje u funkciji vremena uzimanja uzorka na semi-logaritamskom papiru. Nagib te prave je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55"/>
        <w:gridCol w:w="1039"/>
        <w:gridCol w:w="7818"/>
      </w:tblGrid>
      <w:tr w:rsidR="00984859" w:rsidRPr="00984859" w:rsidTr="00984859">
        <w:trPr>
          <w:tblCellSpacing w:w="0" w:type="dxa"/>
        </w:trPr>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w:t>
            </w:r>
          </w:p>
        </w:tc>
        <w:tc>
          <w:tcPr>
            <w:tcW w:w="4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1n(C</w:t>
            </w:r>
            <w:r w:rsidRPr="00984859">
              <w:rPr>
                <w:rFonts w:ascii="Arial" w:eastAsia="Times New Roman" w:hAnsi="Arial" w:cs="Arial"/>
                <w:sz w:val="15"/>
                <w:szCs w:val="15"/>
                <w:vertAlign w:val="subscript"/>
                <w:lang w:eastAsia="sr-Latn-RS"/>
              </w:rPr>
              <w:t>f1</w:t>
            </w:r>
            <w:r w:rsidRPr="00984859">
              <w:rPr>
                <w:rFonts w:ascii="Arial" w:eastAsia="Times New Roman" w:hAnsi="Arial" w:cs="Arial"/>
                <w:lang w:eastAsia="sr-Latn-RS"/>
              </w:rPr>
              <w:t xml:space="preserve"> /C</w:t>
            </w:r>
            <w:r w:rsidRPr="00984859">
              <w:rPr>
                <w:rFonts w:ascii="Arial" w:eastAsia="Times New Roman" w:hAnsi="Arial" w:cs="Arial"/>
                <w:sz w:val="15"/>
                <w:szCs w:val="15"/>
                <w:vertAlign w:val="subscript"/>
                <w:lang w:eastAsia="sr-Latn-RS"/>
              </w:rPr>
              <w:t>f2</w:t>
            </w:r>
            <w:r w:rsidRPr="00984859">
              <w:rPr>
                <w:rFonts w:ascii="Arial" w:eastAsia="Times New Roman" w:hAnsi="Arial" w:cs="Arial"/>
                <w:lang w:eastAsia="sr-Latn-RS"/>
              </w:rPr>
              <w:t xml:space="preserve">) </w:t>
            </w:r>
          </w:p>
        </w:tc>
        <w:tc>
          <w:tcPr>
            <w:tcW w:w="43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2</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5743575" cy="3933825"/>
            <wp:effectExtent l="0" t="0" r="9525" b="9525"/>
            <wp:docPr id="157" name="Picture 157" descr="C:\Program Files (x86)\ParagrafLex\browser\Files\Old\t\t2013_12\t12_0570_s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Program Files (x86)\ParagrafLex\browser\Files\Old\t\t2013_12\t12_0570_s106.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43575" cy="39338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Odstupanja od prave linije mogu ukazivati na to da se proces eliminacije ponaša po modelu koji je složeniji od kinetike prvog reda.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Grafički postupak može se primeniti za određivanje konstante brzine eliminacije kada dati proces odstupa od modela kinetike prvog reda.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Grafički postupak za određivanje konstante brzine unosa k</w:t>
      </w:r>
      <w:r w:rsidRPr="00984859">
        <w:rPr>
          <w:rFonts w:ascii="Arial" w:eastAsia="Times New Roman" w:hAnsi="Arial" w:cs="Arial"/>
          <w:sz w:val="15"/>
          <w:szCs w:val="15"/>
          <w:vertAlign w:val="subscript"/>
          <w:lang w:eastAsia="sr-Latn-RS"/>
        </w:rPr>
        <w:t>1</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 je poznata vrednost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se izračunava na sledeći način: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90"/>
        <w:gridCol w:w="1980"/>
        <w:gridCol w:w="1538"/>
        <w:gridCol w:w="5204"/>
      </w:tblGrid>
      <w:tr w:rsidR="00984859" w:rsidRPr="00984859" w:rsidTr="00984859">
        <w:trPr>
          <w:tblCellSpacing w:w="0" w:type="dxa"/>
        </w:trPr>
        <w:tc>
          <w:tcPr>
            <w:tcW w:w="58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w:t>
            </w:r>
          </w:p>
        </w:tc>
        <w:tc>
          <w:tcPr>
            <w:tcW w:w="198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p>
        </w:tc>
        <w:tc>
          <w:tcPr>
            <w:tcW w:w="0" w:type="auto"/>
            <w:gridSpan w:val="2"/>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980" w:type="dxa"/>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x (1 - e</w:t>
            </w:r>
            <w:r w:rsidRPr="00984859">
              <w:rPr>
                <w:rFonts w:ascii="Arial" w:eastAsia="Times New Roman" w:hAnsi="Arial" w:cs="Arial"/>
                <w:sz w:val="15"/>
                <w:szCs w:val="15"/>
                <w:vertAlign w:val="superscript"/>
                <w:lang w:eastAsia="sr-Latn-RS"/>
              </w:rPr>
              <w:t>-k2t</w:t>
            </w:r>
            <w:r w:rsidRPr="00984859">
              <w:rPr>
                <w:rFonts w:ascii="Arial" w:eastAsia="Times New Roman" w:hAnsi="Arial" w:cs="Arial"/>
                <w:lang w:eastAsia="sr-Latn-RS"/>
              </w:rPr>
              <w:t xml:space="preserve">) </w:t>
            </w:r>
          </w:p>
        </w:tc>
        <w:tc>
          <w:tcPr>
            <w:tcW w:w="309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49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(jednačina 1)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Vrednost C</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očitava se iz srednje tačke platoa krive unosa koja se dobija kad se log-transformisani podaci za koncentraciju grafički prikažu u funkciji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Kompjuterski postupak za izračunavanje konstanti brzina unosa i eliminacije (gubitka)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Najbolji način određivanja faktora biokoncentracije i konstante brzina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jeste da se koriste računar i metoda procene nelinearnih parametara. Ovakvi kompjuterski programi izračunavaju vrednosti za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na osnovu niza podataka o koncentracijama ispitivane supstance i sledećeg modela: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455"/>
        <w:gridCol w:w="1109"/>
        <w:gridCol w:w="4548"/>
      </w:tblGrid>
      <w:tr w:rsidR="00984859" w:rsidRPr="00984859" w:rsidTr="00984859">
        <w:trPr>
          <w:tblCellSpacing w:w="0" w:type="dxa"/>
        </w:trPr>
        <w:tc>
          <w:tcPr>
            <w:tcW w:w="340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2162175" cy="476250"/>
                  <wp:effectExtent l="0" t="0" r="9525" b="0"/>
                  <wp:docPr id="156" name="Picture 156" descr="C:\Program Files (x86)\ParagrafLex\browser\Files\Old\t\t2013_12\t12_0570_s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Program Files (x86)\ParagrafLex\browser\Files\Old\t\t2013_12\t12_0570_s154.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62175" cy="476250"/>
                          </a:xfrm>
                          <a:prstGeom prst="rect">
                            <a:avLst/>
                          </a:prstGeom>
                          <a:noFill/>
                          <a:ln>
                            <a:noFill/>
                          </a:ln>
                        </pic:spPr>
                      </pic:pic>
                    </a:graphicData>
                  </a:graphic>
                </wp:inline>
              </w:drawing>
            </w:r>
          </w:p>
        </w:tc>
        <w:tc>
          <w:tcPr>
            <w:tcW w:w="2370" w:type="dxa"/>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 </w:t>
            </w:r>
            <w:r w:rsidRPr="00984859">
              <w:rPr>
                <w:rFonts w:ascii="Symbol" w:eastAsia="Times New Roman" w:hAnsi="Symbol" w:cs="Arial"/>
                <w:lang w:eastAsia="sr-Latn-RS"/>
              </w:rPr>
              <w:t></w:t>
            </w:r>
            <w:r w:rsidRPr="00984859">
              <w:rPr>
                <w:rFonts w:ascii="Arial" w:eastAsia="Times New Roman" w:hAnsi="Arial" w:cs="Arial"/>
                <w:lang w:eastAsia="sr-Latn-RS"/>
              </w:rPr>
              <w:t xml:space="preserve"> t </w:t>
            </w:r>
            <w:r w:rsidRPr="00984859">
              <w:rPr>
                <w:rFonts w:ascii="Symbol" w:eastAsia="Times New Roman" w:hAnsi="Symbol" w:cs="Arial"/>
                <w:lang w:eastAsia="sr-Latn-RS"/>
              </w:rPr>
              <w:t></w:t>
            </w:r>
            <w:r w:rsidRPr="00984859">
              <w:rPr>
                <w:rFonts w:ascii="Arial" w:eastAsia="Times New Roman" w:hAnsi="Arial" w:cs="Arial"/>
                <w:lang w:eastAsia="sr-Latn-RS"/>
              </w:rPr>
              <w:t xml:space="preserve"> tc </w:t>
            </w:r>
          </w:p>
        </w:tc>
        <w:tc>
          <w:tcPr>
            <w:tcW w:w="9405" w:type="dxa"/>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jednačina 2</w:t>
            </w:r>
            <w:r w:rsidRPr="00984859">
              <w:rPr>
                <w:rFonts w:ascii="Symbol" w:eastAsia="Times New Roman" w:hAnsi="Symbol" w:cs="Arial"/>
                <w:lang w:eastAsia="sr-Latn-RS"/>
              </w:rPr>
              <w:t></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95"/>
        <w:gridCol w:w="570"/>
        <w:gridCol w:w="3947"/>
      </w:tblGrid>
      <w:tr w:rsidR="00984859" w:rsidRPr="00984859" w:rsidTr="00984859">
        <w:trPr>
          <w:tblCellSpacing w:w="0" w:type="dxa"/>
        </w:trPr>
        <w:tc>
          <w:tcPr>
            <w:tcW w:w="454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2886075" cy="495300"/>
                  <wp:effectExtent l="0" t="0" r="9525" b="0"/>
                  <wp:docPr id="155" name="Picture 155" descr="C:\Program Files (x86)\ParagrafLex\browser\Files\Old\t\t2013_12\t12_0570_s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Program Files (x86)\ParagrafLex\browser\Files\Old\t\t2013_12\t12_0570_s155.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86075" cy="495300"/>
                          </a:xfrm>
                          <a:prstGeom prst="rect">
                            <a:avLst/>
                          </a:prstGeom>
                          <a:noFill/>
                          <a:ln>
                            <a:noFill/>
                          </a:ln>
                        </pic:spPr>
                      </pic:pic>
                    </a:graphicData>
                  </a:graphic>
                </wp:inline>
              </w:drawing>
            </w:r>
          </w:p>
        </w:tc>
        <w:tc>
          <w:tcPr>
            <w:tcW w:w="1260" w:type="dxa"/>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w:t>
            </w:r>
            <w:r w:rsidRPr="00984859">
              <w:rPr>
                <w:rFonts w:ascii="Symbol" w:eastAsia="Times New Roman" w:hAnsi="Symbol" w:cs="Arial"/>
                <w:lang w:eastAsia="sr-Latn-RS"/>
              </w:rPr>
              <w:t></w:t>
            </w:r>
            <w:r w:rsidRPr="00984859">
              <w:rPr>
                <w:rFonts w:ascii="Arial" w:eastAsia="Times New Roman" w:hAnsi="Arial" w:cs="Arial"/>
                <w:lang w:eastAsia="sr-Latn-RS"/>
              </w:rPr>
              <w:t xml:space="preserve"> tc </w:t>
            </w:r>
          </w:p>
        </w:tc>
        <w:tc>
          <w:tcPr>
            <w:tcW w:w="9375" w:type="dxa"/>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jednačina 3</w:t>
            </w:r>
            <w:r w:rsidRPr="00984859">
              <w:rPr>
                <w:rFonts w:ascii="Symbol" w:eastAsia="Times New Roman" w:hAnsi="Symbol" w:cs="Arial"/>
                <w:lang w:eastAsia="sr-Latn-RS"/>
              </w:rPr>
              <w:t></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jeste vreme na kraju faze unosa.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Ovakav pristup omogućava određivanje standardne devijacije za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većini slučajeva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se može proceniti iz krive eliminacije sa relativno visokom preciznošću, pa s obzirom na to da postoji jaka korelacija između parametara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ako se procenjuju istovremeno, savetuje se da se prvo izračuna 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samo iz podataka iz faze eliminacije, a nakon toga da se izračuna k</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iz podataka iz faze unosa pomoću nelinearne regresione analize.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C.14. ISPITIVANJE RASTA RIBLJE MLAĐI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215 (2000).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ispitivanja osmišljena je za procenu efekta na rast nakon produženog izlaganja riblje mlađi hemikalijama. Bazira se na metodi, koja je razvijena i ispitana međulaboratorijskim ispitivanjem</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za procenu efekta hemikalija na rast riblje mlađi kalifornijske pastrmke u protočnim uslovima. Mogu se koristiti i druge dobro opisane vrste. Postoje iskustva sa ispitivanjem rasta vrste </w:t>
      </w:r>
      <w:r w:rsidRPr="00984859">
        <w:rPr>
          <w:rFonts w:ascii="Arial" w:eastAsia="Times New Roman" w:hAnsi="Arial" w:cs="Arial"/>
          <w:i/>
          <w:iCs/>
          <w:lang w:eastAsia="sr-Latn-RS"/>
        </w:rPr>
        <w:t>Daniorerio</w:t>
      </w:r>
      <w:r w:rsidRPr="00984859">
        <w:rPr>
          <w:rFonts w:ascii="Arial" w:eastAsia="Times New Roman" w:hAnsi="Arial" w:cs="Arial"/>
          <w:b/>
          <w:bCs/>
          <w:sz w:val="15"/>
          <w:szCs w:val="15"/>
          <w:vertAlign w:val="superscript"/>
          <w:lang w:eastAsia="sr-Latn-RS"/>
        </w:rPr>
        <w:t>XI</w:t>
      </w:r>
      <w:r w:rsidRPr="00984859">
        <w:rPr>
          <w:rFonts w:ascii="Arial" w:eastAsia="Times New Roman" w:hAnsi="Arial" w:cs="Arial"/>
          <w:lang w:eastAsia="sr-Latn-RS"/>
        </w:rPr>
        <w:t xml:space="preserve"> (zebrica)</w:t>
      </w:r>
      <w:r w:rsidRPr="00984859">
        <w:rPr>
          <w:rFonts w:ascii="Arial" w:eastAsia="Times New Roman" w:hAnsi="Arial" w:cs="Arial"/>
          <w:b/>
          <w:bCs/>
          <w:sz w:val="15"/>
          <w:szCs w:val="15"/>
          <w:vertAlign w:val="superscript"/>
          <w:lang w:eastAsia="sr-Latn-RS"/>
        </w:rPr>
        <w:t xml:space="preserve">3,4 </w:t>
      </w:r>
      <w:r w:rsidRPr="00984859">
        <w:rPr>
          <w:rFonts w:ascii="Arial" w:eastAsia="Times New Roman" w:hAnsi="Arial" w:cs="Arial"/>
          <w:lang w:eastAsia="sr-Latn-RS"/>
        </w:rPr>
        <w:t xml:space="preserve">i </w:t>
      </w:r>
      <w:r w:rsidRPr="00984859">
        <w:rPr>
          <w:rFonts w:ascii="Arial" w:eastAsia="Times New Roman" w:hAnsi="Arial" w:cs="Arial"/>
          <w:i/>
          <w:iCs/>
          <w:lang w:eastAsia="sr-Latn-RS"/>
        </w:rPr>
        <w:t>Oryziaslatipes</w:t>
      </w:r>
      <w:r w:rsidRPr="00984859">
        <w:rPr>
          <w:rFonts w:ascii="Arial" w:eastAsia="Times New Roman" w:hAnsi="Arial" w:cs="Arial"/>
          <w:b/>
          <w:bCs/>
          <w:sz w:val="15"/>
          <w:szCs w:val="15"/>
          <w:vertAlign w:val="superscript"/>
          <w:lang w:eastAsia="sr-Latn-RS"/>
        </w:rPr>
        <w:t>5,6,7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i opšti uvod Priloga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w:t>
      </w:r>
      <w:r w:rsidRPr="00984859">
        <w:rPr>
          <w:rFonts w:ascii="Arial" w:eastAsia="Times New Roman" w:hAnsi="Arial" w:cs="Arial"/>
          <w:lang w:eastAsia="sr-Latn-RS"/>
        </w:rPr>
        <w:t xml:space="preserve"> Meyer, A., Bierman, C.H. and Orti, G. (1993). The phylogenetic position of the zebrafish (</w:t>
      </w:r>
      <w:r w:rsidRPr="00984859">
        <w:rPr>
          <w:rFonts w:ascii="Arial" w:eastAsia="Times New Roman" w:hAnsi="Arial" w:cs="Arial"/>
          <w:i/>
          <w:iCs/>
          <w:lang w:eastAsia="sr-Latn-RS"/>
        </w:rPr>
        <w:t>Danio rerio</w:t>
      </w:r>
      <w:r w:rsidRPr="00984859">
        <w:rPr>
          <w:rFonts w:ascii="Arial" w:eastAsia="Times New Roman" w:hAnsi="Arial" w:cs="Arial"/>
          <w:lang w:eastAsia="sr-Latn-RS"/>
        </w:rPr>
        <w:t xml:space="preserve">), a model system in developmental biology: an invitation to the comparative method. Proc. R. Soc. Lond. B. 252, 231-236.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Najniža koncentracija koja dovodi do značajnih efekata (u daljem tekstu: LOEC) jeste najniža koncentracija ispitivane supstance pri kojoj je opažen značajan učinak (pri p &lt; 0,05) u poređenju sa kontrolom. Sve ispitivane koncentracije iznad LOEC potrebno je da imaju štetne efekte jednake ili veće od onih opaženih pri LOEC.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koja ne dovodi do značajnog efekta (u daljem tekstu: NOEC) jeste koncentracija neposredno ispod LOEC.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u ovoj metodi ispitivanja jeste koncentracija ispitivane supstance koja dovodi do x% promene u brzini rasta ribe u poređenju sa kontrolama.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Nasad jeste sveža masa riba po zapremini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Gustina nasada jeste broj jedinki riba po zapremini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Specifična brzina rasta pojedine ribe jeste brzina rasta jedinke u odnosu na njenu početnu težinu.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Prosečna specifična brzina rasta po komori za ispitivanje jeste srednja brzina rasta populacije riba u akvarijumu u jednom tretmanu (koncentraciji).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Pseudospecifična brzina rasta jeste pojedinačna brzina rasta u poređenju sa srednjom vrednošću početne težine populacije riba u akvarijumu.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Riblja mlađ u ekponencijalnoj fazi rasta se nakon merenja stavlja u komore za ispitivanje i izlaže opsegu subletalnih koncentracija ispitivane supstance rastvorene u vodi ako je moguće u protočnim uslovima, ili ukoliko to nije moguće, u odgovarajućim polustatičnom sistemu (uz potpuno periodično obnavljanje ispitivanog medijuma). Ispitivanje traje 28 dana. Riba se svakodnevno hrani. Količina hrane određuje se na osnovu početne težine ribe i može se proračunati nakon 14 dana. Riba se ponovno meri na kraju ispitivanja. Efekti na stopu rasta analiziraju se pomoću regresionog modela da bi se procenila koncentracija koja je dovela do x% promene u stopi rasta, tj.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(npr.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ili EC</w:t>
      </w:r>
      <w:r w:rsidRPr="00984859">
        <w:rPr>
          <w:rFonts w:ascii="Arial" w:eastAsia="Times New Roman" w:hAnsi="Arial" w:cs="Arial"/>
          <w:sz w:val="15"/>
          <w:szCs w:val="15"/>
          <w:vertAlign w:val="subscript"/>
          <w:lang w:eastAsia="sr-Latn-RS"/>
        </w:rPr>
        <w:t>30</w:t>
      </w:r>
      <w:r w:rsidRPr="00984859">
        <w:rPr>
          <w:rFonts w:ascii="Arial" w:eastAsia="Times New Roman" w:hAnsi="Arial" w:cs="Arial"/>
          <w:lang w:eastAsia="sr-Latn-RS"/>
        </w:rPr>
        <w:t xml:space="preserve">). Alternativno, podaci se mogu porediti sa kontrolnim vrednostima da bi se odredila najniža koncentracija koja dovodi do značajnog efekta, a zatim i koncentracija koja ne dovodi do značajnog efekta.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PODACI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imati podatke o akutnoj toksičnosti (videti metodu ispitivanja C.1. koja je data u ovom pravilniku) iz ispitivanja urađenom, ako je moguće, na istoj vrsti riba. To znači da je poznata rastvorljivost u vodi i napon pare ispitivane supstance i da postoji pouzdani analitički postupak za kvantifikaciju supstance u rastvoru sa poznatom i dokumentovanom preciznošću i granicom detekcije.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Korisni podaci su i strukturne formule, čistoća supstance, stabilnost u vodi i na svetlu, pK</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 rezultati ispitivanja brze biorazgradljivosti (videti metodu ispitivanja C.4. koja je data u ovom pravilniku).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PRIHVATLJIVOST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ispitivanje bilo prihvatljivo, potrebno je ispuniti uslove: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smrtnost u kontrolama ne premašuje 10%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porast srednje težine riba iz kontrolne grupe je dovoljan da omogući detekciju minimalne varijacije stope rasta koja se smatra značajnom. Rezultati međulaboratorijskog ispitivanja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sa kalifornijskom pastrmkom pokazali su da se u toku 28 dana srednja vrednost težine ribe u kontrolama poveća najmanje za polovinu (odnosno 50%) srednje vrednosti njihove početne težine; npr. 1 g/riba (= 100%), konačna težina nakon 28 dana: &gt; 1,5 g/riba (&gt; 150%);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rastvorenog kiseonika je najmanje 60% vrednosti zasićenja vazduha (air saturation value, u daljem tekstu: ASV) u toku čitavog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temperatura vode u ispitivanim akvarijumima međusobno se ne razlikuje za više od ± 1° C u bilo kom trenutku u toku ispitivanja i održava se unutar opsega ± 2° C u okviru preporučenog opsega temperature za ispitivanu vrstu (videti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ovoj metodi ispitivanja koristi se uobičajena laboratorijska oprema, a naročito: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oksimetar i pH-metar;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oprema za određivanje tvrdoće vode i alkaliteta;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odgovarajuća oprema za kontrolu temperature i ako je moguće kontinuirani nadzor;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komore za ispitivanje od hemijski inertnog materijala i pogodnog kapaciteta shodno preporučenom nasadu i gustini nasada (videti odeljak 1.8.5. i Deo drugi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precizna vaga (tačnost ± 0,5%).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ispitivanju se koristi svaka voda u kojoj ispitivana vrsta pokazuje zadovoljavajuće preživljavanje i rast u dužem vremenskom periodu. Voda da bude stalnog kvaliteta u toku čitavog trajanja ispitivanja. Vrednost pH vode da bude unutar opsega od 6,5 do 8,5 i u toku svakog konkretnog ispitivanja da bude unutar opsega od ± 0,5 pH jedinica. Preporučuje se tvrdoća iznad 140 mg/l CaCO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Da bi se predupredio prekomeran uticaj vode za razblaživanje na rezultate ispitivanja (npr. kompleksiranjem ispitivane supstance), uzimati uzorke za analizu u određenim intervalima. Sadržaj teških metala (npr. Cu, Pb, Zn, Hg, Cd i Ni), glavnih anjona i katjona (npr. Ca, Mg, Na, K, Cl i 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pesticida (ukupni organofosforni i organohlorni pesticidi) ukupnog organskog ugljenika i suspendovanih materija odrediti svaka tri meseca ako se zna da je voda za razblaživanje relativno stalnog kvaliteta. Ako je voda pokazala konstantan kvalitet u toku prethodnih godinu dana, analize se rade ređe, a intervali su duži (svakih 6 meseci). Neka prihvatljiva hemijska svojstva vode za razblaživanje navedena su u Delu drugom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Rastvori ispitivanih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Rastvori odabranih koncentracija test supstance pripremaju se razblaživanjem osnovnog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rastvor bi, ako je moguće, trebalo pripremiti jednostavnim mešanjem ili mućkanjem ispitivane supstance u vodi mehaničkim putem (npr. mešanjem ili ultrazvučno). Za pripremu odgovarajućeg koncentrovanog osnovnog rastvora mogu se koristiti kolone zasićenja (kolone rastvorljivosti).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nekim slučajevima je potrebno korišćenje rastvarača ili disperzionog sredstva (sredstva za povećanje rastvorljivosti) da bi se pripremio osnovni rastvor odgovarajuće koncentracije. U pogodne rastvarače ubrajaju se aceton, etanol, metanol, dimetilsulfoksid, dimetilformamid i trietilenglikol. Pogodna sredstva za disperziju su Cremophor RH40, Tween 80, metilceluloza 0,01% i HCO-40. Potreban je oprez pri korišćenju lako biorazgradljivih sredstava (npr. acetona), odnosno visoko isparljivih jedinjenja, jer mogu stvoriti probleme sa povećanjem </w:t>
      </w:r>
      <w:r w:rsidRPr="00984859">
        <w:rPr>
          <w:rFonts w:ascii="Arial" w:eastAsia="Times New Roman" w:hAnsi="Arial" w:cs="Arial"/>
          <w:lang w:eastAsia="sr-Latn-RS"/>
        </w:rPr>
        <w:lastRenderedPageBreak/>
        <w:t xml:space="preserve">broja bakterija u protočnim uslovima. Ako se koristi sredstvo za povećanje rastvorljivosti, ono ne sme imati značajne efekte na rast riba ni vidljive štetne efekte na riblju mlađ, što se može utvrditi kontrolnim tretmanom u kome se ribe izlažu samo dejstvu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ispitivanja u protočnim uslovima potreban je sistem koji kontinuirano otpušta i razređuje osnovni rastvor ispitivane supstance (npr. merna pumpa, sistem za proporcionalno razblaživanje, sistem za regulaciju zasićenja) da bi se u ispitivane akvarijume dostavila serija različitih koncentracija. Tokom ispitivanja, protok osnovnih rastvora i vode za razblaživanje proverava se u određenim intervalima, ako je moguće svakog dana, i ne varira više od 10% u toku čitavog ispitivanja. Rezultati međulaboratorijskog ispitivanja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pokazali su da je 6 L po gramu ribe na dan prihvatljiva učestalost uklanjanja vode za kalifornijsku pastrmku u toku ispitivanja (videti odeljak 1.8.2.2.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ispitivanja u polustatičnom sistemu (sa kompletnim periodičnim obnavljanjem medijuma), učestalost obnavljanja medijuma zavisi od stabilnosti ispitivane supstance, ali se preporučuje dnevno obnavljanje. Ako preliminarna ispitivanja stabilnosti (videti odeljak 1.4. ove metode) pokažu da koncentracija ispitivane supstance nije stalna (odnosno nalazi se izvan opsega 80% do 120% nominalne koncentracije ili pada ispod 80% izmerene početne koncentracije) u toku perioda obnove, ispitivanje uraditi u protočnom sistemu.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Izbor vrste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se preporučuje kalifornijska pastrmka, jer je na ovoj vrsti </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dobijeno najviše podataka u međulaboratorijskim ispitivanjima. Koriste se i druge dobro opisane vrste, ali se u tom slučaju postupak ispitivanja prilagođava da bi se stvorili pogodni uslovi ispitivanja. Postoje iskustva sa ispitivanjem rasta vrste </w:t>
      </w:r>
      <w:r w:rsidRPr="00984859">
        <w:rPr>
          <w:rFonts w:ascii="Arial" w:eastAsia="Times New Roman" w:hAnsi="Arial" w:cs="Arial"/>
          <w:i/>
          <w:iCs/>
          <w:lang w:eastAsia="sr-Latn-RS"/>
        </w:rPr>
        <w:t xml:space="preserve">Daniorerio </w:t>
      </w:r>
      <w:r w:rsidRPr="00984859">
        <w:rPr>
          <w:rFonts w:ascii="Arial" w:eastAsia="Times New Roman" w:hAnsi="Arial" w:cs="Arial"/>
          <w:lang w:eastAsia="sr-Latn-RS"/>
        </w:rPr>
        <w:t>(zebrica)</w:t>
      </w:r>
      <w:r w:rsidRPr="00984859">
        <w:rPr>
          <w:rFonts w:ascii="Arial" w:eastAsia="Times New Roman" w:hAnsi="Arial" w:cs="Arial"/>
          <w:sz w:val="15"/>
          <w:szCs w:val="15"/>
          <w:vertAlign w:val="superscript"/>
          <w:lang w:eastAsia="sr-Latn-RS"/>
        </w:rPr>
        <w:t>3,4</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Oryziaslatipes</w:t>
      </w:r>
      <w:r w:rsidRPr="00984859">
        <w:rPr>
          <w:rFonts w:ascii="Arial" w:eastAsia="Times New Roman" w:hAnsi="Arial" w:cs="Arial"/>
          <w:sz w:val="15"/>
          <w:szCs w:val="15"/>
          <w:vertAlign w:val="superscript"/>
          <w:lang w:eastAsia="sr-Latn-RS"/>
        </w:rPr>
        <w:t>5,6,7</w:t>
      </w:r>
      <w:r w:rsidRPr="00984859">
        <w:rPr>
          <w:rFonts w:ascii="Arial" w:eastAsia="Times New Roman" w:hAnsi="Arial" w:cs="Arial"/>
          <w:lang w:eastAsia="sr-Latn-RS"/>
        </w:rPr>
        <w:t xml:space="preserve">. Kada se u ispitivanju koriste druge vrste, navodi se razlog za njihov izbor, kao i za izbor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Uzgoj ribe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Jedinke se biraju iz populacije riba iz istog uzgoja, ako je moguće iz istog mresta i uzgajaju najmanje dve nedelje pre ispitivanja u uslovima sličnim onima koji se koriste u ispitivanju, prvenstveno u pogledu kvaliteta vode i osvetljenja. Riba se hrani minimalnim obrocima koji iznose 2% telesne težine dnevno, a ako je moguće 4% telesne težine dnevno u toku celog perioda uzgoja 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48 sati privikavanja, zapisuje se kolika je smrtnost i primenjuju se kriterijumi: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smrtnost iznad 10% populacije u roku od 7 dana, čitava serija se odbacuje;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smrtnost između 5% i 10% populacije, riba se aklimatizuje dodatnih 7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smrtnost veća od 5% u toku sledećih 7 dana, čitava serija se odbacuje;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smrtnost manja od 5% populacije u 7 dana, prihvata se čitava serija.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Dve nedelje pre, kao ni u toku ispitivanja riba se ne sme lečiti od bolesti.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POSTAVKA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"Postavka ispitivanja" odnosi se na izbor broja i razmaka u seriji ispitivanih koncentracija, broj akvarijuma sa svakom pojedinom koncentracijom i broj riba po akvarijumu. U idealnom slučaju, ispitivana postavka se bira na osnovu: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cilja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statističke analize koja će se koristiti;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raspoloživosti i cene ispitivanja resursa.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opisu cilja ispitivanja precizirati statističku snagu pri kojoj je potrebno odrediti minimalnu statistički značajnu razliku izabranog parametra (npr. brzina rasta) ili zahtevanu preciznost pri proceni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(npr. sa x = 10, 20 ili 30, ako je moguće ne manji od 10). Bez toga se ne može tačno preporučiti obim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Postupak ispitivanja koji je optimalan (jer najbolje iskorišćava resurse) pri primeni jedne metode statističke analize, nije nužno optimalan za drugu vrstu statističke analize. Preporučeni postupak ispitivanja za procenu LOEC/NOEC nije isti kao postupak koji se preporučuje za regresionu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većini slučajeva, regresiona analiza ima prednost nad analizom varijanse</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Kad se ne može pronaći odgovarajući regresijski model (p</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&lt; 0,9) koristi se NOEC/LOEC.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Postavka ispitivanja za regresionu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postavci ispitivanja čiji će rezultati biti analizirani regresionim modelima uzeti u obzir aspekte: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efektivna koncentracija (npr. EC</w:t>
      </w:r>
      <w:r w:rsidRPr="00984859">
        <w:rPr>
          <w:rFonts w:ascii="Arial" w:eastAsia="Times New Roman" w:hAnsi="Arial" w:cs="Arial"/>
          <w:sz w:val="15"/>
          <w:szCs w:val="15"/>
          <w:vertAlign w:val="subscript"/>
          <w:lang w:eastAsia="sr-Latn-RS"/>
        </w:rPr>
        <w:t>10,20,30</w:t>
      </w:r>
      <w:r w:rsidRPr="00984859">
        <w:rPr>
          <w:rFonts w:ascii="Arial" w:eastAsia="Times New Roman" w:hAnsi="Arial" w:cs="Arial"/>
          <w:lang w:eastAsia="sr-Latn-RS"/>
        </w:rPr>
        <w:t xml:space="preserve">) i opseg koncentracija u kom se javlja efekat ispitivane supstance koji nas zanima nalazi se unutar opsega koncentracija koje se primenjuju u ispitivanju. Najveća preciznost kojom se procenjuje efektivna koncentracija postiže se kad se efektivna koncentracija nalazi u sredini opsega koncentracija koje se koriste u ispitivanju. Preliminarno ispitivanje u cilju određivanja opsega koncentracija pomaže u izboru odgovarajuće serije ispitivanih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postavlja se najmanje jedna kontrolna i pet dodatnih komora za ispitivanje sa različitim koncentracijama da bi se omogućilo zadovoljavajuće statističko modelovanje. U slučajevima kad se koristi sredstvo za povećanje rastvorljivosti, uz seriju akvarijuma sa ispitivanom supstancom potrebno je postaviti jednu kontrolu koja sadrži sredstvo za povećanje rastvorljivosti u najvišoj test koncentraciji (videti odeljke 1.8.3. i 1.8.4.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mogu se koristiti odgovarajući geometrijske ili logaritamske serije</w:t>
      </w:r>
      <w:r w:rsidRPr="00984859">
        <w:rPr>
          <w:rFonts w:ascii="Arial" w:eastAsia="Times New Roman" w:hAnsi="Arial" w:cs="Arial"/>
          <w:sz w:val="15"/>
          <w:szCs w:val="15"/>
          <w:vertAlign w:val="superscript"/>
          <w:lang w:eastAsia="sr-Latn-RS"/>
        </w:rPr>
        <w:t>9</w:t>
      </w:r>
      <w:r w:rsidRPr="00984859">
        <w:rPr>
          <w:rFonts w:ascii="Arial" w:eastAsia="Times New Roman" w:hAnsi="Arial" w:cs="Arial"/>
          <w:lang w:eastAsia="sr-Latn-RS"/>
        </w:rPr>
        <w:t xml:space="preserve"> (videti Deo četvrti ove metode). Prednost se daje logaritamskoj raspodeli koncentracija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na raspolaganju više od šest komora za ispitivanje, dodatne se koriste za ponavljanje, ili se raspodeljuju unutar opsega koncentracija ispitivane supstance, kako bi razlika između pojedinih koncentracija bila manja. Obe mere su podjednako dobre.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Postavka ispitivanja za procenu NOEC/LOEC pomoću analize varijanse (ANOVA)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svaku ispitivanu koncentraciju, ako je moguće, postaviti po dve komore za ispitivanje sa istom koncentracijom ispitivane supstance, a statistička analiza se radi na nivou komore</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Ako se ne koriste ponavljanja (replike), ne sme postojati nikakva varijabilnost između komora </w:t>
      </w:r>
      <w:r w:rsidRPr="00984859">
        <w:rPr>
          <w:rFonts w:ascii="Arial" w:eastAsia="Times New Roman" w:hAnsi="Arial" w:cs="Arial"/>
          <w:lang w:eastAsia="sr-Latn-RS"/>
        </w:rPr>
        <w:lastRenderedPageBreak/>
        <w:t>za ispitivanje osim varijabilnosti na nivou jedinki. Iskustvo je pokazalo</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da je u konkretnom slučaju varijabilnost između komora bila vrlo mala u poređenju sa varijabilnošću unutar komora (tj. između jedinki u jednoj komori), pa je statistička analiza koja se radi na nivou jedinke u testu relativno prihvatljiva alternativa.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se koristi najmanje pet test koncentracija u geometrijskoj seriji sa faktorom koji ako je moguće nije veći od 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Kada se izvodi ispitivanje u duplikatu, broj replika kontrolne grupe, samim tim i broj riba, je dvostruko veći od broja koji se koristi za svaku ispitivanu koncentraciju, a koje su iste veličine</w:t>
      </w:r>
      <w:r w:rsidRPr="00984859">
        <w:rPr>
          <w:rFonts w:ascii="Arial" w:eastAsia="Times New Roman" w:hAnsi="Arial" w:cs="Arial"/>
          <w:b/>
          <w:bCs/>
          <w:sz w:val="15"/>
          <w:szCs w:val="15"/>
          <w:vertAlign w:val="superscript"/>
          <w:lang w:eastAsia="sr-Latn-RS"/>
        </w:rPr>
        <w:t>12,13,14</w:t>
      </w:r>
      <w:r w:rsidRPr="00984859">
        <w:rPr>
          <w:rFonts w:ascii="Arial" w:eastAsia="Times New Roman" w:hAnsi="Arial" w:cs="Arial"/>
          <w:lang w:eastAsia="sr-Latn-RS"/>
        </w:rPr>
        <w:t xml:space="preserve">. Kad nema replika, broj jedinki u kontrolnoj grupi je isti kao i broj jedinki za svaku ispitivanu koncentraciju.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analiza varijanse (Analysis of Variance, u daljem tekstu: ANOVA) radi na nivou komore, a ne na bazi jedinke, što povlači označavanje pojedinih riba ili upotrebu pseudo specifičnih brzina rasta (videti odeljak 2.1.2. ove metode), postaviti dovoljan broj duplikata komora da bi se omogućilo određivanje standardne devijacije između komora unutar ispitivane koncentracije. To znači da stepeni slobode</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za grešku u analizi varijanse iznose najmanje 5. Ako se postave samo duplikati kontrola, postoji opasnost od pomaka varijabilnosti greške, jer se ona može povećavati kako se povećava srednja vrednost brzine rasta. S obzirom na to da će se brzina rasta najverovatnije smanjivati sa povećanjem koncentracije, postoji mogućnost da se varijabilnost preceni.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Izbor i merenje ispitivanih jedinki riba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Važno je svesti na minimum varijacije u težini ribe na početku ispitivanja. Odgovarajući opseg veličine za različite vrste riba preporučene za upotrebu u ovoj metodi ispitivanja navedeni su u Delu drugom ove metode. Za čitavu seriju jedinki riba upotrebljenih u ispitivanju, težina jedinki na početku ispitivanja u idealnom slučaju je unutar opsega od ± 10% aritmetičke sredine težine i ni u kom slučaju ne premašuje 25%. Preporučuje se merenje poduzorka jedinki riba pre ispitivanja da bi se procenila srednja težina.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Populacija ribe iz istog uzgoja namenjena za ispitivanje ne hrani se 24 sata pre ispitivanja. Jedinke se zatim biraju slučajnim izborom. Primenom opšte anestezije (npr. vodeni rastvor 100 mg/l trikain-metan sulfonata (MS 222) neutralisanog dodatkom dva dela natrijum-bikarbonata na jedan deo MS 222), svaka jedinka se izmeri i odredi joj se sveža masa (riba se prethodno obriše da se ukloni suvišna voda) sa tačnošću koja je navedena u Delu drugom ove metode. Ribe čija se telesna težina nalazi unutar odabranog opsega zadrže se i zatim nasumično raspoređuju u komore za ispitivanje. Zapisuje se ukupna sveža masa riba u svakoj komori. Upotreba anestetika kao i manipulacija ribom (uključujući brisanje i merenje) može prouzrokovati stres i ozlede riblje mlađi, posebno kod vrsta riba koje su male veličine. Ribljom mlađi se rukuje pažljivo da bi se izbegao stres i povreda životinja uključenih u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Riba se ponovno meri 28. dana ispitivanja (videti odeljak 1.8.6. ove metode). Ako se smatra da je neophodno preračunati količinu hrane, riba se može ponovno meriti i 14. dana ispitivanja (videti odeljak 1.8.2.3. ove metode). Za određivanje promene u veličini ribe prema kojoj će se prilagoditi obroci hrane mogu se koristiti i drugi postupci, kao što je fotografska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Uslovi izlaganja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1.8.2.1. Dužina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traje ≥ 28 dana.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1.8.2.2. Nasad i gustina nasada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Važno je da nasad i gustina nasada odgovaraju vrsti riba koja se koristi u ispitivanju (videti Deo drugi ove metode). Ako je gustina nasada previsoka, nastupiće stres zbog prenaseljenosti, koji može prouzrokovati smanjene brzine rasta i stvoriti mogućnost za razvoj bolesti. Ako je gustina nasada preniska, može izazvati teritorijalno ponašanje u riba, koje može da utiče na rast. Nasad je dovoljno nizak da se koncentracija rastvorenog kiseonika može održavati bez aeracije na nivou od najmanje 60% ASV. Međulaboratorijsko ispitivanje pokazalo je da prihvatljiva gustina nasada za kalifornijsku pastrmku iznosi 16 jedinki od 3 g do 5 g na zapreminu od 40 litara. Preporučena učestalost uklanjanja vode u toku ispitivanja je 6 L po gramu ribe na dan.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1.8.2.3.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Riba se hrani odgovarajućom vrstom hrane (videti Deo drugi ove metode) i zadovoljavajućom količinom hrane koja omogućava prihvatljivu brzinu rasta. Ne sme doći do rasta mikroorganizama i zamućivanja vode. Za kalifornijsku pastrmku, brzina od 4% njihove telesne težine po danu verovatno će zadovoljiti ove uslove</w:t>
      </w:r>
      <w:r w:rsidRPr="00984859">
        <w:rPr>
          <w:rFonts w:ascii="Arial" w:eastAsia="Times New Roman" w:hAnsi="Arial" w:cs="Arial"/>
          <w:b/>
          <w:bCs/>
          <w:sz w:val="15"/>
          <w:szCs w:val="15"/>
          <w:vertAlign w:val="superscript"/>
          <w:lang w:eastAsia="sr-Latn-RS"/>
        </w:rPr>
        <w:t>2,15,16,17</w:t>
      </w:r>
      <w:r w:rsidRPr="00984859">
        <w:rPr>
          <w:rFonts w:ascii="Arial" w:eastAsia="Times New Roman" w:hAnsi="Arial" w:cs="Arial"/>
          <w:lang w:eastAsia="sr-Latn-RS"/>
        </w:rPr>
        <w:t xml:space="preserve">. Dnevni obrok može da se podeli u dva jednaka dela i da se da ribama u dva obroka dnevno, u razmaku od najmanje 5 sati. Obrok se bazira na početnoj ukupnoj težini ribe u pojedinačnom akvarijumu. Ako se riba ponovno meri 14. dana, obrok se preračunava. Hranu ribama uskratiti 24 sata pre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Nepojedena hrana i fekalni sadržaj se svakodnevno uklanjaju iz akvarijuma pažljivim čišćenjem dna svakog akvarijuma i to pomoću usisavanja.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1.8.2.4. Svetlost i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Svetlosni režim i temperatura vode odgovaraju vrsti ribe koja se koristi u ispitivanju (videti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1.8.3. Koncentracije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Obično je potrebno pet različitih koncentracija ispitivane supstance bez obzira na ispitivanu postavku (videti odeljak 1.7.2. ove metode). Prethodno poznavanje toksičnosti ispitivane supstance (npr. iz ispitivanja akutne toksičnosti, odnosno iz preliminarnog ispitivanja za određivanje opsega koncentracija) može da pomogne u izboru odgovarajućih uslova ispitivanja. Ako se ispitivanje obavlja u manje od pet koncentracija, navodi se objašnjenje. Najviša koncentracija test supstance ne sme da bude veća od granice rastvorljivosti supstance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koristi sredstvo za povećanje rastvorljivosti kao pomoć u pripremi osnovnog rastvora, konačna koncentracija tog sredstva nije veća od 0,1 ml/l i ako je moguće ista je u svim komorama za ispitivanje (videti odeljak 1.6.3. ove metode). Izbegavati upotrebu takvih sredstava kad god je moguće.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1.8.4.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Broj kontrola sa vodom za razblaživanje zavisi od ispitivane postavke (videti odeljak 1.7. do 1.7.2. ove metode). Ako se koristi sredstvo za povećanje rastvorljivosti, postavlja se onoliko </w:t>
      </w:r>
      <w:r w:rsidRPr="00984859">
        <w:rPr>
          <w:rFonts w:ascii="Arial" w:eastAsia="Times New Roman" w:hAnsi="Arial" w:cs="Arial"/>
          <w:lang w:eastAsia="sr-Latn-RS"/>
        </w:rPr>
        <w:lastRenderedPageBreak/>
        <w:t xml:space="preserve">kontrola sa sredstvom za povećanje rastvorljivosti koliko ima kontrola sa vodom za razblaživanje.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1.8.5. Učestalost analitičkih određivanja i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ispitivanja, koncentracije ispitivane supstance određuju se u regularnim intervalima.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protočnom sistemu, protok razblaživača i toksični osnovni rastvori kontrolišu se u određenim intervalima, ako je moguće svakog dana. Ne variraju više od 10% u toku čitavog ispitivanja. Gde se očekivane koncentracije ispitivane supstance nalaze unutar ± 20% nominalnih vrednosti (tj. unutar opsega 80% do 120%, videti odeljke 1.6.2. i 1.6.3. ove metode), preporučuje se da se analiziraju najmanje najviša i najniža koncentracija na početku ispitivanja i nakon toga u nedeljnim intervalima. U slučajevima kada se ne očekuje da će koncentracija ostati unutar ± 20% nominalne (na osnovu podataka o stabilnosti test supstance), analizirati sve ispitivane koncentracije, ali prema istom rasporedu.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polustatičnom sistemu (sa potpunim periodičnim obnavljanjem medijuma) u kojima se očekuje da će koncentracija ispitivane supstance ostati unutar ± 20% nominalne vrednosti, preporučuje se da se analiziraju najmanje najviša i najniža koncentracija neposredno nakon pripreme i neposredno pre obnavljanja na početku ispitivanja, a nakon toga jednom nedeljno. U slučajevima kada se ne očekuje da će koncentracija ispitivane supstance biti unutar ± 20% nominalne, sve koncentracije analizirati po istom postupku i rasporedu kakvi se koriste za stabilnije materije.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da se rezultati baziraju na izmerenim koncentracijama. Ako je dokazano da se koncentracija ispitivane supstance u rastvoru održavala unutar ± 20% nominalne ili izmerene početne koncentracije u toku čitavog trajanja ispitivanja, rezultati se mogu bazirati na nominalnim ili izmerenim vrednostima.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Uzorci se po potrebi filtriraju (npr. korišćenjem veličine pora od 0,45 mm) ili centrifugiraju. Preporučuje se centrifugiranje. Ako se ispitivani materijal ne adsorbuje na filtere, filtracija može da bude prihvatljiv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Rastvoreni kiseonik, pH i temperatura mere se u svim komorama u toku ispitivanja. Ukupna tvrdoća, alkalitet i salinitet (ukoliko je relevantan) mere se u kontrolama i jednoj komori za ispitivanje sa najvišom koncentracijom. Rastvoreni kiseonik i salinitet (ukoliko je relevantan) mere se najmanje tri puta (na početku, sredini i kraju ispitivanja). Kod ispitivanja u polustatičkim uslovima, preporučuje se češće merenje rastvorenog kiseonika, ako je moguće pre i nakon svakog obnavljanja vode ili najmanje jednom nedeljno. Vrednost pH se meri na početku i kraju svakog obnavljanja vode u ispitivanoj postavci sa statičkim obnavljanjem i najmanje jednom nedeljno u protočnim uslovima. Tvrdoća i alkalitet se mere jednom u toku svakog ispitivanja. Temperatura se, ako je moguće, neprekidno prati u najmanje jednoj komori.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1.8.6. Opažanja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Prati se težina riba. Na kraju ispitivanja, sva preživela riba se izmeri i odredi se sveža masa (nakon brisanja suvišne vode) izraženo za celu grupu riba po komori ili za jedinku. Merenje riba po grupama iz pojedinačnih komora ima prednost nad merenjem pojedinačnih jedinki, jer ovaj drugi način zahteva da riba bude pojedinačno označena. U slučaju merenja težine pojedine ribe da bi se odredila specifična stopa rasta ribe, odabrana tehnika označavanja ne sme da izazove stres kod ispitivanih jedinki (pogodna alternativa hladnom žigosanju je korišćenje tankog pecaroškog kanapa u boji).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Riba se u toku trajanja ispitivanja svakodnevno pregleda, a sve spoljašnje abnormalnosti (kao što su krvarenje, promena boje) i abnormalno ponašanje se beleže. Beleži se i smrtnost, a mrtvu ribu što pre ukloniti iz komora. Mrtva riba se ne zamenjuje živom, jer su nasad i gustina nasada dovoljne da promena u broju jedinki u komori neće imati nikakve efekte na rast. Količinu hrane prilagoditi.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Preporučljivo je uključiti statističara u proces izbora ispitivane postavke i analizu podataka, s obzirom da su ovom metodom ispitivanja dopuštene značajne varijacije u izvođenju, npr. u broju komora, ispitivanih koncentracija, riba, itd. S obzirom na opcije koje stoje na raspolaganju u smislu ispitivane postavke, ovde se ne daju posebne smernice u pogledu statističkih postupaka.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Brzine rasta se ne izračunavaju za komore u kojima je smrtnost veća od 10%. Stopa smrtnosti navodi se za sve ispitivane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Bilo koji postupak da se koristi za analizu podataka, uvek se određuje posebna brzina rasta </w:t>
      </w:r>
      <w:r w:rsidRPr="00984859">
        <w:rPr>
          <w:rFonts w:ascii="Arial" w:eastAsia="Times New Roman" w:hAnsi="Arial" w:cs="Arial"/>
          <w:i/>
          <w:iCs/>
          <w:lang w:eastAsia="sr-Latn-RS"/>
        </w:rPr>
        <w:t>r</w:t>
      </w:r>
      <w:r w:rsidRPr="00984859">
        <w:rPr>
          <w:rFonts w:ascii="Arial" w:eastAsia="Times New Roman" w:hAnsi="Arial" w:cs="Arial"/>
          <w:lang w:eastAsia="sr-Latn-RS"/>
        </w:rPr>
        <w:t xml:space="preserve"> između vremena 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vremena 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Može se definisati na nekoliko načina, u zavisnosti od toga da li je riba bila pojedinačno označena ili se traži prosek po komori.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45"/>
        <w:gridCol w:w="1517"/>
        <w:gridCol w:w="7250"/>
      </w:tblGrid>
      <w:tr w:rsidR="00984859" w:rsidRPr="00984859" w:rsidTr="00984859">
        <w:trPr>
          <w:tblCellSpacing w:w="0" w:type="dxa"/>
        </w:trPr>
        <w:tc>
          <w:tcPr>
            <w:tcW w:w="48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w:t>
            </w:r>
          </w:p>
        </w:tc>
        <w:tc>
          <w:tcPr>
            <w:tcW w:w="235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w</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log</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w</w:t>
            </w:r>
            <w:r w:rsidRPr="00984859">
              <w:rPr>
                <w:rFonts w:ascii="Arial" w:eastAsia="Times New Roman" w:hAnsi="Arial" w:cs="Arial"/>
                <w:sz w:val="15"/>
                <w:szCs w:val="15"/>
                <w:vertAlign w:val="subscript"/>
                <w:lang w:eastAsia="sr-Latn-RS"/>
              </w:rPr>
              <w:t>1</w:t>
            </w:r>
          </w:p>
        </w:tc>
        <w:tc>
          <w:tcPr>
            <w:tcW w:w="1234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23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t</w:t>
            </w:r>
            <w:r w:rsidRPr="00984859">
              <w:rPr>
                <w:rFonts w:ascii="Arial" w:eastAsia="Times New Roman" w:hAnsi="Arial" w:cs="Arial"/>
                <w:sz w:val="15"/>
                <w:szCs w:val="15"/>
                <w:vertAlign w:val="subscript"/>
                <w:lang w:eastAsia="sr-Latn-RS"/>
              </w:rPr>
              <w:t>1</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54"/>
        <w:gridCol w:w="1491"/>
        <w:gridCol w:w="7267"/>
      </w:tblGrid>
      <w:tr w:rsidR="00984859" w:rsidRPr="00984859" w:rsidTr="00984859">
        <w:trPr>
          <w:tblCellSpacing w:w="0" w:type="dxa"/>
        </w:trPr>
        <w:tc>
          <w:tcPr>
            <w:tcW w:w="49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w:t>
            </w:r>
          </w:p>
        </w:tc>
        <w:tc>
          <w:tcPr>
            <w:tcW w:w="231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w</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log</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w</w:t>
            </w:r>
            <w:r w:rsidRPr="00984859">
              <w:rPr>
                <w:rFonts w:ascii="Arial" w:eastAsia="Times New Roman" w:hAnsi="Arial" w:cs="Arial"/>
                <w:sz w:val="15"/>
                <w:szCs w:val="15"/>
                <w:vertAlign w:val="subscript"/>
                <w:lang w:eastAsia="sr-Latn-RS"/>
              </w:rPr>
              <w:t>1</w:t>
            </w:r>
          </w:p>
        </w:tc>
        <w:tc>
          <w:tcPr>
            <w:tcW w:w="1237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231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t</w:t>
            </w:r>
            <w:r w:rsidRPr="00984859">
              <w:rPr>
                <w:rFonts w:ascii="Arial" w:eastAsia="Times New Roman" w:hAnsi="Arial" w:cs="Arial"/>
                <w:sz w:val="15"/>
                <w:szCs w:val="15"/>
                <w:vertAlign w:val="subscript"/>
                <w:lang w:eastAsia="sr-Latn-RS"/>
              </w:rPr>
              <w:t>1</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62"/>
        <w:gridCol w:w="1474"/>
        <w:gridCol w:w="7276"/>
      </w:tblGrid>
      <w:tr w:rsidR="00984859" w:rsidRPr="00984859" w:rsidTr="00984859">
        <w:trPr>
          <w:tblCellSpacing w:w="0" w:type="dxa"/>
        </w:trPr>
        <w:tc>
          <w:tcPr>
            <w:tcW w:w="51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 </w:t>
            </w:r>
          </w:p>
        </w:tc>
        <w:tc>
          <w:tcPr>
            <w:tcW w:w="228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w</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log</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w</w:t>
            </w:r>
            <w:r w:rsidRPr="00984859">
              <w:rPr>
                <w:rFonts w:ascii="Arial" w:eastAsia="Times New Roman" w:hAnsi="Arial" w:cs="Arial"/>
                <w:sz w:val="15"/>
                <w:szCs w:val="15"/>
                <w:vertAlign w:val="subscript"/>
                <w:lang w:eastAsia="sr-Latn-RS"/>
              </w:rPr>
              <w:t>1</w:t>
            </w:r>
          </w:p>
        </w:tc>
        <w:tc>
          <w:tcPr>
            <w:tcW w:w="1239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228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t</w:t>
            </w:r>
            <w:r w:rsidRPr="00984859">
              <w:rPr>
                <w:rFonts w:ascii="Arial" w:eastAsia="Times New Roman" w:hAnsi="Arial" w:cs="Arial"/>
                <w:sz w:val="15"/>
                <w:szCs w:val="15"/>
                <w:vertAlign w:val="subscript"/>
                <w:lang w:eastAsia="sr-Latn-RS"/>
              </w:rPr>
              <w:t>1</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jeste specifična brzina rasta pojedine ribe;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jeste prosečna brzina rasta specifična za komoru;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jeste "pseudo" specifična brzina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w</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jesu težine određene ribe u vremenu 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odnosno vremenu 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w</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jeste logaritam težine pojedine ribe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w</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jeste logaritam težine pojedine ribe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w</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jeste prosek logaritskih vrednosti w</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za ribu u komori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w</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jeste prosek logaritamskih vrednosti w</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xml:space="preserve">za ribu u komori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i 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jesu vreme (dani) na početku i kraju ispitivanog perioda.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r</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r</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r</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mogu se izračunati za period od 0 do 28 dana i, ukoliko je primereno (tj. kad se radilo merenje 14. dana) za periode od 0 do 14 i od 14 do 28 dana.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2.1.1. Regresiona analiza rezultata (modelovanje odgovora </w:t>
      </w:r>
      <w:r w:rsidRPr="00984859">
        <w:rPr>
          <w:rFonts w:ascii="Arial" w:eastAsia="Times New Roman" w:hAnsi="Arial" w:cs="Arial"/>
          <w:b/>
          <w:bCs/>
          <w:lang w:eastAsia="sr-Latn-RS"/>
        </w:rPr>
        <w:br/>
        <w:t xml:space="preserve">na koncentraciju)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Ovom metodom analize utvrđuje se pogodan matematički odnos između specifične brzine rasta i koncentracije, što omogućava procenu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tj. svake tražene EC vrednosti. Pomoću ovog postupka, nije potrebno izračunavati r za svaku pojedinu ribu (r</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već se analiza može bazirati na proseku komora za ispitivanje (r</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Prednost se daje drugom postupku, koji više odgovara i u slučaju upotrebe najmanjih vrsta.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Prosek specifične brzine rasta za komoru (r</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grafički se prikazuje u odnosu na koncentraciju, da bi se utvrdila dozna zavisnost.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izrazio odnos između r</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koncentracije, izabrati odgovarajući model, a izbor određenog modela argumentovati na odgovarajući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broj preživelih jedinki riba razlikuje od jedne do druge komore, model adaptirati, tako da se pondiranjem prevaziđe problem nejednake veličine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Postupak adaptacije na model omogućava procenu, npr.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i njenog rasipanja (standardne greške ili intervala poverenja). Grafik adaptacije na model prikazati u odnosu na podatke, tako da se vidi da je adaptacija na model bila primerena</w:t>
      </w:r>
      <w:r w:rsidRPr="00984859">
        <w:rPr>
          <w:rFonts w:ascii="Arial" w:eastAsia="Times New Roman" w:hAnsi="Arial" w:cs="Arial"/>
          <w:b/>
          <w:bCs/>
          <w:sz w:val="15"/>
          <w:szCs w:val="15"/>
          <w:vertAlign w:val="superscript"/>
          <w:lang w:eastAsia="sr-Latn-RS"/>
        </w:rPr>
        <w:t>8, 18, 19, 20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2.1.2. Analiza rezultata za procenu LOEC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su u ispitivanju korišćeni duplikati komora za svaku ispitivanu koncentraciju, procena LOEC se može bazirati na ANOVA prosečne specifične stope rasta riba po komori (videti odeljak 2.1. ove metode). Nakon ove analize može slediti odgovarajući postupak</w:t>
      </w:r>
      <w:r w:rsidRPr="00984859">
        <w:rPr>
          <w:rFonts w:ascii="Arial" w:eastAsia="Times New Roman" w:hAnsi="Arial" w:cs="Arial"/>
          <w:b/>
          <w:bCs/>
          <w:sz w:val="15"/>
          <w:szCs w:val="15"/>
          <w:vertAlign w:val="superscript"/>
          <w:lang w:eastAsia="sr-Latn-RS"/>
        </w:rPr>
        <w:t xml:space="preserve">12,13,14,21 </w:t>
      </w:r>
      <w:r w:rsidRPr="00984859">
        <w:rPr>
          <w:rFonts w:ascii="Arial" w:eastAsia="Times New Roman" w:hAnsi="Arial" w:cs="Arial"/>
          <w:lang w:eastAsia="sr-Latn-RS"/>
        </w:rPr>
        <w:t xml:space="preserve">poređenja prosečnog r za svaku koncentraciju sa prosečnim r za kontrole, da se identifikuje najniža koncentracija pri kojoj postoji značajna razlika na nivou verovatnoće od 0,05. Ako nisu zadovoljene potrebne pretpostavke za parametarsku statistiku - nenormalna distribucija ili heterogena varijansa, pre ANOVA podaci se mogu transobrazovati da bi se homogenizovale varijanse ili se može uraditi pondirana ANOVA.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u ispitivanju nisu korišćeni duplikati komora za svaku koncentraciju, ANOVA na bazi podataka za celu komoru neće biti osetljiva ili je neće biti moguće uraditi. Kompromis je da se uradi ANOVA na "pseudo" specifičnim stopama rasta r</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za pojedinačne jedinke riba.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Prosečni r</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za svaku koncentraciju može se zatim porediti sa prosečnim r</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za svaku kontrolu. LOEC se može identifikovati kao i ranije. Ovaj postupak ne trpi, niti sprečava, varijabilnost između komora, osim varijabilnosti koja postoji zbog varijabilnosti između pojedinih jedinki riba. Iskustvo je pokazalo</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da je varijabilnost između komora vrlo mala u poređenju sa varijabilnošću između jedinki. Ako se pojedinačne jedinke riba ne uključe u analizu, opisati postupak identifikacije ekstremnih vrednosti i opravdati njegovu upotrebu.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Rezultati se tumače sa oprezom kad se izmerene toksične koncentracije u rastvorima nalaze blizu granice detekcije primenjenog analitičkog postupka, ili kad se u polustatičnom sistemu za ispitivanje smanji koncentracija ispitivane supstance između sveže pripremljenog rastvora i pre obnavljanja.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2.3.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priroda supstance i relevantna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hemijskoj identifikaciji, uključujući čistoću i analitički postupak za kvantifikaciju ispitivane supstance ukoliko je primenljivo.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ispitivanoj vrsti: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latinski naziv, ako je moguće: soj, veličina, dobavljač, prethodna obrada (ako je rađena)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primenjeni postupak (npr. statički, polustatički, protočni i dr);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ispitivana postavka (npr. broj akvarijuma, koncentracije i duplikati, broj riba po komori);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postupak pripreme osnovnog rastvora i učestalost obnavljanja (navesti ako se koristilo sredstvo za povećanje rastvorljivosti i njegova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nominalne koncentracije test supstance, srednja vrednost izmerenih vrednosti i njihove standardne devijacije u komorama i metoda kojom su dobijene, kao i dokaz da se merenja odnose na koncentracije ispitivane supstance u pravom rastvoru;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svojstva vode za razblaživanje: pH, tvrdoća, alkalitet, temperatura, koncentracija rastvorenog kiseonika, nivo rezidualnog hlora (ukoliko je meren), ukupni organski ugljenik, suspendovane čestice, salinitet medijuma (ukoliko je meren) i sva druga obavljena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kvalitet vode u komorama (pH, tvrdoća, temperatura i koncentracija rastvorenog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detaljne podatke o ishrani (npr. vrsta, poreklo i količina hrane, ako i dinamika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dokaz da su kontrole zadovoljile kriterijume prihvatljivosti što se tiče preživljenja i podaci o smrtnosti pri svakoj pojedinoj koncentraciji test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korišćene statističke analitičke tehnike, statistika utemeljena na duplikatima merenja ili na jedinki, obrada podataka i opravdanje za primenjene tehnike;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navedeni u tabeli o težini pojedinačnih riba i srednjoj težini riba nultog, 14. (ukoliko se težina merila 14. dana) i 28. dana prosečne vrednosti po akvarijumu ili pseudospecifične brzine rasta (ukoliko je primereno) za period od 0. do 28. dana i ako je moguće od 0. do 14. kao i od 14. do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rezultati statističke analize (tj. regresione analize ili ANOVA) ako je moguće dati tabelarno ili u grafičkom obliku i LOEC (p = 0,05) i NOEC ili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sa, kad je moguće, standardnim greškama (ukoliko je primereno);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pojava svih neobičnih reakcija riba i svakog vidljivog efekta koji uzrokuje ispitivana supstanca.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Solbe J.F. de LG (1987) Environmental Effects of Chemicals (CFM 9350 SLD). Report on a UK Ring Testof a Method for Studying the Effects of Chemicals on the Growth rate of Fish. WRc Report No PRD1388-M/2.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Ashley S., Mallett M.J. and Grandy N.J., (1990) EEC Ring Test of a Method for Determining the Effects ofChemicals on the Growth Rate of Fish. Final Report to the Commission of the European Communities.WRc Report No EEC 2600-M.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Crossland N.O. (1985) A method to evaluate effects of toxic chemicals on fish growth. Chemosphere, 14,p. 1855-1870.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4. Nagel R., Bresh H., Caspers N., Hansen P.D., Market M., Munk R., Scholz N. and Höfte B.B., (1991) Effectof 3,4-dichloroaniline on the early life stages of the Zebrafish (</w:t>
      </w:r>
      <w:r w:rsidRPr="00984859">
        <w:rPr>
          <w:rFonts w:ascii="Arial" w:eastAsia="Times New Roman" w:hAnsi="Arial" w:cs="Arial"/>
          <w:i/>
          <w:iCs/>
          <w:lang w:eastAsia="sr-Latn-RS"/>
        </w:rPr>
        <w:t>Brachydanio rerio</w:t>
      </w:r>
      <w:r w:rsidRPr="00984859">
        <w:rPr>
          <w:rFonts w:ascii="Arial" w:eastAsia="Times New Roman" w:hAnsi="Arial" w:cs="Arial"/>
          <w:lang w:eastAsia="sr-Latn-RS"/>
        </w:rPr>
        <w:t xml:space="preserve">): results of a comparativelaboratory study. Ecotox. Environ. Safety, 21, p. 157-164.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Yamamoto, Tokio., (1975) Series of stock cultures in biological field. Medaka (killifish) biology andstrains. Keigaku Publish. Tokio, Japan.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6. Holcombe, G.W., Benoit D.A., Hammermeister, D.E., Leonard, E.N. and Johnson, R.D., (1995) Acute andlong-term effects of nine chemicals on the Japanese medaka (</w:t>
      </w:r>
      <w:r w:rsidRPr="00984859">
        <w:rPr>
          <w:rFonts w:ascii="Arial" w:eastAsia="Times New Roman" w:hAnsi="Arial" w:cs="Arial"/>
          <w:i/>
          <w:iCs/>
          <w:lang w:eastAsia="sr-Latn-RS"/>
        </w:rPr>
        <w:t>Oryzias latipes</w:t>
      </w:r>
      <w:r w:rsidRPr="00984859">
        <w:rPr>
          <w:rFonts w:ascii="Arial" w:eastAsia="Times New Roman" w:hAnsi="Arial" w:cs="Arial"/>
          <w:lang w:eastAsia="sr-Latn-RS"/>
        </w:rPr>
        <w:t xml:space="preserve">).Arch. Environ. Conta.Toxicol. 28, p. 287-297.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7. Benoit, D.A., HolCOmbe, G.W. and Spehar, R.L., (1991) Guidelines for COnducting early life toxicity testswith Japanese medaka (</w:t>
      </w:r>
      <w:r w:rsidRPr="00984859">
        <w:rPr>
          <w:rFonts w:ascii="Arial" w:eastAsia="Times New Roman" w:hAnsi="Arial" w:cs="Arial"/>
          <w:i/>
          <w:iCs/>
          <w:lang w:eastAsia="sr-Latn-RS"/>
        </w:rPr>
        <w:t>Oryzias latipes</w:t>
      </w:r>
      <w:r w:rsidRPr="00984859">
        <w:rPr>
          <w:rFonts w:ascii="Arial" w:eastAsia="Times New Roman" w:hAnsi="Arial" w:cs="Arial"/>
          <w:lang w:eastAsia="sr-Latn-RS"/>
        </w:rPr>
        <w:t xml:space="preserve">). Ecological Research Series EPA-600/3-91-063. U.S. EnvironmentalProtection Agency, Duluth, Minesota.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Stephan C.E. and Rogers J.W., (1985) Advantages of using regression analysis to calculate results ofchronic toxicity tests. Aquatic Toxicology and Hazard Assessment: Eighth Symposium, ASTM STP 891,R C Bahner and D J Hansen, Eds., American Society for Testing and Materials, Philadelphia, p. 328-338.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Environment Canada, (1992) Biological test method: toxicity tests using early life stages of salmonid fish(rainbow trout, Coho salmon, or Atlantic salmon). Conservation and Protection, Ontario, Report EPS 1/RM/28, p. 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Cox D.R., (1958) Planning of experiments. Wiley Edt.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Pack S., (1991) Statistical issues Concerning the design of tests for determining the effects of chemicals onthe growth rate of fish. Room Document 4, OECD Ad Hoc Meeting of Experts on Aquatic ToxiCOlogy,WRc Medmenham, UK, 10-12 December 1991.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Dunnett C.W., (1955) A Multiple Comparisons Procedure for Comparing Several Treatments with aCOntrol, J. Amer. Statist. Assoc., 50, p. 1096-1121.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Dunnett C.W., (1964) New tables for multiple Comparisons with a Control. Biometrics, 20, p. 482-491.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14. Williams D.A., (1971) A test for differences between treatment means when several dose levels areCompared with a zero dose Control. Biometrics 27, p. 103-117.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Johnston, W.L., Atkinson, J.L., Glanville N.T., (1994) A technique using sequential feedings of differentColoured food to determine food intake by individual rainbow trout, Oncorhynchus mykiss: effect of feedinglevel. Aquaculture 120, p. 123-133.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Quinton, J. C. and Blake, R.W., (1990) The effect of feed cycling and ration level on the Compensatorygrowth response in rainbow trout, Oncorhynchus mykiss. Journal of Fish Biology, 37, p. 33-41.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Post, G., (1987) Nutrition and Nutritional Diseases of Fish. Chapter IX in Testbook of Fish Health. T.F.H.Publications, Inc. Neptune City, New Jersey, USA. p. 288.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Bruce, R.D. and Versteeg D.J., (1992) A statistical procedure for modelling continuous toxicity data.Environ. Toxicol. Chem. 11, p. 1485-1494.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DeGraeve, G.M., Cooney, J.M., Pollock, T.L., Reichenbach, J.H., Dean, Marcus, M.D. and McIntyre, D.O.,(1989) Precision of EPA seven-day fathead minnow larval survival and growth test; intra andinterlaboratory study. report EA-6189 (American Petroleum Institute Publication, No 4468). ElectricPower Research Institute, Palo alto, 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Norbert-King T.J., (1988) An interpolation estimate for chronic toxicity: the ICp approach. USEnvironmental Protection Agency. Environmental Research Lab., Duluth, Minesota. Tech. Rep. No 05-88of National Effluent Toxicity Assesment Center. Sept. 1988. p. 12.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Williams D.A., (1972) The comparison of several dose levels with a zero dose control. Biometrics 28,p. 510-531.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VRSTE RIBA PREPORUČENE ZA ISPITIVANJE I POGODNI USLOVI ISPITIVANJA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95"/>
        <w:gridCol w:w="1273"/>
        <w:gridCol w:w="679"/>
        <w:gridCol w:w="1291"/>
        <w:gridCol w:w="1087"/>
        <w:gridCol w:w="1225"/>
        <w:gridCol w:w="830"/>
        <w:gridCol w:w="1252"/>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Vrsta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Preporučeni opseg temperature</w:t>
            </w:r>
            <w:r w:rsidRPr="00984859">
              <w:rPr>
                <w:rFonts w:ascii="Arial" w:eastAsia="Times New Roman" w:hAnsi="Arial" w:cs="Arial"/>
                <w:lang w:eastAsia="sr-Latn-RS"/>
              </w:rPr>
              <w:br/>
              <w:t xml:space="preserve">(°C)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Foto-period</w:t>
            </w:r>
            <w:r w:rsidRPr="00984859">
              <w:rPr>
                <w:rFonts w:ascii="Arial" w:eastAsia="Times New Roman" w:hAnsi="Arial" w:cs="Arial"/>
                <w:lang w:eastAsia="sr-Latn-RS"/>
              </w:rPr>
              <w:br/>
              <w:t xml:space="preserve">(h)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Preporučeni opseg za početnu težinu ribe (g)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Tražena preciznost merenja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Nasad</w:t>
            </w:r>
            <w:r w:rsidRPr="00984859">
              <w:rPr>
                <w:rFonts w:ascii="Arial" w:eastAsia="Times New Roman" w:hAnsi="Arial" w:cs="Arial"/>
                <w:lang w:eastAsia="sr-Latn-RS"/>
              </w:rPr>
              <w:br/>
              <w:t xml:space="preserve">Stopa opterećenja (g/l)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Gustina nasada</w:t>
            </w:r>
            <w:r w:rsidRPr="00984859">
              <w:rPr>
                <w:rFonts w:ascii="Arial" w:eastAsia="Times New Roman" w:hAnsi="Arial" w:cs="Arial"/>
                <w:lang w:eastAsia="sr-Latn-RS"/>
              </w:rPr>
              <w:br/>
              <w:t xml:space="preserve">(po litri)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Hrana - dužina ispitivanja</w:t>
            </w:r>
            <w:r w:rsidRPr="00984859">
              <w:rPr>
                <w:rFonts w:ascii="Arial" w:eastAsia="Times New Roman" w:hAnsi="Arial" w:cs="Arial"/>
                <w:lang w:eastAsia="sr-Latn-RS"/>
              </w:rPr>
              <w:br/>
              <w:t xml:space="preserve">(u danima)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Preporučene vrste: </w:t>
            </w:r>
          </w:p>
        </w:tc>
        <w:tc>
          <w:tcPr>
            <w:tcW w:w="0" w:type="auto"/>
            <w:gridSpan w:val="7"/>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Oncorhynchus mykiss</w:t>
            </w:r>
            <w:r w:rsidRPr="00984859">
              <w:rPr>
                <w:rFonts w:ascii="Arial" w:eastAsia="Times New Roman" w:hAnsi="Arial" w:cs="Arial"/>
                <w:lang w:eastAsia="sr-Latn-RS"/>
              </w:rPr>
              <w:br/>
              <w:t xml:space="preserve">(kalifornijska pastrmka)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12,5-16,0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 najbližih 100 mg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suva ≥ 28</w:t>
            </w:r>
            <w:r w:rsidRPr="00984859">
              <w:rPr>
                <w:rFonts w:ascii="Arial" w:eastAsia="Times New Roman" w:hAnsi="Arial" w:cs="Arial"/>
                <w:lang w:eastAsia="sr-Latn-RS"/>
              </w:rPr>
              <w:br/>
              <w:t xml:space="preserve">hrana za mlađ salmonida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Ostale dobro opisane vrste: </w:t>
            </w:r>
          </w:p>
        </w:tc>
        <w:tc>
          <w:tcPr>
            <w:tcW w:w="0" w:type="auto"/>
            <w:gridSpan w:val="7"/>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Danio rerio</w:t>
            </w:r>
            <w:r w:rsidRPr="00984859">
              <w:rPr>
                <w:rFonts w:ascii="Arial" w:eastAsia="Times New Roman" w:hAnsi="Arial" w:cs="Arial"/>
                <w:lang w:eastAsia="sr-Latn-RS"/>
              </w:rPr>
              <w:br/>
              <w:t xml:space="preserve">(zebrica)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0,050-0,100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 najbližih 1 mg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živa hrana ≥ 28</w:t>
            </w:r>
            <w:r w:rsidRPr="00984859">
              <w:rPr>
                <w:rFonts w:ascii="Arial" w:eastAsia="Times New Roman" w:hAnsi="Arial" w:cs="Arial"/>
                <w:lang w:eastAsia="sr-Latn-RS"/>
              </w:rPr>
              <w:br/>
              <w:t>(</w:t>
            </w:r>
            <w:r w:rsidRPr="00984859">
              <w:rPr>
                <w:rFonts w:ascii="Arial" w:eastAsia="Times New Roman" w:hAnsi="Arial" w:cs="Arial"/>
                <w:i/>
                <w:iCs/>
                <w:lang w:eastAsia="sr-Latn-RS"/>
              </w:rPr>
              <w:t>Brachionus Artemia</w:t>
            </w: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Oryzias latipes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0,050-0,100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do najbližih 1 </w:t>
            </w:r>
            <w:r w:rsidRPr="00984859">
              <w:rPr>
                <w:rFonts w:ascii="Arial" w:eastAsia="Times New Roman" w:hAnsi="Arial" w:cs="Arial"/>
                <w:lang w:eastAsia="sr-Latn-RS"/>
              </w:rPr>
              <w:lastRenderedPageBreak/>
              <w:t xml:space="preserve">mg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0,2-1,0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živa hrana ≥ 28</w:t>
            </w:r>
            <w:r w:rsidRPr="00984859">
              <w:rPr>
                <w:rFonts w:ascii="Arial" w:eastAsia="Times New Roman" w:hAnsi="Arial" w:cs="Arial"/>
                <w:lang w:eastAsia="sr-Latn-RS"/>
              </w:rPr>
              <w:br/>
            </w:r>
            <w:r w:rsidRPr="00984859">
              <w:rPr>
                <w:rFonts w:ascii="Arial" w:eastAsia="Times New Roman" w:hAnsi="Arial" w:cs="Arial"/>
                <w:lang w:eastAsia="sr-Latn-RS"/>
              </w:rPr>
              <w:lastRenderedPageBreak/>
              <w:t>(</w:t>
            </w:r>
            <w:r w:rsidRPr="00984859">
              <w:rPr>
                <w:rFonts w:ascii="Arial" w:eastAsia="Times New Roman" w:hAnsi="Arial" w:cs="Arial"/>
                <w:i/>
                <w:iCs/>
                <w:lang w:eastAsia="sr-Latn-RS"/>
              </w:rPr>
              <w:t>Brachionus Artemia</w:t>
            </w:r>
            <w:r w:rsidRPr="00984859">
              <w:rPr>
                <w:rFonts w:ascii="Arial" w:eastAsia="Times New Roman" w:hAnsi="Arial" w:cs="Arial"/>
                <w:lang w:eastAsia="sr-Latn-RS"/>
              </w:rPr>
              <w:t xml:space="preserve">)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HEMIJSKA SVOJSTVA VODE ZA RAZBLAŽIVANJE PRIHVATLJIVOG KVALITETA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716"/>
        <w:gridCol w:w="2416"/>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Čestice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20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organski ugljenik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2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Nejonizovani amonijak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1 µg/l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Rezidualni hlor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10 µg/l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organofosfatni pesticidi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50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organohlorni pesticidi plus polihlorovani bifenili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50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organski hlor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25 ng/l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četvrti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LOGARITAMSKI NIZOVI KONCENTRACIJA KOJE SU POGODNE </w:t>
      </w:r>
      <w:r w:rsidRPr="00984859">
        <w:rPr>
          <w:rFonts w:ascii="Arial" w:eastAsia="Times New Roman" w:hAnsi="Arial" w:cs="Arial"/>
          <w:b/>
          <w:bCs/>
          <w:lang w:eastAsia="sr-Latn-RS"/>
        </w:rPr>
        <w:br/>
        <w:t>ZA ISPITIVANJE TOKSIČNOSTI</w:t>
      </w:r>
      <w:r w:rsidRPr="00984859">
        <w:rPr>
          <w:rFonts w:ascii="Arial" w:eastAsia="Times New Roman" w:hAnsi="Arial" w:cs="Arial"/>
          <w:b/>
          <w:bCs/>
          <w:sz w:val="15"/>
          <w:szCs w:val="15"/>
          <w:vertAlign w:val="superscript"/>
          <w:lang w:eastAsia="sr-Latn-RS"/>
        </w:rPr>
        <w:t>9</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04"/>
        <w:gridCol w:w="1304"/>
        <w:gridCol w:w="1304"/>
        <w:gridCol w:w="1305"/>
        <w:gridCol w:w="1305"/>
        <w:gridCol w:w="1305"/>
        <w:gridCol w:w="1305"/>
      </w:tblGrid>
      <w:tr w:rsidR="00984859" w:rsidRPr="00984859" w:rsidTr="00984859">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Kolona (broj koncentracija između 100 i 10 ili između 10 i 1)</w:t>
            </w:r>
            <w:r w:rsidRPr="00984859">
              <w:rPr>
                <w:rFonts w:ascii="Arial" w:eastAsia="Times New Roman" w:hAnsi="Arial" w:cs="Arial"/>
                <w:b/>
                <w:bCs/>
                <w:sz w:val="15"/>
                <w:szCs w:val="15"/>
                <w:vertAlign w:val="superscript"/>
                <w:lang w:eastAsia="sr-Latn-RS"/>
              </w:rPr>
              <w:t>XII</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XII</w:t>
      </w:r>
      <w:r w:rsidRPr="00984859">
        <w:rPr>
          <w:rFonts w:ascii="Arial" w:eastAsia="Times New Roman" w:hAnsi="Arial" w:cs="Arial"/>
          <w:lang w:eastAsia="sr-Latn-RS"/>
        </w:rPr>
        <w:t xml:space="preserve"> Niz od pet (ili više) uzastopnih koncentracija može se izabrati iz jedne od kolona u tabeli. Srednja tačka između dve koncentracija u n-toj koloni pronalaze se u koloni 2n + 1. Navedene vrednosti su koncentracije izražene u zapreminskim ili masenim procentima (mg/l ili µg/l). Vrednosti se mogu množiti ili deliti za faktor 10, po potrebi. Kolona 1 može se koristiti ako postoji značajna nesigurnost u vezi sa nivoom toksičnosti.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C.15. RIBE: METODA ISPITIVANJA KRATKOROČNE TOKSIČNOSTI NA EMBRIONALNOM I LARVALNOM STADIJUMU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212 (1998).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kratkoročne toksičnosti na embrione i larve riba je kratkoročni test u okviru kog se ispitivanoj supstanci izlažu različiti razvojni stadijumi ribe, od tek oplođenog jajeta pa sve do stadijuma na isteku faze hranjenja putem žumančane kese. U metodi kojom se ispituje toksičnost na embrionalni i larveni stadijum hrana se ne dodaje pa se ispitivanje okončava u fazi dok se larve još hrane putem žumančane kese.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Namena metode je određivanje letalnih i u izvesnoj meri, subletalnih efekata hemikalija na specifične razvojne stadijume i ispitivane vrste. Metoda ispitivanja pruža korisne podatke koji mogu: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predstavljati sponu između ispitivanja letalnog i subletalnog dejstva,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biti korišćena kao skrining test u okviru ispitivanja toksičnosti u celoj ranoj fazi života ili u okviru ispitivanja hronične toksičnosti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biti korišćena za ispitivanje vrsta čije tehnike uzgoja nisu dovoljno uznapredovale da bi omogućile studije razdoblja promene iz endogenog u egzogeni način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Preciznu procenu hronične toksičnosti hemikalije na ispitivanu vrstu mogu dati isključivo ispitivanja koja obuhvataju sve faze životnog ciklusa ribe. Svako skraćivanje izlaganja, koje nije obuhvatilo sve faze životnog ciklusa, može smanjiti osetljivost metode ispitivanja i potceniti hroničnu toksičnost hemikalije. Očekuje se da će ispitivanje na embrionalnom i larvalnom stadijumu biti manje osetljivo od ispitivanja toksičnosti u celoj ranoj fazi života, posebno ako se ispituje toksičnost izrazito lipofilnih hemikalija (log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&gt; 4) i hemikalija specifičnog toksičnog dejstva. Kod hemikalija nespecifičnog, narkotičkog delovanja, očekuje se da razlike u osetljivosti budu manje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objavljivanja ovog ispitivanja, najviše iskustava u ispitivanju toksičnosti na embrionalni i larvalni stadijum sakupljeno je na slatkovodnoj ribi </w:t>
      </w:r>
      <w:r w:rsidRPr="00984859">
        <w:rPr>
          <w:rFonts w:ascii="Arial" w:eastAsia="Times New Roman" w:hAnsi="Arial" w:cs="Arial"/>
          <w:i/>
          <w:iCs/>
          <w:lang w:eastAsia="sr-Latn-RS"/>
        </w:rPr>
        <w:t>Danio rerio</w:t>
      </w:r>
      <w:r w:rsidRPr="00984859">
        <w:rPr>
          <w:rFonts w:ascii="Arial" w:eastAsia="Times New Roman" w:hAnsi="Arial" w:cs="Arial"/>
          <w:lang w:eastAsia="sr-Latn-RS"/>
        </w:rPr>
        <w:t xml:space="preserve"> Hamilton-Buchanan (Teleostei, Cyprinidae) - tzv. zebrica. Smernice za ispitivanja ove vrste ribe date su u Delu drugom ove metode. Mogu se koristiti i druge dobro proučene vrste (Tabela 1).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Najniža efektivna koncentracija (Lowest Observed Effect Concentration, u daljem tekstu: LOEC) jeste najniža koncentracija ispitivane supstance pri kojoj je uočeno da supstanca, u poređenju sa kontrolnom grupom, izaziva značajno dejstvo (kod </w:t>
      </w:r>
      <w:r w:rsidRPr="00984859">
        <w:rPr>
          <w:rFonts w:ascii="Arial" w:eastAsia="Times New Roman" w:hAnsi="Arial" w:cs="Arial"/>
          <w:i/>
          <w:iCs/>
          <w:lang w:eastAsia="sr-Latn-RS"/>
        </w:rPr>
        <w:t>p</w:t>
      </w:r>
      <w:r w:rsidRPr="00984859">
        <w:rPr>
          <w:rFonts w:ascii="Arial" w:eastAsia="Times New Roman" w:hAnsi="Arial" w:cs="Arial"/>
          <w:lang w:eastAsia="sr-Latn-RS"/>
        </w:rPr>
        <w:t xml:space="preserve"> &lt; 0,05). Sve koncentracije više od LOEC u toku ispitivanja imaju štetno dejstvo jednako onom ili veće od onog uočenog pri LOEC.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koja ne dovodi do uočljivog efekta (No Observed Effect Concentration, u daljem tekstu: NOEC) jeste koncentracija ispitivane supstance neposredno ispod LOEC.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Embrioni i larve riba izlažu se seriji koncentracija ispitivane supstance rastvorene u vodi. U okviru ispitivane postavke, moguć je izbor semistatičkih ili protočnih uslova. Izbor zavisi od prirode ispitivane supstance. Ispitivanje započinje postavljanjem oplođenih jaja u komore za ispitivanje, a završava se neposredno pre nego žumančana kesa bilo koje larve, u bilo kojoj od ispitivanih komora, bude u potpunosti apsorbovana, odnosno pre nego što se u kontrolnoj grupi uoči smrtnost usled izgladnjivanja. Procenjuju se letalni i subletalni efekti, koji se zatim porede sa vrednostima u kontroli, da bi se odredila najniža efektivna koncentracija a time i koncentracija koja ne dovodi do uočljivog efekta. Rezultati se mogu analizirati i pomoću regresionog modela, da bi se procenila koncentracija ispitivane supstance koja dovodi do određenog procentualnog efekta (LC/EC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pri čemu je x procenat efekta).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PODACI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raspolaganju je potrebno imati rezultate ispitivanja akutne toksičnosti (videti Metodu C.1. koja je data u ovom prilogu), ako je moguće na istoj vrsti koja je izabrana za ispitivanje. Rezultati mogu biti od pomoći pri izboru prikladnog opsega koncentracija ispitivane supstance za metodu ispitivanja na ranim stadijumima razvoja. Potrebno je poznavati rastvorljivost ispitivane supstance u vodi (uključujući i rastvorljivost u vodi koja se koristi za ispitivanje) i napon para ispitivane supstance. Potrebno je i pouzdana analitička metoda kojom se može odrediti količina ispitivane supstance u rastvorima o čijoj tačnosti i granici detekcije postoje dostupni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podatke o ispitivanoj supstanci koji su od koristi pri uspostavljanju uslova ispitivanja u kojima se obavlja ispitivanje, spadaju strukturna formula ispitivane supstance, podaci o hemijskoj čistoći, fotostabilnosti, stabilnosti u ispitivanim uslovima, pK</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 rezultati ispitivanja biorazgradljivosti (videti Metodu C.4. koja je data u ovom prilogu).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PRIHVATLJIVOST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ispitivanje bilo prihvatljivo, primenjuju se sledeći uslovi: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ukupno preživljavanje oplođenih jaja u kontrolnim grupama i gde je relevantno, u posudama za ispitivanje punjenim samo rastvaračem, veće je ili jednako granicama definisanim u Delu trećem i četvrtom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 toku celog ispitivanja, koncentracija rastvorenog kiseonika iznosi između 60% i 100% vrednosti zasićenja vazduha (ASV);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 toku celog ispitivanja, temperatura vode u pojedinim komorama ili uzastopnim danima ni u kom satu međusobno se ne razlikuje za više od ± 1,5° C i kreće se u temperaturnom opsegu specificiranom za tu ispitivanu vrstu (videti Deo treći i četvrti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Komore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Može se koristiti bilo kakva staklena posuda ili posuda od hemijski inertnog materijala. Dimenzije posuda su dovoljno velike da ispitivanje bude izvedeno u skladu sa preporučenim vrednostima nasada (videti odeljak 1.7.1.2. ove metode). Posude za ispitivanje raspoređuju se po principu slučajnog rasporeda. Ako u laboratoriji postoje sistemski efekti koji se mogu kontrolisati blok sistemom, slučajni raspored u blokovima (gde je svaki tretman smešten u po jedan blok) ima prednost nad potpuno nasumičnim rasporedom. Ako se radi u blokovima, </w:t>
      </w:r>
      <w:r w:rsidRPr="00984859">
        <w:rPr>
          <w:rFonts w:ascii="Arial" w:eastAsia="Times New Roman" w:hAnsi="Arial" w:cs="Arial"/>
          <w:lang w:eastAsia="sr-Latn-RS"/>
        </w:rPr>
        <w:lastRenderedPageBreak/>
        <w:t xml:space="preserve">sistem se uzima u obzir kod analize podataka. Ispitivane komore zaštititi od neželjenog uznemiravanja.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Izbor vrste ribe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Preporučene vrste riba navedene su u Tabeli 1A. Moguće je korišćenje drugih vrsta (primeri su navedeni u Tabeli 1B), ali se u tom slučaju procedura modifikuje, da bi se obezbedili zadovoljavajući ispitivani uslovi. Ako se koriste druge vrste dati objašnjenje za izbor vrste i opis ispitivane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Održavanje laboratorijske populacije riba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Detalji o održavanju laboratorijske populacije riba u zadovoljavajućim uslovima mogu se naći u Uputstvu za ispitivanje OECD TG 210</w:t>
      </w:r>
      <w:r w:rsidRPr="00984859">
        <w:rPr>
          <w:rFonts w:ascii="Arial" w:eastAsia="Times New Roman" w:hAnsi="Arial" w:cs="Arial"/>
          <w:b/>
          <w:bCs/>
          <w:sz w:val="15"/>
          <w:szCs w:val="15"/>
          <w:vertAlign w:val="superscript"/>
          <w:lang w:eastAsia="sr-Latn-RS"/>
        </w:rPr>
        <w:t>XIII</w:t>
      </w:r>
      <w:r w:rsidRPr="00984859">
        <w:rPr>
          <w:rFonts w:ascii="Arial" w:eastAsia="Times New Roman" w:hAnsi="Arial" w:cs="Arial"/>
          <w:lang w:eastAsia="sr-Latn-RS"/>
        </w:rPr>
        <w:t xml:space="preserve"> i literaturi</w:t>
      </w:r>
      <w:r w:rsidRPr="00984859">
        <w:rPr>
          <w:rFonts w:ascii="Arial" w:eastAsia="Times New Roman" w:hAnsi="Arial" w:cs="Arial"/>
          <w:b/>
          <w:bCs/>
          <w:sz w:val="15"/>
          <w:szCs w:val="15"/>
          <w:vertAlign w:val="superscript"/>
          <w:lang w:eastAsia="sr-Latn-RS"/>
        </w:rPr>
        <w:t>2, 3, 4, 5, 6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XIII</w:t>
      </w:r>
      <w:r w:rsidRPr="00984859">
        <w:rPr>
          <w:rFonts w:ascii="Arial" w:eastAsia="Times New Roman" w:hAnsi="Arial" w:cs="Arial"/>
          <w:lang w:eastAsia="sr-Latn-RS"/>
        </w:rPr>
        <w:t xml:space="preserve"> OECD, Paris, 1992, Test Guideline 210, "Fish, Early -life Stage Toxicity Test"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Postupanje sa embrionima i larvama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Unutar glavne posude za ispitivanje, embrioni i larve mogu biti izloženi ispitivanoj supstanci u manjim posudama mrežastih zidova koji omogućavaju nesmetan protok ispitivanog rastvora kroz posudu. Ujednačen protok kroz ove male posude može se postići tako što se one okače o mehaničku ruku, nameštenu tako da posude pomiče gore-dole, držeći organizme neprekidno uronjene u medijum. Može se upotrebiti i sifonski sistem. Oplođena jaja salmonidnih riba mogu biti poduprta na šipkama ili mrežama čija su okca dovoljno velika da larve, nakon što se izlegu, mogu da propadnu kroz njih. U semistatičkim uslovima, u kojima je obezbeđeno svakodnevno obnavljanje rastvora, za uklanjanje embriona i larvi prikladno je upotrebiti Pasterove pipete (videti odeljak 1.6.6.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za zadržavanje jaja unutar glavne posude koriste rešetke ili mreže, one se uklanjaju čim se larve izlegu, sa izuzetkom mreža koje su i dalje potrebne za sprečavanje bežanja larvi. Ako postoji potreba za premeštanjem larvi, one ne bi smele biti izložene vazduhu, niti se za puštanje ribe iz posudica za jaja smeju koristiti mrežice (ova mera opreza može biti suvišna ako se radi o nekoj manje osetljivoj vrsti ribe, npr. šaranu). Pogodan momenat za premeštanje larvi varira od vrste do vrste, a sam premeštaj nije uvek nužan. Ako se ispitivanje odvija u semistatičkim uslovima, mogu se koristiti laboratorijske čaše ili plitke posude, po potrebi opremljene mrežicom podignutom iznad dna posude. Premeštanje embriona ili larvi nije neophodno ako je zapremina ovih posuda dovoljna da zadovolji postavljene zahteve u pogledu nasada (videti odeljak 1.7.1.2.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Svaka voda čija hemijska svojstva odgovaraju svojstvima prihvatljive vode za razblaživanje, (navedeno u Delu petom ove metode) i u kojoj jedinke ispitivane vrste u kontrolnim grupama preživljavaju barem u meri kako je opisano u Delu trećem i četvrtom ove metode, prikladna je za ispitivanje. Kvalitet vode ostaje nepromenjen u toku celog ispitivanja. Vrednost pH održavati u opsegu od ± 0,5. Kako bi se osiguralo da voda koja se koristi za razblaživanje ne utiče prekomerno na rezultate ispitivanja (npr. kompleksiranjem ispitivane supstance) ili negativno ne utiče na ponašanje matičnog jata, uzorke vode povremeno analizirati. Ako se zna da se kvalitet vode korišćene za razblaživanje bitno ne menja, svaka tri meseca izmeriti koncentraciju teških metala (npr. Cu, Pb, Zn, Hg, Cd i Ni), glavnih anjona i katjona (npr. Ca, Mg, Na, K, Cl i CO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pesticida (npr. ukupne organofosforne i organohlorne pesticide), ukupnu koncentraciju organskog ugljenika i u vodi suspendovanih materija. Ako se pokaže </w:t>
      </w:r>
      <w:r w:rsidRPr="00984859">
        <w:rPr>
          <w:rFonts w:ascii="Arial" w:eastAsia="Times New Roman" w:hAnsi="Arial" w:cs="Arial"/>
          <w:lang w:eastAsia="sr-Latn-RS"/>
        </w:rPr>
        <w:lastRenderedPageBreak/>
        <w:t xml:space="preserve">da je kvalitet vode konstantan u toku perioda od najmanje godinu dana, analize ovih pokazatelja nije potrebno da budu tako česte, pa se razmaci između dve analize produžavaju (na svakih šest meseci).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1.6.6. Rastvori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Rastvori ispitivane supstance izabrane koncentracije pripremaju se razblaživanjem osnovnog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rastvor se priprema tako što se ispitivana supstanca jednostavno mehanički promeša sa vodom za razblaživanje ili protrese u njoj (mešanjem i pomoću ultrazvuka). Odgovarajuća koncentracija osnovnog rastvora može se obezbediti upotrebom kolona zasićenja (kolona rastvorljivosti). Upotrebu rastvarača ili disperzionih sredstava (agensa koji olakšavaju rastvaranje) izbegavati kad god je moguće. Pripremanje osnovnog rastvora odgovarajuće koncentracije u nekim slučajevima iziskuje upotrebu ovih jedinjenja. U odgovarajuće rastvarače spadaju: aceton, etanol, metanol, dimetilformamid i trietilenglikol. U odgovarajuća disperziona sredstva spadaju: Cremophor RH40, Tween 80, metilceluloza 0,01% i HCO-40. Pri upotrebi biorazgradljivih agenasa (npr. acetona), odnosno lako isparljivih jedinjenja potrebno je preduzeti određene mere opreza, jer kod ispitivanja u protočnim uslovima mogu izazvati probleme u smislu bakterijske nadgradnje. Ako se koristi sredstvo koje olakšava rastvorljivost, ono ne sme imati nikakvih značajnih efekata na preživljavanje, niti vidljivih neželjenih efekata na rane razvojne oblike riba kontrolne grupe, izložene samo rastvaraču.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ispitivanje obavlja u polustatičnom sistemu, obnavljanje ispitivanog rastvora može da se radi na dva načina: ispitivani rastvor se priprema u čistim posudama, a preživela jaja i larve u maloj zapremini starog rastvora nežno premeštaju u nove posude, izbegavajući pritom pristup vazduha, ili se ispitivani organizmi zadrže u posudama, a promeni određeni deo (najmanje tri četvrtine) rastvora. Učestalost obnavljanja medijuma zavisi od stabilnosti ispitivane supstance, ali se preporučuje da bude svakodnevno. Ako se prema rezultatima skrining testa (videti odeljak 1.4. ove metode) pokaže da koncentracija ispitivane supstance u toku perioda između obnavljanja nije stabilna (tj. izlazi iz opsega od 80% do 120% nominalnih vrednosti, odnosno pada ispod 80% prvobitno izmerene koncentracije), nužno je razmotriti mogućnost ispitivanja u protočnim uslovima. U toku obnavljanja rastvora paziti da se izbegne stresogeno dejstvo na larve.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ispitivanja koja se izvode u protočnim uslovima neophodan je sistem koji će neprekidno raspršivati i razblaživati osnovni rastvor ispitivane supstance (npr. merna pumpa, proporcionalni razblaživač, sistem za zasićenje) kako bi ispitivana supstanca stizala u ispitivane komore u seriji koncentracija. Tokom trajanja ispitivanja, protok osnovnog rastvora i vode za razblaživanje povremeno proveriti, ako je moguće svakodnevno, a protok u toku celog trajanja ispitivanja ne sme da varira za više od 10%. Kao odgovarajući pokazao se 24-satni protok ekvivalentan ukupnoj zapremini minimum pet komora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PROCEDURA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Korisni podaci o ispitivanju toksičnosti na embrionima i larvama su dostupni u literaturi</w:t>
      </w:r>
      <w:r w:rsidRPr="00984859">
        <w:rPr>
          <w:rFonts w:ascii="Arial" w:eastAsia="Times New Roman" w:hAnsi="Arial" w:cs="Arial"/>
          <w:b/>
          <w:bCs/>
          <w:sz w:val="15"/>
          <w:szCs w:val="15"/>
          <w:vertAlign w:val="superscript"/>
          <w:lang w:eastAsia="sr-Latn-RS"/>
        </w:rPr>
        <w:t>7,8,9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Uslovi izlaganja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1.7.1.1. Trajanje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započeti u prvih 30 minuta nakon oplodnje jaja. Embrioni se u ispitivani rastvor uranjaju pre nego što nastupi cepanje blastodiska, odnosno što pre nakon toga, ali u svakom </w:t>
      </w:r>
      <w:r w:rsidRPr="00984859">
        <w:rPr>
          <w:rFonts w:ascii="Arial" w:eastAsia="Times New Roman" w:hAnsi="Arial" w:cs="Arial"/>
          <w:lang w:eastAsia="sr-Latn-RS"/>
        </w:rPr>
        <w:lastRenderedPageBreak/>
        <w:t xml:space="preserve">slučaju pre početka stadijuma gastrule. Ako se koriste jaja nabavljena od komercijalnog dobavljača, može se dogoditi da sa ispitivanjem nije moguće započeti odmah nakon oplodnje. Kako odlaganje početka ispitivanja može značajno da naruši osetljivost metode, ispitivanje započeti najdalje osam sati od oplodnje. Larve se u toku perioda izlaganja ne hrane, pa ispitivanje okončati neposredno pre nego što žumančana kesa bilo koje larve, u bilo kojoj od ispitivanja komora, bude u potpunosti apsorbovana, odnosno pre nego što larve u kontrolnim grupama uginu od izgladnelosti. Trajanje ispitivanja zavisi od vrste ribe. Neke preporučene dužine trajanja ispitivanja navedene su u Delu trećem i četvrtom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1.7.1.2. Nasad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početku ispitivanja broj oplođenih jaja zadovoljava statističke zahteve. Jaja nasumice rasporediti između tretmana. Svakoj koncentraciji ispitivane supstance izložiti najmanje 30 oplođenih jaja, koliko je moguće jednako raspodeljenih u najmanje tri replike (kod nekih vrsta riba teško je dobiti jednake serije). Nasad (biomasa po zapremini rastvora) je dovoljno nizak da se koncentracija rastvorenog kiseonika može bez aeracije održavati na minimum 60% ASV. Kod ispitivanja u protočnim uslovima, preporučuje se da nasad u 24 sata ne prelazi 0,5 g/l, odnosno da ni u kom trenutku ne prelazi 5 g/l rastvora</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1.7.1.3. Osvetljenje i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Fotoperiod i temperatura rastvora su odgovarajući za svaku ispitivanu vrstu (videti Deo treći i četvrti ove metode). Za praćenje temperature prikladna je upotreba dodatne posude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Koncentracije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Uobičajeno je da se ispitivanje obavlja u seriji od pet koncentracija ispitivane supstance u rastućem nizu, koji se međusobno razlikuju za konstantno isti faktor, ne veći od 3,2. Pri izboru opsega ispitivanih koncentracija uzeti u obzir krivu zavisnosti LC</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i vremena izlaganja, dobijenu ispitivanjem akutne toksičnosti. U nekim slučajevima, npr. kod ispitivanja namenjenih određivanju gornje granične koncentracije, ispitivanje se obavlja u manje od pet koncentracija ili u seriji užeg opsega. Ako se ispitivanje obavlja u manje od pet koncentracija ispitivane supstance, navodi se objašnjenje. Koncentracije supstance koje prelaze 96 h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odnosno 100 mg/l (zavisno od toga koja je od navedenih vrednosti niža) ne ispituju se. Supstance ne ispitivati u koncentracijama koje prelaze granicu njihove rastvorljivosti u medijumu.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za pripremu ispitivanog rastvora koristi sredstvo koje olakšava rastvaranje (videti odeljak 1.6.6. ove metode), njegova krajnja koncentracija u svim posudama je jednaka i ne prelazi 0,1 ml/l.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1.7.3.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 seriju koncentracija ispitivane supstance, postaviti i jednu kontrolnu grupu (u potrebnom broju ponavljanja) u kojoj se nalazi samo voda za razblaživanje i ukoliko je u konkretnom slučaju relevantno, jednu (u potrebnom broju ponavljanja) kontrolnu grupu u kojoj medijum sadrži i sredstvo za lakše rastvaranje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1.7.4. Učestalost analitičkih određivanja i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Koncentracije ispitivane supstance određuju se u pravilnim vremenskim razmacima, tokom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Ako se ispitivanja izvode u polustatičkim uslovima, u kojima se očekuje da će se koncentracija ispitivane supstance zadržati unutar ± 20% nominalnih vrednosti, odnosno u opsegu od 80% do 120% (videti odeljke 1.4. i 1.6.6. ove metode), barem se tri puta u pravilnim vremenskim razmacima analiziraju uzorci najviše i najniže koncentracije, tako što se prve analize rade neposredno nakon pripreme rastvora, a zatim i odmah nakon njihovog obnavljanja. Znači da je potrebno analizirati uzorak istog rastvora - sveže pripremljen i prilikom obnavljanja.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ispitivanjima kod kojih se na osnovu podataka o stabilnosti supstance ne očekuje da će se njena koncentracija zadržati unutar ± 20% nominalne vrednosti, neophodno je analizirati rastvore svih koncentracija neposredno nakon pripreme i prilikom njihovog obnavljanja, pridržavajući se opisanog režima kontrole (analiza se obavlja u najmanje 3 navrata u pravilnim vremenskim razmacima). Koncentraciju ispitivane supstance pre obnavljanja u svakom rastvoru neophodno je odrediti u jednoj od replika, u razmaku ne dužem od sedam dana. Preporučuje se da se rezultati ispitivanja baziraju na izmerenim koncentracijama. Ali, ako postoje dokazi da se ispitivana koncentracija na zadovoljavajući način održava unutar ± 20% nominalne ili izmerene prvobitne koncentracije, rezultati se mogu bazirati na nominalnim ili prvobitno izmerenim vrednostima.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ispitivanje izvodi u protočnim uslovima, prikladan je režim uzimanja uzorka za analizu sličan režimu opisanom za semistatičke uslove (ali u ovom slučaju merenje "starih" rastvora nije primenljivo). Ako ispitivanje traje duže od sedam dana, preporučljivo je da se poveća broj uzoraka uzetih u toku prve nedelje (obaviti tri serije merenja) da bi se osiguralo da ispitivane koncentracije i dalje budu stabilne.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Nekada je potrebno uzorke centrifugirati ili filtrirati (pomoću 0,45 μm filtera). Ali, ako ni u jednom od dva pomenuta načina pripreme uzoraka nije moguće razdvojiti biodostupnu frakciju ispitivane supstance od bionedostupne, uzorci se ne podvrgavaju ovim postupcima.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ispitivanja, u svim posudama meriti rastvoreni kiseonik, pH i temperaturu. U kontrolnim posudama i posudi u kojoj je koncentracija ispitivane supstance najviša, neophodno je izmeriti ukupnu tvrdoću rastvora i salinitet, ukoliko je merodavan, najmanje tri puta (na početku, sredinom i na kraju ispitivanja). Ako se ispitivanje izvodi u semistatičkim uslovima, preporučuje se da se rastvoreni kiseonik meri češće, ako je moguće pre i nakon svakog obnavljanja vode, odnosno minimum jednom nedeljno. Pri ispitivanju u uslovima statičkog obnavljanja, pH vrednost meriti na početku i na kraju svakog obnavljanja vode, a pri ispitivanju u protočnim uslovima najmanje jednom nedeljno. Tvrdoću rastvora izmeriti jednom u toku ispitivanja. Temperaturu meriti svakodnevno, a preporučljivo je da se u najmanje jednoj od posuda prati neprekidno.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1.7.5. Zapažanja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1.7.5.1. Razvojni stadijum embriona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početku izlaganja ispitivanoj supstanci, embrionalni stadijum (tj. stadijum gastrule) potvrditi što je preciznije moguće. To se postiže pomoću reprezentativnog uzorka, adekvatno sačuvanih i očišćenih jaja. Opis i ilustracije razvojnih stadijuma dati su u literaturi2</w:t>
      </w:r>
      <w:r w:rsidRPr="00984859">
        <w:rPr>
          <w:rFonts w:ascii="Arial" w:eastAsia="Times New Roman" w:hAnsi="Arial" w:cs="Arial"/>
          <w:b/>
          <w:bCs/>
          <w:sz w:val="15"/>
          <w:szCs w:val="15"/>
          <w:vertAlign w:val="superscript"/>
          <w:lang w:eastAsia="sr-Latn-RS"/>
        </w:rPr>
        <w:t>, 5, 10, 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1.7.5.2. Izvaljivanje iz jaja i preživljavanje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Zapažanja koja se odnose na izvaljivanje iz jaja i preživljavanje, zapisuju se najmanje jednom dnevno. Na početku ispitivanja poželjno je da se zapažanja obave i češće (u toku prva tri sata na svakih 30 minuta), jer u nekim slučajevima (npr. kada se javljaju akutni toksični efekti), vremena preživljavanja mogu biti od veće važnosti nego broj uginulih </w:t>
      </w:r>
      <w:r w:rsidRPr="00984859">
        <w:rPr>
          <w:rFonts w:ascii="Arial" w:eastAsia="Times New Roman" w:hAnsi="Arial" w:cs="Arial"/>
          <w:lang w:eastAsia="sr-Latn-RS"/>
        </w:rPr>
        <w:lastRenderedPageBreak/>
        <w:t xml:space="preserve">primeraka. Uginule embrione i larve ukloniti odmah po opažanju, jer se mogu vrlo brzo raspasti. Pri odstranjivanju uginulih primeraka, posebnu pažnju posvetiti tome da se ne udare ili fizički oštete jaja/larve u neposrednoj blizini, koje su posebno nežne i osetljive. Kriterijumi za proglašavanje smrti variraju u zavisnosti od stadijuma životnog ciklusa: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 jaja - primetan gubitak prozirnosti i promena boje uzrokovani zgrušavanjem, odnosno precipitacijom belančevina, što uslovljava beo, neproziran izgled, naročito u ranim razvojnim stadijumima;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 embrione - odsustvo kretnji tela i/ili pulsa, odnosno promena boje i neproziran izgled vrsta čiji su embrioni u redovnim okolnostima prozirni;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 larve - nepokretnost i/ili odsustvo pokreta disanja i/ili odsustvo pulsa i/ili belo neprozirno obojen centralni nervni sistem i/ili izostanak reakcije na mehanički nadražaj.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1.7.5.3. Patološki izgled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Broj larvi patološkog oblika tela, odnosno boje, kao i stadijum apsorpcije u kom se nalazi žumančana kesa, beležiti u adekvatnim vremenskim razmacima zavisno od dužine ispitivanja i prirode patološke promene koja se opisuje. Patološki oblici embriona i larvi javljaju se i prirodno, a njihova zastupljenost u kontrolnoj grupi (grupama) nekih vrsta može biti reda veličine nekoliko procenata. Životinje patoloških obeležja iz posude za ispitivanje ukloniti tek kad uginu.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1.7.5.4. Patološko ponašanje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Patološke promene, npr. hiperventilaciju, nekoordinisano plivanje i atipično mirovanje, zabeležiti u adekvatnim vremenskim razmacima u zavisnosti od dužine ispitivanja. Iako ih je teško kvantifikovati, ovi efekti kada se opaze mogu pomoći u tumačenju rezultata smrtnosti, tj. dati podatke o načinu toksičnog dejstva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1.7.5.5. Dužina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ispitivanja, preporučljivo je izmeriti dužinu svake jedinke. Moguće je meriti standardnu, poprečnu ili ukupnu dužinu. Ako repno peraje istrune ili erodira, izmeriti standardnu dužinu. U dobro sprovedenom ispitivanju, koeficijent varijacije dužine replika uglavnom iznosi ± 20%.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1.7.5.6. Težina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ispitivanja izmeriti težinu svake jedinke. Prednost se daje suvoj masi (riba sušena 24 sata na temperaturi od 60° C) u odnosu na svežu (površina ribljeg tela osuši se upijanjem). U dobro obavljenom ispitivanju, koeficijent varijacije težine replika iznosi ± 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zapažanja će rezultirati nekim ili svim navedenim podacima koji se mogu analizirati statistički: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kumulativna smrtnost;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zdravih larvi u pojedinoj replici zabeležen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proteklo do početka, odnosno do okončanja izvaljivanja (tj. vreme koje je u svakoj replici bilo potrebno da se izlegne 90% larvi);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broj larvi koji se dnevno izvalio;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dužina (i težina) preživelih životinja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larvi patološkog oblika ili izgleda;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larvi patološkog ponašanja.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da u ispitivanu postavku i analizu bude uključen statističar, jer ova metoda omogućava znatne varijacije u ispitivanoj postavci, npr. u broju upotrebljenih ispitivanih posuda, broju ispitivanih koncentracija, početnom broju oplođenih jaja i mernim pokazateljima. S obzirom na broj opcija koje pri postavci ove metode ispitivanja stoje na raspolaganju, ovde nisu navedene specifične smernice za statističku obradu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je potrebno odrediti LOEC/NOEC, neophodno je analizirati varijacije unutar svakog od setova replika, i to upotrebom analize varijance (ANOVA) ili postupcima koji koriste tablice kontingencije. Pri višestrukom poređenju rezultata dobijenih pri izlaganju pojedinim koncentracijama ispitivane supstance i rezultata dobijenih u kontrolnim grupama, može biti korisna Dunetova metoda</w:t>
      </w:r>
      <w:r w:rsidRPr="00984859">
        <w:rPr>
          <w:rFonts w:ascii="Arial" w:eastAsia="Times New Roman" w:hAnsi="Arial" w:cs="Arial"/>
          <w:b/>
          <w:bCs/>
          <w:sz w:val="15"/>
          <w:szCs w:val="15"/>
          <w:vertAlign w:val="superscript"/>
          <w:lang w:eastAsia="sr-Latn-RS"/>
        </w:rPr>
        <w:t>12,13</w:t>
      </w:r>
      <w:r w:rsidRPr="00984859">
        <w:rPr>
          <w:rFonts w:ascii="Arial" w:eastAsia="Times New Roman" w:hAnsi="Arial" w:cs="Arial"/>
          <w:lang w:eastAsia="sr-Latn-RS"/>
        </w:rPr>
        <w:t>. Na raspolaganju su i druge korisne metode</w:t>
      </w:r>
      <w:r w:rsidRPr="00984859">
        <w:rPr>
          <w:rFonts w:ascii="Arial" w:eastAsia="Times New Roman" w:hAnsi="Arial" w:cs="Arial"/>
          <w:b/>
          <w:bCs/>
          <w:sz w:val="15"/>
          <w:szCs w:val="15"/>
          <w:vertAlign w:val="superscript"/>
          <w:lang w:eastAsia="sr-Latn-RS"/>
        </w:rPr>
        <w:t>14,15</w:t>
      </w:r>
      <w:r w:rsidRPr="00984859">
        <w:rPr>
          <w:rFonts w:ascii="Arial" w:eastAsia="Times New Roman" w:hAnsi="Arial" w:cs="Arial"/>
          <w:lang w:eastAsia="sr-Latn-RS"/>
        </w:rPr>
        <w:t xml:space="preserve">. Veličina efekta koja se detektuje pomoću ANOVA ili drugih postupaka statističke obrade (tj. statistička snaga), izračunava se i navodi. Za statističku analizu putem ANOVA nisu prikladna sva zapažanja navedena u odeljku 1.7.5.6. ove metode. Na primer, kumulativna smrtnost i broj zdravih larvi u pojedinoj replici, zabeleženi na kraju ispitivanja, analiziraju se probit metodama.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određuje LC/EC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adekvatnu krivu (kao što je logistička) prilagoditi značajnim podacima koristeći statističke metode poput metoda najmanjih kvadrata ili metoda nelinearnih najmanjih kvadrata. Krivu (krive) parametarski prilagoditi na način da se LC/EC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od interesa i njena standardna greška mogu direktno utvrditi. Ovo će značajno olakšati izračunavanje intervala poverenja oko vrednosti LC/EC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Ako ne postoje dobri razlozi za davanje prednosti drugačijim nivoima poverenja, interval poverenja koji je potrebno navesti je dvostrani 95%-ni. Postupak prilagođavanja krive osigurati na način na koji će se proceniti statistički značaj neprilagođenosti. Za prilagođavanje krivih koristiti grafičke metode. Regresiona analiza je pogodna za analizu svih zapažanja nabrojenih u odeljku 1.7.5.6.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izmerene koncentracije ispitivane supstance nalaze u koncentracijama bliskim granici detekcije analitičke metode, rezultate tumačiti oprezno. Treba paziti i kod tumačenja rezultata dobijenih pri izlaganju ispitivanih modela koncentracijama koje prelaze rastvorljivost ispitivane supstance u vodi.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fizička priroda i relevantna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od značaja za hemijsku identifikaciju supstance kao što su njena hemijska čistoća i gde je primereno, analitička metoda kojom se može kvantifikovati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ispitivanoj vrsti: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latinski naziv, soj, broj roditeljskih jedinki riba (tj. koliko je ženki upotrebljeno da bi se u svakoj od replika obezbedio potreban broj jaja), izvor i metoda sakupljanja oplođenih jaja, kao i rukovanje njima.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primenjena procedura ispitivanja (npr. polustatični ili protočni sistem, vreme proteklo od oplodnje do početka ispitivanja, nasad,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fotoperiod;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ispitivana postavka (npr. broj ispitivanih posuda i replika, broj embriona u svakoj od replika);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metoda pripreme osnovnih rastvora i učestalost njihovog obnavljanja (koncentracija rastvarača ako se koristi);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nominalne koncentracije ispitivane supstance, izmerene vrednosti, njihove aritmetičke sredine i standardna devijacija, metoda kojom su dobijene, i ukoliko je ispitivana supstanca u vodi rastvorljiva u koncentracijama nižim od ispitivanih dokazi da se merenja odnose na koncentracije ispitivane supstance u rastvoru;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karakteristike vode za razblaživanje (pH, tvrdoća, temperatura, koncentracija rastvorenog kiseonika, nivoi rezidualnog hlora, ukoliko su izmereni, ukupni organski ugljenik, koncentracija suspendovanih materija, salinitet ispitivanog medijuma, ukoliko je izmeren) i rezultati bilo kojih drugih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kvalitet vode u posudama za ispitivanje (pH, tvrdoća, temperatura i koncentracija rastvorenog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svih prethodno obavljenih studija o stabilnosti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dokazi da je stopa preživljavanja u kontrolnim grupama zadovoljila standard prihvatljivosti za ispitivanu vrstu (videti Deo treći i četvrti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smrtnosti/preživljavanju u embrionalnom i larvalnom stadijumu, i ukupna smrtnost/ukupno preživljavanje;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dana do izvaljivanja i broj izvaljenih larvi;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dužini (i težini);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učestalost i opis patoloških morfoloških oblika, ako ih je bilo;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učestalost i opis efekata ispitivane supstance na ponašanje ispitivanog modela, ukoliko je takvih bilo;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statistička analiza i obrada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 ispitivanja čiji su rezultati analizirani pomoću ANOVA, za svaki od utvrđenih odgovora ispitivanog modela na izlaganje ispitivanoj supstanci, najniža koncentracija ispitivane supstance pri kojoj se na nivou značaja od </w:t>
      </w:r>
      <w:r w:rsidRPr="00984859">
        <w:rPr>
          <w:rFonts w:ascii="Arial" w:eastAsia="Times New Roman" w:hAnsi="Arial" w:cs="Arial"/>
          <w:i/>
          <w:iCs/>
          <w:lang w:eastAsia="sr-Latn-RS"/>
        </w:rPr>
        <w:t>p</w:t>
      </w:r>
      <w:r w:rsidRPr="00984859">
        <w:rPr>
          <w:rFonts w:ascii="Arial" w:eastAsia="Times New Roman" w:hAnsi="Arial" w:cs="Arial"/>
          <w:lang w:eastAsia="sr-Latn-RS"/>
        </w:rPr>
        <w:t xml:space="preserve"> = 0,05 javlja LOEC, odnosno ne javlja statistički značajan efekat NOEC, uključujući i opis primenjenih statističkih postupaka i naznaku veličine efekta koji se mogao detektovati;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ako su rezultati ispitivanja analizirani regresionim tehnikama, LC/EC</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i intervali poverenja kao i grafički prikaz prilagođenog modela korišćenog pri izračunavanju;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objašnjenje bilo kakvog odstupanja od ove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Kristensen P., (1990) Evaluation of the Sensitivity of Short Term Fish Early Life Stage Tests in Relation to other FELS Test Methods. Final report to the Commission of the European Communities, p. 60. June 1990.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ASTM (1988) Standard Guide for Conducting Early Life-Stage Toxicity Tests with Fishes. American Society for Testing and Materials. E 1241-88. p. 26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Brauhn J.L. and Schoettger R.A., (1975) Acquisition and Culture of Research Fish: Rainbow trout, Fathead minnows, Channel Catfish and Bluegills. p. 54, Ecological Research Series, EPA-660/3-75-011, Duluth, Minnesota.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Brungs W.A. and Jones B.R., (1977) Temperature Criteria for Freshwater Fish: Protocol and Procedures p. 128, Ecological Research Series EPA-600/3-77-061, Duluth, Minnesota.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5. Laale H.W., (1977) The Biology and Use of the Zebrafish (</w:t>
      </w:r>
      <w:r w:rsidRPr="00984859">
        <w:rPr>
          <w:rFonts w:ascii="Arial" w:eastAsia="Times New Roman" w:hAnsi="Arial" w:cs="Arial"/>
          <w:i/>
          <w:iCs/>
          <w:lang w:eastAsia="sr-Latn-RS"/>
        </w:rPr>
        <w:t>Brachydanio rerio</w:t>
      </w:r>
      <w:r w:rsidRPr="00984859">
        <w:rPr>
          <w:rFonts w:ascii="Arial" w:eastAsia="Times New Roman" w:hAnsi="Arial" w:cs="Arial"/>
          <w:lang w:eastAsia="sr-Latn-RS"/>
        </w:rPr>
        <w:t xml:space="preserve">) in Fisheries Research. A Literature Review. J. Biol. 10, p. 121-173.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Legault R. (1958) A Technique for Controlling the Time of Daily Spawning and Collecting Eggs of the Zebrafish, </w:t>
      </w:r>
      <w:r w:rsidRPr="00984859">
        <w:rPr>
          <w:rFonts w:ascii="Arial" w:eastAsia="Times New Roman" w:hAnsi="Arial" w:cs="Arial"/>
          <w:i/>
          <w:iCs/>
          <w:lang w:eastAsia="sr-Latn-RS"/>
        </w:rPr>
        <w:t>Brachydanio rerio</w:t>
      </w:r>
      <w:r w:rsidRPr="00984859">
        <w:rPr>
          <w:rFonts w:ascii="Arial" w:eastAsia="Times New Roman" w:hAnsi="Arial" w:cs="Arial"/>
          <w:lang w:eastAsia="sr-Latn-RS"/>
        </w:rPr>
        <w:t xml:space="preserve"> (Hamilton-Buchanan) Copeia, 4, p. 328-330.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7. Dave G., Damgaard B., Grande M., Martelin J.E., Rosander B. and Viktor T., (1987) Ring Test of an Embryo-larval Toxicity Test with Zebrafish (</w:t>
      </w:r>
      <w:r w:rsidRPr="00984859">
        <w:rPr>
          <w:rFonts w:ascii="Arial" w:eastAsia="Times New Roman" w:hAnsi="Arial" w:cs="Arial"/>
          <w:i/>
          <w:iCs/>
          <w:lang w:eastAsia="sr-Latn-RS"/>
        </w:rPr>
        <w:t>Brachydanio rerio</w:t>
      </w:r>
      <w:r w:rsidRPr="00984859">
        <w:rPr>
          <w:rFonts w:ascii="Arial" w:eastAsia="Times New Roman" w:hAnsi="Arial" w:cs="Arial"/>
          <w:lang w:eastAsia="sr-Latn-RS"/>
        </w:rPr>
        <w:t xml:space="preserve">) Using Chromium and Zinc as Toxicants. Environmental Toxicology and Chemistry, 6, p. 61-71.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Birge J.W., Black J.A. and Westerman A.G., (1985) Short-term Fish and Amphibian Embryo-larval Tests for Determining the Effects of Toxicant Stress on Early Life Stages and Estimating Chronic Values for Single Compounds and Complex Effluents. Environmental Toxicology and Chemistry 4, p. 807-821.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Van Leeuwen C.J., Espeldoorn A. and Mol F. (1986) Aquatic Toxicological Aspects of Dithiocarbamates and Related Compounds. III. Embryolarval Studies with Rainbow Trout (Salmo gairdneri). J. Aquatic Toxicology, 9, p. 129-145.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Kirchen R.V. and W. R. West (1969) Teleostean Development. Carolina Tips 32(4): 1-4. Carolina Biological Supply Company.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11. Kirchen R.V. and W. R. West (1976) The Japanese Medaka. Its care and Development. Carolina Biological Supply Company, North Carolina. p. 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Dunnett C.W., (1955) A Multiple Comparisons Procedure for Comparing Several Treatments with Control. J. Amer. Statist. Assoc., 50, p. 1096-1121.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Dunnett C.W. (1964) New Tables for Multiple Comparisons with a Control. Biometrics, 20, p. 482-491.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Mc Clave J.T., Sullivan J.H. and Pearson J.G., (1980) Statistical Analysis of Fish Chronic Toxicity Test Data. Proceedings of 4th Aquatic Toxicology Symposium, ASTM, Philadelphia.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Van Leeuwen C.J., Adema D.M.M. and Hermes J., (1990) Quantitative Structure-Activity Relationships for Fish Early Life Stage Toxicity. Aquatic Toxicology, 16, p. 321-334.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Environment Canada., (1992) Toxicity Tests Using Early Life Stages of Salmonid Fish (Rainbow Trout, Coho Salmon or Atlantic Salmon). Biological Test Method Series. Report EPS 1/RM/28, December 1992, p. 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Dave G. and Xiu R., (1991) Toxicity of Mercury, Nickel, Lead and Cobalt to Embryos and Larvae of Zebrafish, </w:t>
      </w:r>
      <w:r w:rsidRPr="00984859">
        <w:rPr>
          <w:rFonts w:ascii="Arial" w:eastAsia="Times New Roman" w:hAnsi="Arial" w:cs="Arial"/>
          <w:i/>
          <w:iCs/>
          <w:lang w:eastAsia="sr-Latn-RS"/>
        </w:rPr>
        <w:t>Brachydanio rerio</w:t>
      </w:r>
      <w:r w:rsidRPr="00984859">
        <w:rPr>
          <w:rFonts w:ascii="Arial" w:eastAsia="Times New Roman" w:hAnsi="Arial" w:cs="Arial"/>
          <w:lang w:eastAsia="sr-Latn-RS"/>
        </w:rPr>
        <w:t xml:space="preserve">. Arch. of Environmental Contamination and Toxicology, 21, p. 126-134.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Meyer A., Bierman C.H. and Orti G., (1993) The phylogenetic position of the Zebrafish (Danio rerio), a model system in developmental biology - an invitation to the comperative methods. Proc. Royal Society of London, Series B, 252: 231-236.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Ghillebaert F., Chaillou C., Deschamps F. and Roubaud P., (1995) Toxic Effects, at Three pH Levels, of Two Reference Molecules on Common Carp Embryo. Ecotoxicology and Environmental Safety 32, p. 19-28.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US EPA, (1991) Guidelines for Culturing the Japanese Medaka, Oryzias latipes. EPA report EPA/600/3-91/064, Dec. 1991, EPA, Duluth.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US EPA, (1991) Guidelines for Conducting Early Life Stage Toxicity Tests with Japanese Medaka, (Oryzias latipes). EPA report EPA/600/3-91/063, Dec. 1991, EPA, Duluth.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De Graeve G.M., Cooney J.D., McIntyre D.O., Poccocic T.L., Reichenbach N.G., Dean J.H. and Marcus M.D., (1991) Validity in the performance of the seven-day Fathead minnow (Pimephales promelas) larval survival and growth test: an intra- and interlaboratory study. Environ. Tox. Chem. 10, p. 1189-1203.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Calow P., (1993) Handbook of Ecotoxicology, Blackwells, Oxford. Vol. 1, chapter 10: Methods for spawning, culturing and conducting toxicity tests with Early Life stages of Estuarine and Marine fish.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Balon E.K., (1985) Early life history of fishes: New developmental, ecological and evolutionary perspectives, Junk Publ., Dordrecht, p. 280.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 Blaxter J.H.S., (1988) Pattern and variety in development, In: W.S. Hoar and D.J. Randall Eds., Fish Physiology, vol. XIA, Academic press, p. 1-58.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1a: Preporučene vrste riba za metodu ispitivanja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132"/>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SLATKOVODNE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Oncorhynchus mykiss</w:t>
            </w:r>
            <w:r w:rsidRPr="00984859">
              <w:rPr>
                <w:rFonts w:ascii="Arial" w:eastAsia="Times New Roman" w:hAnsi="Arial" w:cs="Arial"/>
                <w:b/>
                <w:bCs/>
                <w:sz w:val="15"/>
                <w:szCs w:val="15"/>
                <w:vertAlign w:val="superscript"/>
                <w:lang w:eastAsia="sr-Latn-RS"/>
              </w:rPr>
              <w:t xml:space="preserve">9,16 </w:t>
            </w:r>
            <w:r w:rsidRPr="00984859">
              <w:rPr>
                <w:rFonts w:ascii="Arial" w:eastAsia="Times New Roman" w:hAnsi="Arial" w:cs="Arial"/>
                <w:lang w:eastAsia="sr-Latn-RS"/>
              </w:rPr>
              <w:t xml:space="preserve">(pastrmka)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Danio rerio</w:t>
            </w:r>
            <w:r w:rsidRPr="00984859">
              <w:rPr>
                <w:rFonts w:ascii="Arial" w:eastAsia="Times New Roman" w:hAnsi="Arial" w:cs="Arial"/>
                <w:b/>
                <w:bCs/>
                <w:sz w:val="15"/>
                <w:szCs w:val="15"/>
                <w:vertAlign w:val="superscript"/>
                <w:lang w:eastAsia="sr-Latn-RS"/>
              </w:rPr>
              <w:t xml:space="preserve">7,17,18 </w:t>
            </w:r>
            <w:r w:rsidRPr="00984859">
              <w:rPr>
                <w:rFonts w:ascii="Arial" w:eastAsia="Times New Roman" w:hAnsi="Arial" w:cs="Arial"/>
                <w:lang w:eastAsia="sr-Latn-RS"/>
              </w:rPr>
              <w:t xml:space="preserve">(zebrica)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Cyprinus caprio</w:t>
            </w:r>
            <w:r w:rsidRPr="00984859">
              <w:rPr>
                <w:rFonts w:ascii="Arial" w:eastAsia="Times New Roman" w:hAnsi="Arial" w:cs="Arial"/>
                <w:b/>
                <w:bCs/>
                <w:sz w:val="15"/>
                <w:szCs w:val="15"/>
                <w:vertAlign w:val="superscript"/>
                <w:lang w:eastAsia="sr-Latn-RS"/>
              </w:rPr>
              <w:t xml:space="preserve">8,19 </w:t>
            </w:r>
            <w:r w:rsidRPr="00984859">
              <w:rPr>
                <w:rFonts w:ascii="Arial" w:eastAsia="Times New Roman" w:hAnsi="Arial" w:cs="Arial"/>
                <w:lang w:eastAsia="sr-Latn-RS"/>
              </w:rPr>
              <w:t xml:space="preserve">(šaran)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Oryzias latipes</w:t>
            </w:r>
            <w:r w:rsidRPr="00984859">
              <w:rPr>
                <w:rFonts w:ascii="Arial" w:eastAsia="Times New Roman" w:hAnsi="Arial" w:cs="Arial"/>
                <w:b/>
                <w:bCs/>
                <w:sz w:val="15"/>
                <w:szCs w:val="15"/>
                <w:vertAlign w:val="superscript"/>
                <w:lang w:eastAsia="sr-Latn-RS"/>
              </w:rPr>
              <w:t>20,21</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Pimephales promelas</w:t>
            </w:r>
            <w:r w:rsidRPr="00984859">
              <w:rPr>
                <w:rFonts w:ascii="Arial" w:eastAsia="Times New Roman" w:hAnsi="Arial" w:cs="Arial"/>
                <w:b/>
                <w:bCs/>
                <w:sz w:val="15"/>
                <w:szCs w:val="15"/>
                <w:vertAlign w:val="superscript"/>
                <w:lang w:eastAsia="sr-Latn-RS"/>
              </w:rPr>
              <w:t>8,22</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1b: Ostale dobro proučene vrste koje se mogu koristiti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014"/>
        <w:gridCol w:w="4118"/>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SLATKOVODNE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MORSKE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Carassius auratus</w:t>
            </w:r>
            <w:r w:rsidRPr="00984859">
              <w:rPr>
                <w:rFonts w:ascii="Arial" w:eastAsia="Times New Roman" w:hAnsi="Arial" w:cs="Arial"/>
                <w:lang w:eastAsia="sr-Latn-RS"/>
              </w:rPr>
              <w:t xml:space="preserve"> (srebrni karaš/ babuška)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Menidia peninsulae</w:t>
            </w:r>
            <w:r w:rsidRPr="00984859">
              <w:rPr>
                <w:rFonts w:ascii="Arial" w:eastAsia="Times New Roman" w:hAnsi="Arial" w:cs="Arial"/>
                <w:b/>
                <w:bCs/>
                <w:sz w:val="15"/>
                <w:szCs w:val="15"/>
                <w:vertAlign w:val="superscript"/>
                <w:lang w:eastAsia="sr-Latn-RS"/>
              </w:rPr>
              <w:t>23,24,25</w:t>
            </w:r>
            <w:r w:rsidRPr="00984859">
              <w:rPr>
                <w:rFonts w:ascii="Arial" w:eastAsia="Times New Roman" w:hAnsi="Arial" w:cs="Arial"/>
                <w:lang w:eastAsia="sr-Latn-RS"/>
              </w:rPr>
              <w:br/>
            </w:r>
            <w:r w:rsidRPr="00984859">
              <w:rPr>
                <w:rFonts w:ascii="Arial" w:eastAsia="Times New Roman" w:hAnsi="Arial" w:cs="Arial"/>
                <w:i/>
                <w:iCs/>
                <w:lang w:eastAsia="sr-Latn-RS"/>
              </w:rPr>
              <w:t>Clupea harengus</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(haringa)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Lepomis macrochirus</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(sunčanica)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Gadus morhua</w:t>
            </w:r>
            <w:r w:rsidRPr="00984859">
              <w:rPr>
                <w:rFonts w:ascii="Arial" w:eastAsia="Times New Roman" w:hAnsi="Arial" w:cs="Arial"/>
                <w:b/>
                <w:bCs/>
                <w:sz w:val="15"/>
                <w:szCs w:val="15"/>
                <w:vertAlign w:val="superscript"/>
                <w:lang w:eastAsia="sr-Latn-RS"/>
              </w:rPr>
              <w:t xml:space="preserve">24,25 </w:t>
            </w:r>
            <w:r w:rsidRPr="00984859">
              <w:rPr>
                <w:rFonts w:ascii="Arial" w:eastAsia="Times New Roman" w:hAnsi="Arial" w:cs="Arial"/>
                <w:lang w:eastAsia="sr-Latn-RS"/>
              </w:rPr>
              <w:t xml:space="preserve">(bakalar)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i/>
                <w:iCs/>
                <w:lang w:eastAsia="sr-Latn-RS"/>
              </w:rPr>
              <w:t>Cyprinodon variegatus</w:t>
            </w:r>
            <w:r w:rsidRPr="00984859">
              <w:rPr>
                <w:rFonts w:ascii="Arial" w:eastAsia="Times New Roman" w:hAnsi="Arial" w:cs="Arial"/>
                <w:b/>
                <w:bCs/>
                <w:sz w:val="15"/>
                <w:szCs w:val="15"/>
                <w:vertAlign w:val="superscript"/>
                <w:lang w:eastAsia="sr-Latn-RS"/>
              </w:rPr>
              <w:t xml:space="preserve">23, 24, 25 </w:t>
            </w:r>
            <w:r w:rsidRPr="00984859">
              <w:rPr>
                <w:rFonts w:ascii="Arial" w:eastAsia="Times New Roman" w:hAnsi="Arial" w:cs="Arial"/>
                <w:lang w:eastAsia="sr-Latn-RS"/>
              </w:rPr>
              <w:t xml:space="preserve">(bjelica)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UPUTSTVO ZA ISPITIVANJE TOKSIČNOSTI NA EMBRIONIMA I LARVAMA </w:t>
      </w:r>
      <w:r w:rsidRPr="00984859">
        <w:rPr>
          <w:rFonts w:ascii="Arial" w:eastAsia="Times New Roman" w:hAnsi="Arial" w:cs="Arial"/>
          <w:b/>
          <w:bCs/>
          <w:i/>
          <w:iCs/>
          <w:lang w:eastAsia="sr-Latn-RS"/>
        </w:rPr>
        <w:t>Brachydanio rerio</w:t>
      </w:r>
      <w:r w:rsidRPr="00984859">
        <w:rPr>
          <w:rFonts w:ascii="Arial" w:eastAsia="Times New Roman" w:hAnsi="Arial" w:cs="Arial"/>
          <w:b/>
          <w:bCs/>
          <w:lang w:eastAsia="sr-Latn-RS"/>
        </w:rPr>
        <w:t xml:space="preserve"> (zebrica)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Zebrica potiče sa indijske obale (Koromandel), gde naseljava brzake. Reč je o običnoj akvarijumskoj ribi iz porodice šarana, a podaci o postupcima držanja i uzgoja mogu se naći u standardnim priručnicima o tropskim ribama. Biologija ove ribe i njena upotreba u istraživanjima iz domena ribarstva, data je u literaturi1.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Primerci ove ribe retko su duži od 45 mm. Telo im je cilindričnog oblika, sa 7 do 9 tamnoplavih uzdužnih srebrnkastih pruga koje se protežu do repnog i analnog peraja. Dorzalna strana im je maslinastozelene boje. Mužjaci su vitkiji od ženki. Ženke su srebrnkastije, a abdomen im je rastegnut, naročito pre mresta.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Odrasle ribe podnose velike fluktuacije temperature, pH i tvrdoće vode. Međutim, da bi se dobila zdrava riba koja proizvodi kvalitetna jaja, potrebno je obezbediti optimalne uslove.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mresta, mužjak prati ženku i nasrće na nju, a jaja budu oplođena čim se izbace. Jaja, koja su prozirna i nelepljiva, padaju na dno, na kom ih roditelji mogu pojesti. Na mrest utiče svetlost. Ukoliko je jutarnje svetlo adekvatno, riba se mresti u ranim jutarnjim satima, u zoru.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Ženka u razmaku od po nedelju dana može proizvesti serije od nekoliko stotina jaja.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USLOVI KOJE TREBA OBEZBEDITI RODITELJSKOJ POPULACIJI, REPRODUKCIJA I RANI RAZVOJNI STADIJUMI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Izabere se odgovarajući broj zdravih jedinki i drže se u odgovarajućoj vodi (videti Deo peti ove metode) najmanje 2 nedelje pre mresta. Grupi riba dozvoliti da se razmnožava najmanje jednom pre nego što će se jaja koristiti u ispitivanju. Gustina populacije u toku ovog perioda ne prelazi 1 gram ribe po litri. Redovna izmena vode ili upotreba sistema za prečišćavanje vode obezbeđuje veću gustinu. Temperaturu u akvarijumima održavati na (25 ± 2)° C. Ribama davati raznovrsnu ishranu koja se može sastojati od pogodne komercijalne suve hrane, živih novoizleglih larvi artemija, hironomida, dafnija, enhitrada.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Postupci koji su u praksi obezbeđivali serije zdravih, oplođenih jaja, koja su korišćena za ispitivanja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komoru za ispitivanje sa 50 L vode za razblaživanje smešta se osam ženki i 16 mužjaka, zaštiti od direktnog svetla i ostavi da uz što manje ometanja tamo borave najmanje 48 sati. Dan pre početka ispitivanja na dno komore se u poslepodnevnim satima postavlja posuda za mrest. Posuda se sastoji od okvira (od pleksiglasa ili nekog drugog prikladnog materijala), visine 5 cm do 7 cm, na čiji je vrh pričvršćena gruba mrežica promera okaca 2 mm do 5mm, a na dno se pričvrsti fina mrežica okaca od 10 μm do 30 μm. Na grubu mrežicu smeštenu na okvir pričvrsti se "drveće za mrest" napravljeno od raspletenog najlonskog užeta. Nakon što se riba 12 sati ostavi u mraku, upali se prigušeno svetlo koje stimuliše mrest. Dva do četiri sata nakon mresta, posuda za mrest se skloni i pokupe se jaja. Posuda za mrest sprečava ribe da pojedu jaja, a istovremeno omogućava da se ona lako sakupe. Pre mresta iz kojeg će se jaja koristiti u ispitivanjima, roditeljska grupa riba ima najmanje jedan mrest iz koga se jaja ne koriste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Najmanje dve nedelje pre planiranog mresta, 5 do 10 mužjaka i ženki drže se pojedinačno. Nakon 5 do 10 dana, trbusi ženki se rastežu, a njihove genitalne papile postaju vidljive. Mužjaci nemaju papile. Mrest se obavlja u za to namenjenim komorama, opremljenim lažno-mrežastim dnom (kako je opisano). Komora se napuni vodom za razblaživanje, tako da visina vodenog stuba iznad mrežice iznosi 5 cm do 10 cm. Dan pre planiranog mresta, u komoru se smešta jedna ženka i dva mužjaka. Temperatura vode se postupno povećava do vrednosti koja je za jedan stepen viša od temperature na koju su se ribe aklimatizovale. Komora se ostavi u mraku, bez uznemiravanja. Ujutro se upali prigušeno svetlo, što stimuliše mrest. Nakon 2 do 4 sata ribe se uklone, a jaja pokupe. Ako postoji potreba za serijama jaja većim od onih koje se mogu dobiti od jedne ženke, istovremeno se može postaviti veći broj takvih komora. Beleženjem uspešnosti reprodukcije pojedinih ženki pre početka ispitivanja (veličine i kvaliteta serije njihovih jaja), za priplod se mogu odabrati ženke čija je reprodukcija najuspešnija.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Jaja se u posude za ispitivanje prenose pomoću staklenih pipeta (unutrašnjeg promera ne manjeg od 4 mm), koje imaju gumenu pumpicu. Količina vode u kojoj se jaja prenose je što je moguće manja. Jaja su teža od vode pa lako iscure iz cevčice. Potrebno je preduzeti mere kojima se sprečava da jaja (i larve) dođu u dodir sa vazduhom. Uzorci serija se pregledaju mikroskopski, kako bi se uverilo da u početnim razvojnim stadijumima nema nepravilnosti. Dezinfekcija jaja nije dozvoljena.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Stopa smrtnosti jaja najviša je u prva 24 sata nakon oplodnje. Tokom ovog razdoblja često se uočava stopa smrtnosti od 5% do 40%. Jaja degenerišu zbog neuspešne oplodnje ili razvojnih mana. Čini se da kvalitet serije jaja zavisi od ženke, jer dok neke ženke dosledno proizvode kvalitetna jaja, kod drugih se to nikada neće dogoditi. Brzina razvoja i izvaljivanja larvi varira od serije do serije. Stopa preživljavanja uspešno oplođenih jaja i larvi je visoka, obično iznad 90%. Pri temperaturi od 25° C larve se izvaljuju iz jaja 3 do 5 dana nakon oplodnje, a žumančana kesa se apsorbuje otprilike 13 dana nakon oplodnje.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Dobro je istražen embrionalni razvoj</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Zbog prozirnosti jaja i larvi koje su se iz njih izvalile, prati se razvoj jedinki i uočavaju patološki razvojni oblici. Otprilike četiri sata nakon mresta, neoplođena jaja mogu se razlikovati od oplođenih</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Da bi se izvršilo ovaj pregled, jaja i larve se stavljaju u posude male zapremine i pregledaju pod mikroskopom.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Uslovi pod kojim se obavlja ispitivanje ranih razvojnih oblika nabrojani su u Delu trećem ove metode. Optimalna tvrdoća vode koja se koristi za razblaživanje je 250 mg CaCO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/l, a pH vrednost 7,8.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IZRAČUNAVANJE I STATISTIKA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Predlaže se dvostepeni pristup. Prvo se statistički analiziraju podaci o smrtnosti, patološkom razvoju i vremenu potrebnom da se larve izvale. Zatim se, kod riba izloženih koncentracijama ispitivane supstance pri kojima nisu uočeni nikakvi neželjeni efekti ni na jedan od ovih pokazatelja, statistički vrednuje dužina tela. Ovo je preporučljiv pristup jer toksična supstanca može selektivno letalno da deluje na manje jedinke, odloži vreme izvaljivanja i izazove makroskopski vidljive patološke oblike, dovodeći do odstupanja pri merenju dužine tela. Pri svakoj koncentraciji meri se u grubo isti broj jedinki, čime se obezbeđuje valjanost statističke obrade rezultata ispitivanja.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ODREĐIVANJE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EC</w:t>
      </w:r>
      <w:r w:rsidRPr="00984859">
        <w:rPr>
          <w:rFonts w:ascii="Arial" w:eastAsia="Times New Roman" w:hAnsi="Arial" w:cs="Arial"/>
          <w:sz w:val="15"/>
          <w:szCs w:val="15"/>
          <w:vertAlign w:val="subscript"/>
          <w:lang w:eastAsia="sr-Latn-RS"/>
        </w:rPr>
        <w:t>50</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preživelih embriona i larvi računa se i koriguje u odnosu na smrtnost zabeleženu u kontrolnim grupama, u skladu sa Abotovom jednačinom</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35"/>
        <w:gridCol w:w="210"/>
        <w:gridCol w:w="626"/>
        <w:gridCol w:w="570"/>
        <w:gridCol w:w="6771"/>
      </w:tblGrid>
      <w:tr w:rsidR="00984859" w:rsidRPr="00984859" w:rsidTr="00984859">
        <w:trPr>
          <w:tblCellSpacing w:w="0" w:type="dxa"/>
        </w:trPr>
        <w:tc>
          <w:tcPr>
            <w:tcW w:w="93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 = 100 - </w:t>
            </w:r>
          </w:p>
        </w:tc>
        <w:tc>
          <w:tcPr>
            <w:tcW w:w="16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104775" cy="657225"/>
                  <wp:effectExtent l="0" t="0" r="9525" b="9525"/>
                  <wp:docPr id="154" name="Picture 154" descr="C:\Program Files (x86)\ParagrafLex\browser\Files\Old\t\t2013_12\t12_0570_s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Program Files (x86)\ParagrafLex\browser\Files\Old\t\t2013_12\t12_0570_s08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657225"/>
                          </a:xfrm>
                          <a:prstGeom prst="rect">
                            <a:avLst/>
                          </a:prstGeom>
                          <a:noFill/>
                          <a:ln>
                            <a:noFill/>
                          </a:ln>
                        </pic:spPr>
                      </pic:pic>
                    </a:graphicData>
                  </a:graphic>
                </wp:inline>
              </w:drawing>
            </w:r>
          </w:p>
        </w:tc>
        <w:tc>
          <w:tcPr>
            <w:tcW w:w="97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7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c>
          <w:tcPr>
            <w:tcW w:w="1248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142875" cy="638175"/>
                  <wp:effectExtent l="0" t="0" r="9525" b="9525"/>
                  <wp:docPr id="153" name="Picture 153" descr="C:\Program Files (x86)\ParagrafLex\browser\Files\Old\t\t2013_12\t12_0570_s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Program Files (x86)\ParagrafLex\browser\Files\Old\t\t2013_12\t12_0570_s089.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638175"/>
                          </a:xfrm>
                          <a:prstGeom prst="rect">
                            <a:avLst/>
                          </a:prstGeom>
                          <a:noFill/>
                          <a:ln>
                            <a:noFill/>
                          </a:ln>
                        </pic:spPr>
                      </pic:pic>
                    </a:graphicData>
                  </a:graphic>
                </wp:inline>
              </w:drawing>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97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 - P'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97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 jeste korigovani procenat preživljavanja;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 jeste procenat preživljavanja uočen pri test koncentraciji;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 jeste procenat preživljavanja u kontrolnim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postoji mogućnost, LC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se određuje prikladnom metodom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je u statističku analizu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potrebno uključiti i morfološke abnormalnosti, smernice i uputstvo dati su u literaturi</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ODREĐIVANJE LOEC I NOEC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Cilj ispitivanja toksičnosti na embrionima i larvama je poređenje delovanja koncentracija ispitivane supstance većih od nule sa kontrolnim grupama, odnosno cilj metode je odrediti LOEC. Zbog toga primeniti postupke višestrukog poređenja</w:t>
      </w:r>
      <w:r w:rsidRPr="00984859">
        <w:rPr>
          <w:rFonts w:ascii="Arial" w:eastAsia="Times New Roman" w:hAnsi="Arial" w:cs="Arial"/>
          <w:b/>
          <w:bCs/>
          <w:sz w:val="15"/>
          <w:szCs w:val="15"/>
          <w:vertAlign w:val="superscript"/>
          <w:lang w:eastAsia="sr-Latn-RS"/>
        </w:rPr>
        <w:t>6,7,8,9,10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Laale H.W., (1977) The Biology and Use of the Zebrafish (</w:t>
      </w:r>
      <w:r w:rsidRPr="00984859">
        <w:rPr>
          <w:rFonts w:ascii="Arial" w:eastAsia="Times New Roman" w:hAnsi="Arial" w:cs="Arial"/>
          <w:i/>
          <w:iCs/>
          <w:lang w:eastAsia="sr-Latn-RS"/>
        </w:rPr>
        <w:t>Brachydanio rerio</w:t>
      </w:r>
      <w:r w:rsidRPr="00984859">
        <w:rPr>
          <w:rFonts w:ascii="Arial" w:eastAsia="Times New Roman" w:hAnsi="Arial" w:cs="Arial"/>
          <w:lang w:eastAsia="sr-Latn-RS"/>
        </w:rPr>
        <w:t xml:space="preserve">) in Fisheries Research. A Literature Review.J. Fish Biol. 10, p. 121-173.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Hisaoka K.K. and Battle H.I., (1958). The Normal Development Stages of the Zebrafish Brachydanio rerio(Hamilton-Buchanan) J. Morph., 102, p. 311.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Nagel R., (1986). Untersuchungen zur Eiproduktion beim Zebrabärbling (Brachydanio rerioHamilton-Buchanan).Journal of Applied Ichthyology, 2, p. 173-181.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Finney D.J., (1971). Probit Analysis, 3rd ed., Cambridge University Press, Great Britain, p. 1-333.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5. Stephan C.E., (1982). Increasing the Usefulness of Acute Toxicity Tests. Aquatic Toxicology and Hazard Assessment:Fifth Conference, ASTM STP 766, J.G. Pearson, R.B. Foster and W.E. Bishop, Eds., American Society for Testing andMaterials, p. 69-81.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Dunnett C.W. (1955). A Multiple Comparisons Procedure for Comparing Several Treatments with a Control. J. Amer.Statist. Assoc., 50, p. 1096-1121.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Dunnett C.W., (1964) New Tables for Multiple Comparisons with a Control. Biometrics, 20, p. 482-491.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Williams D.A., (1971). A Test for Differences Between Treatment Means when Several Dose Levels are Compared witha Zero Dose Control. Biometrics, 27, p. 103-117.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Williams D.A., (1972). The Comparison of Several Dose Levels with a Zero Dose Control. Biometrics 28, p. 519-531.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Sokal R.R. and Rohlf F.J., (1981). Biometry, the Principles and Practice of Statistics in Biological Research, W.H.Freeman and Co., San Francisco.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USLOVI ISPITIVANJA, TRAJANJE ISPITIVANJA I KRITERIJUMI OCENE PREŽIVLJAVANJA ZA VRSTE KOJE SU PREPORUČENE ZA OVU METODU ISPITIVANJA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95"/>
        <w:gridCol w:w="1274"/>
        <w:gridCol w:w="873"/>
        <w:gridCol w:w="1123"/>
        <w:gridCol w:w="855"/>
        <w:gridCol w:w="587"/>
        <w:gridCol w:w="1025"/>
        <w:gridCol w:w="1150"/>
        <w:gridCol w:w="1150"/>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VRSTE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TEMPERATURA (°C)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SALINITET (0/00)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FOTOPERIOD (SATI)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DUŽINA TRAJANJA STADIJUMA (DANI)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TIPIČNA DUŽINA ISPITIVANJA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PREŽIVLJAVANJE U KONTROLNIM GRUPAMA, (MINIMUM %)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&amp;NBSP;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EMBRIONI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LARVE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USPEŠNO IZVALJIVANJE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POSLE IZVALJIVANJA </w:t>
            </w:r>
          </w:p>
        </w:tc>
      </w:tr>
      <w:tr w:rsidR="00984859" w:rsidRPr="00984859" w:rsidTr="00984859">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Slatkovodne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Brachydanio rerio</w:t>
            </w:r>
            <w:r w:rsidRPr="00984859">
              <w:rPr>
                <w:rFonts w:ascii="Arial" w:eastAsia="Times New Roman" w:hAnsi="Arial" w:cs="Arial"/>
                <w:lang w:eastAsia="sr-Latn-RS"/>
              </w:rPr>
              <w:t xml:space="preserve"> (zebrica)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oplodnji (rana faza gastrule) do 5 dana posle izvaljivanja (8 do 10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Oncorhynchus mykiss (pastrmka)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 ± 1</w:t>
            </w:r>
            <w:r w:rsidRPr="00984859">
              <w:rPr>
                <w:rFonts w:ascii="Arial" w:eastAsia="Times New Roman" w:hAnsi="Arial" w:cs="Arial"/>
                <w:b/>
                <w:bCs/>
                <w:sz w:val="15"/>
                <w:szCs w:val="15"/>
                <w:vertAlign w:val="superscript"/>
                <w:lang w:eastAsia="sr-Latn-RS"/>
              </w:rPr>
              <w:t>XIV</w:t>
            </w:r>
            <w:r w:rsidRPr="00984859">
              <w:rPr>
                <w:rFonts w:ascii="Arial" w:eastAsia="Times New Roman" w:hAnsi="Arial" w:cs="Arial"/>
                <w:lang w:eastAsia="sr-Latn-RS"/>
              </w:rPr>
              <w:br/>
              <w:t>12 ± 1</w:t>
            </w:r>
            <w:r w:rsidRPr="00984859">
              <w:rPr>
                <w:rFonts w:ascii="Arial" w:eastAsia="Times New Roman" w:hAnsi="Arial" w:cs="Arial"/>
                <w:b/>
                <w:bCs/>
                <w:sz w:val="15"/>
                <w:szCs w:val="15"/>
                <w:vertAlign w:val="superscript"/>
                <w:lang w:eastAsia="sr-Latn-RS"/>
              </w:rPr>
              <w:t>XV</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w:t>
            </w:r>
            <w:r w:rsidRPr="00984859">
              <w:rPr>
                <w:rFonts w:ascii="Arial" w:eastAsia="Times New Roman" w:hAnsi="Arial" w:cs="Arial"/>
                <w:b/>
                <w:bCs/>
                <w:sz w:val="15"/>
                <w:szCs w:val="15"/>
                <w:vertAlign w:val="superscript"/>
                <w:lang w:eastAsia="sr-Latn-RS"/>
              </w:rPr>
              <w:t>XVI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30-35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oplodnji (rana faza gastrule) do 20 dana </w:t>
            </w:r>
            <w:r w:rsidRPr="00984859">
              <w:rPr>
                <w:rFonts w:ascii="Arial" w:eastAsia="Times New Roman" w:hAnsi="Arial" w:cs="Arial"/>
                <w:lang w:eastAsia="sr-Latn-RS"/>
              </w:rPr>
              <w:lastRenderedPageBreak/>
              <w:t xml:space="preserve">posle izvaljivanja (50 do 55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66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lastRenderedPageBreak/>
              <w:t>Cyprinus carpio</w:t>
            </w:r>
            <w:r w:rsidRPr="00984859">
              <w:rPr>
                <w:rFonts w:ascii="Arial" w:eastAsia="Times New Roman" w:hAnsi="Arial" w:cs="Arial"/>
                <w:lang w:eastAsia="sr-Latn-RS"/>
              </w:rPr>
              <w:br/>
              <w:t xml:space="preserve">(šaran)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21 - 25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oplodnji (rana faza gastrule) do 4 dana posle izvaljivanja (8 do 9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Oryzias latipes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24 ± 1</w:t>
            </w:r>
            <w:r w:rsidRPr="00984859">
              <w:rPr>
                <w:rFonts w:ascii="Arial" w:eastAsia="Times New Roman" w:hAnsi="Arial" w:cs="Arial"/>
                <w:b/>
                <w:bCs/>
                <w:sz w:val="15"/>
                <w:szCs w:val="15"/>
                <w:vertAlign w:val="superscript"/>
                <w:lang w:eastAsia="sr-Latn-RS"/>
              </w:rPr>
              <w:t>XV</w:t>
            </w:r>
            <w:r w:rsidRPr="00984859">
              <w:rPr>
                <w:rFonts w:ascii="Arial" w:eastAsia="Times New Roman" w:hAnsi="Arial" w:cs="Arial"/>
                <w:lang w:eastAsia="sr-Latn-RS"/>
              </w:rPr>
              <w:br/>
              <w:t>23 ± 1</w:t>
            </w:r>
            <w:r w:rsidRPr="00984859">
              <w:rPr>
                <w:rFonts w:ascii="Arial" w:eastAsia="Times New Roman" w:hAnsi="Arial" w:cs="Arial"/>
                <w:b/>
                <w:bCs/>
                <w:sz w:val="15"/>
                <w:szCs w:val="15"/>
                <w:vertAlign w:val="superscript"/>
                <w:lang w:eastAsia="sr-Latn-RS"/>
              </w:rPr>
              <w:t>XVI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oplodnji (rana faza gastrule) do 5 dana posle izvaljivanja (13 do 16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Pimephales promelas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 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oplodnji (rana faza gastrule) do 4 dana posle izvaljivanja (8 do 9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70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četvrti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USLOVI POD KOJIMA SE VRŠI ISPITIVANJE, DUŽINA ISPITIVANJA I KRITERIJUMI OCENE PREŽIVLJAVANJA ZA DRUGE DOBRO PROUČENE VRSTE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53"/>
        <w:gridCol w:w="1298"/>
        <w:gridCol w:w="888"/>
        <w:gridCol w:w="1143"/>
        <w:gridCol w:w="870"/>
        <w:gridCol w:w="597"/>
        <w:gridCol w:w="1043"/>
        <w:gridCol w:w="1170"/>
        <w:gridCol w:w="1170"/>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VRSTE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TEMPERATURA (°C)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SALINITET (0/00)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FOTOPERIOD (SATI)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DUŽINA TRAJANJA STADIJUMA (DANI)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TIPIČNA DUŽINA ISPITIVANJA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PREŽIVLJAVANJE U KONTROLNIM GRUPAMA (MINIMUM %)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EMBRIONI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LARVE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USPEŠNO IZVALJIVANJE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POSLE IZVALJIVANJA </w:t>
            </w:r>
          </w:p>
        </w:tc>
      </w:tr>
      <w:tr w:rsidR="00984859" w:rsidRPr="00984859" w:rsidTr="00984859">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slatkovodne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Carassius auratu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 ±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oplodnji (rana faza gastrule) do 4 dana posle izvaljivanja (7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Leopomis macrochirus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 ±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oplodnji (rana faza gastrule) do 4 dana posle izvaljivanja (7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 </w:t>
            </w:r>
          </w:p>
        </w:tc>
      </w:tr>
      <w:tr w:rsidR="00984859" w:rsidRPr="00984859" w:rsidTr="00984859">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morske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Menidia peninsulae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15-22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oplodnji (rana faza gastrule) do 5 dana posle izvaljivanja (6 do 7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Clupea harengus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oplodnji (rana faza gastrule) do 3 dana posle izvaljivanja (23 do 27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 xml:space="preserve">Gadus morhua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oplodnji (rana faza gastrule) do 3 dana posle izvaljivanja (18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i/>
                <w:iCs/>
                <w:lang w:eastAsia="sr-Latn-RS"/>
              </w:rPr>
            </w:pPr>
            <w:r w:rsidRPr="00984859">
              <w:rPr>
                <w:rFonts w:ascii="Arial" w:eastAsia="Times New Roman" w:hAnsi="Arial" w:cs="Arial"/>
                <w:i/>
                <w:iCs/>
                <w:lang w:eastAsia="sr-Latn-RS"/>
              </w:rPr>
              <w:t>Cyprinod</w:t>
            </w:r>
            <w:r w:rsidRPr="00984859">
              <w:rPr>
                <w:rFonts w:ascii="Arial" w:eastAsia="Times New Roman" w:hAnsi="Arial" w:cs="Arial"/>
                <w:i/>
                <w:iCs/>
                <w:lang w:eastAsia="sr-Latn-RS"/>
              </w:rPr>
              <w:lastRenderedPageBreak/>
              <w:t xml:space="preserve">on variegatus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25 ±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odmah po </w:t>
            </w:r>
            <w:r w:rsidRPr="00984859">
              <w:rPr>
                <w:rFonts w:ascii="Arial" w:eastAsia="Times New Roman" w:hAnsi="Arial" w:cs="Arial"/>
                <w:lang w:eastAsia="sr-Latn-RS"/>
              </w:rPr>
              <w:lastRenderedPageBreak/>
              <w:t xml:space="preserve">oplodnji (rana faza gastrule) do 4/7 dana posle izvaljivanja (28 dana)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&gt; 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80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XIV </w:t>
      </w:r>
      <w:r w:rsidRPr="00984859">
        <w:rPr>
          <w:rFonts w:ascii="Arial" w:eastAsia="Times New Roman" w:hAnsi="Arial" w:cs="Arial"/>
          <w:lang w:eastAsia="sr-Latn-RS"/>
        </w:rPr>
        <w:t>Za embrione</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XV</w:t>
      </w:r>
      <w:r w:rsidRPr="00984859">
        <w:rPr>
          <w:rFonts w:ascii="Arial" w:eastAsia="Times New Roman" w:hAnsi="Arial" w:cs="Arial"/>
          <w:lang w:eastAsia="sr-Latn-RS"/>
        </w:rPr>
        <w:t xml:space="preserve"> Za larve</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XVI </w:t>
      </w:r>
      <w:r w:rsidRPr="00984859">
        <w:rPr>
          <w:rFonts w:ascii="Arial" w:eastAsia="Times New Roman" w:hAnsi="Arial" w:cs="Arial"/>
          <w:lang w:eastAsia="sr-Latn-RS"/>
        </w:rPr>
        <w:t xml:space="preserve">Embrioni i larve do jedne nedelje nakon izvaljivanja drže se u mraku, osim kada se pregledaju. Od tada se primenjuje režim smanjenog osvetljenja.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peti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HEMIJSKA SVOJSTVA VODE PRIHVATLJIVE ZA RAZBLAŽIVANJE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592"/>
        <w:gridCol w:w="2540"/>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Čestice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20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organski ugljenik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2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Nejonizovani amonijak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1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Rezidualni hlor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10 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organofosforni pesticidi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50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organohlorni pesticidi i polihlorovani bifenili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50 ng/l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Ukupni organski hlor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25 ng/l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C.16. PČELE - ISPITIVANJE AKUTNE ORALNE TOKSIČNOSTI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213 (1998).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toksičnosti jeste laboratorijska metoda dizajnirana za procenu akutne oralne toksičnosti sredstava za zaštitu bilja i drugih hemikalija na odrasle pčele - radilice.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Postupak procene i vrednovanja toksičnih svojstava supstanci može zahtevati utvrđivanje akutne oralne toksičnosti kod pčela, npr. u slučajevima kada je verovatno da će pčele biti izložene datoj hemikaliji. Ispitivanje akutne oralne toksičnosti izvodi se da bi se utvrdila svojstvena toksičnost pesticida i drugih hemikalija na pčele. Rezultati ovog ispitivanja koriste se za utvrđivanje potrebe za daljim vrednovanjem. Metoda je posebno pogodna kod etapnih programa za procenu hazarda koji pesticidi predstavljaju za pčele, na osnovu hijerarhijskog redosleda, od laboratorijskih ispitivanja toksičnosti, do poluterenskih i terenskih ispitivanja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Pesticidi se mogu ispitivati kao aktivne supstance (u daljem tekstu: a.s) ili kao formulisani proizvodi.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Osetljivost pčela i preciznost postupka ispitivanja potvrditi primenom standardnih toksičnih supstanci.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Akutna oralna toksičnost jesu štetne posledice koje se javljaju najkasnije 96 sati nakon oralne primene jednokratne doze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Doza jeste količina konzumirane ispitivane supstance i izražava se kao masa (mg) ispitivane supstance po jedinki (mg/pčela). Prava doza za svaku pčelu ne može se izračunati s obzirom na to da se pčele hrane kolektivno, ali se može izračunati prosečna doza (u potpunosti konzumirana ispitivana supstanca po broju jedinki - pčela u jednom kavezu).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Oralna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(srednja letalna doza) jeste statistički izvedena jednokratna doza supstance koja može izazvati smrt 50% životinja kad se primenjuje oralno.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izražava se u (mg) ispitivane supstance po pčeli. Ako se ispituje dejstvo pesticida, ispitivana supstanca može biti aktivna supstanca ili formulisani proizvod koji sadrži jednu ili više aktivnih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Smrtnost jeste slučaj kada je jedinka potpuno nepomična i smatra se uginulom.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Odrasle pčele radilice (</w:t>
      </w:r>
      <w:r w:rsidRPr="00984859">
        <w:rPr>
          <w:rFonts w:ascii="Arial" w:eastAsia="Times New Roman" w:hAnsi="Arial" w:cs="Arial"/>
          <w:i/>
          <w:iCs/>
          <w:lang w:eastAsia="sr-Latn-RS"/>
        </w:rPr>
        <w:t>Apis melifera</w:t>
      </w:r>
      <w:r w:rsidRPr="00984859">
        <w:rPr>
          <w:rFonts w:ascii="Arial" w:eastAsia="Times New Roman" w:hAnsi="Arial" w:cs="Arial"/>
          <w:lang w:eastAsia="sr-Latn-RS"/>
        </w:rPr>
        <w:t>) izlažu se seriji doza ispitivane supstance, raspršene u rastvoru saharoze. Pčelama se nakon primene jednokratne doze daje ista hrana, ali bez ispitivane supstance. Smrtnost se beleži svakodnevno u toku najmanje 48 sati i poredi sa kontrolnim vrednostima. Ukoliko između 24 i 48 sata stopa smrtnosti raste, dok u kontrolnoj grupi i dalje ostaje na prihvatljivom nivou, odnosno &lt; 10%, primereno je produžiti trajanje ispitivanja do najviše 96 sati. Rezultati ispitivanja se analiziraju da bi se izračunala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nakon 24 i 48 sati, a u slučaju da je ispitivanje produženo i nakon 72 i 96 sati.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KRITERIJUMI PRIHVATLJIVOSTi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ispitivanje bilo prihvaćeno, ispunjavaju se uslovi: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prosečna smrtnost za ukupni broj kontrolnih grupa ne prelazi 10%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standarda toksičnosti se nalazi u određenom opsegu.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Sakupljanje pčela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mlade odrasle pčele radilice istog roda, odnosno pčele jednake starosti, stanja uhranjenosti itd. Pčele nabaviti iz adekvatno hranjenih, zdravih kolonija, bez zabeleženih bolesti, koliko je moguće, ustrojenih po hijerarhijskom principu matice, poznatog pedigrea i fiziološkog statusa. Mogu se sakupiti onog jutra kada se planira početak ispitivanja ili prethodno veče, pa ih do sutradan držati u eksperimentalnim uslovima. Prikladne su pčele sakupljene sa okvira na kojima nema jaja. Sakupljanje pčela u rano proleće ili kasnu jesen izbegavati, jer je njihova fiziologija u to vreme promenjena. Ako se ispitivanje izvodi u rano proleće ili kasnu jesen, pčele se mogu izleći u inkubatoru i othraniti nedelju dana "pčelinjim hlebom" (polenom sakupljenim iz saća) i rastvorom saharoze. Pčele tretirane hemijskim supstancama (antibiotici, proizvodi za uništavanje Varroa grinja) nije dozvoljeno koristiti za ispitivanje toksičnosti četiri nedelje nakon završetka poslednjeg tretmana.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1.5.2. Uslovi smeštaja i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kavezi koji se lako čiste i dobro provetravaju. Mogu biti od bilo kog prikladnog materijala, npr. nerđajućeg čelika, žičane mreže, plastike, a mogu se koristiti i drveni kavezi za jednokratnu upotrebu itd. Preporučuju se grupe od 10 pčela po kavezu. Veličina kaveza je primerena broju pčela, kako bi im se pružio odgovarajući prostor.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Pčele držati u tamnoj laboratoriji na temperaturi od 25° C ± 2° C. Relativnu vlažnost, koja uobičajeno iznosi oko 50% do 70%, beležiti u toku trajanja celog ispitivanja. Postupci rukovanja, uključujući tretman i beleženje zapažanja, obavljaju se na dnevnom svetlu. Kao hrana koristi se vodeni rastvor saharoze, krajnje koncentracije od 500 g/l (50% odnosa težine i zapremine, w/v). Nakon što su date doze, hranu davati neograničeno (</w:t>
      </w:r>
      <w:r w:rsidRPr="00984859">
        <w:rPr>
          <w:rFonts w:ascii="Arial" w:eastAsia="Times New Roman" w:hAnsi="Arial" w:cs="Arial"/>
          <w:i/>
          <w:iCs/>
          <w:lang w:eastAsia="sr-Latn-RS"/>
        </w:rPr>
        <w:t>ad libitum</w:t>
      </w:r>
      <w:r w:rsidRPr="00984859">
        <w:rPr>
          <w:rFonts w:ascii="Arial" w:eastAsia="Times New Roman" w:hAnsi="Arial" w:cs="Arial"/>
          <w:lang w:eastAsia="sr-Latn-RS"/>
        </w:rPr>
        <w:t xml:space="preserve">). Sistem hranjenja omogućava praćenje unosa hrane za svaki kavez (videti odeljak 1.6.3.1. ove metode). Koristi se i staklena cevčica (dužine oko 50 mm, širine 10 mm, sa otvorenim krajem koji se sužava do promera od oko 2 mm).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Priprema pčela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Pčele sakupljene slučajnim rasporedom smeštaju se u kaveze koji se nalaze u laboratoriji, takođe po slučajnom rasporedu. Pčele se mogu izgladneti do 2 sata pre početka ispitivanja. Preporučuje se da se pčele ne hrane pre tretmana da bi na početku ispitivanja svim jedinkama crevni sadržaj bio isti. Pčele na umoru pre početka ispitivanja odbaciti i zameniti ih zdravim.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ispitivana supstanca spada u jedinjenja koja se mogu mešati sa vodom, može se direktno raspršiti u 50%-ni rastvor saharoze. Ako su u pitanju komercijalni proizvod i supstance slabo rastvorljive u vodi, mogu se upotrebiti nosači kao što su organski rastvarači, emulgatori ili disperziona sredstva niske toksičnosti za pčele (npr. aceton, dimetilformamid, dimetilsulfoksid). Koncentracija nosača zavisi od rastvorljivosti ispitivane supstance i u svim grupama, u svim koncentracijama je ista. Smatra se da je odgovarajuća koncentracija nosača 1% i ne prekoračuje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Pripremiti adekvatne kontrolne rastvore koji sadrže nosač (rastvarač ili disperziono sredstvo). Koriste se dve odvojene kontrolne grupe sa vodenim rastvorom i sa rastvorom saharoze u koju je dodat nosač i to u koncentraciji primenjenoj u ispitivanim rastvorima.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Ispitivane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Broj doza i broj ponavljanja zadovoljava statističke zahteve u pogledu određivanja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 intervalima poverenja od 95%. Obično se ispitivanje radi sa 5 doza u geometrijskoj seriji, sa faktorom ne većim od 2,2 tako da bude obuhvaćen opseg potreban za određivanje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Faktor razblaženja i broj koncentracija za doziranje odrediti prema nagibu krive toksičnosti (doza prema smrtnosti), vodeći računa o zahtevima statističke metode odabrane za analizu rezultata. Preliminarna studija u cilju utvrđivanja opsega koncentracija omogućuje pravilan izbor ispitivanih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Najmanje tri grupe po 10 pčela u svakom kavezu izložiti svakoj ispitivanoj dozi. U svakom ispitivanju obezbediti najmanje tri kontrolne grupe sa po 10 pčela po kavezu. Uključiti i dodatne kontrolne grupe ako se koriste nosači (videti odeljak 1.5.4.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1.6.2. Standard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ispitivane serije uključiti i studija toksičnosti standarda. Da bi se obuhvatila očekivana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potrebno je odabrati najmanje tri doze standardna. Najmanje tri grupe po 10 pčela u svakom kavezu izložiti svakoj dozi standarda. Kao standard toksičnosti obično se koristi dimetoat, čija se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nakon 24 sata peroralne primene kreće u opsegu od 0,10 mg do 0,35 mg a.s./pčeli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Prihvatljivi su i drugi standardi toksičnosti, pod uslovom da se raspolaže dovoljnom količinom podataka o očekivanoj doznoj zavisnosti (npr. paration).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Izlaganje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Svakoj od ispitivanih grupa pčela obezbediti 100 ml do 200 ml 50%-nog vodenog rastvora saharoze koji sadrži određenu koncentraciju ispitivane supstance. Ako se ispituju slabo rastvorljiva, netoksična ili jedinjenja koja se u komercijalnom proizvodu nalaze u niskim koncentracijama, primeniti veću zapreminu, jer je potrebno da njihov udeo u rastvoru saharoze bude veći. Pratiti količinu tretirane hrane koju je konzumirala svaka od ispitivanih grupa. Kada ispitivane jedinke pojedu tretiranu hranu (obično u toku 3 do 4 sata), hranilicu ukloniti iz kaveza i zameniti je drugom koja sadrži samo rastvor saharoze. Rastvor saharoze pčelama se stavlja na raspolaganje </w:t>
      </w:r>
      <w:r w:rsidRPr="00984859">
        <w:rPr>
          <w:rFonts w:ascii="Arial" w:eastAsia="Times New Roman" w:hAnsi="Arial" w:cs="Arial"/>
          <w:i/>
          <w:iCs/>
          <w:lang w:eastAsia="sr-Latn-RS"/>
        </w:rPr>
        <w:t>ad libitum</w:t>
      </w:r>
      <w:r w:rsidRPr="00984859">
        <w:rPr>
          <w:rFonts w:ascii="Arial" w:eastAsia="Times New Roman" w:hAnsi="Arial" w:cs="Arial"/>
          <w:lang w:eastAsia="sr-Latn-RS"/>
        </w:rPr>
        <w:t xml:space="preserve">. Kod nekih jedinjenja u višim koncentracijama, pčele tretiranu hranu mogu odbijati, što dovodi do toga da pojedu malo hrane ili je ne pojedu uopšte. Nakon najviše 6 sati hranilicu sa ostacima tretirane hrane zameniti netretiranom rastvorom saharoze. Proceniti koliko je tretirane hrane konzumirano (npr. merenjem odnosa zapremine ili mase ostataka tretirane hrane).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Dužina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da, nakon što se ispitivani rastvor zameni netretiranim rastvorom saharoze, ispitivanje traje 48 sati. Ako se registruje rast smrtnosti nakon prva 24 sata za više od 10%, ispitivanje produžiti do najviše 96 sati, pod uslovom da smrtnost u kontrolnim grupama ne prelazi 10%.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 Zapažanja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Smrtnost se beleži 4 sata nakon početka ispitivanja, zatim nakon 24 sata i 48 sati (nakon primene doze). Ukoliko se ukaže potreba da se ispitivanje produži, dalje procene vršiti u 24-satnim intervalima, najduže do ukupno 96 sati, pod uslovom da smrtnost u kontrolnim grupama ne prelazi 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utvrditi količinu hrane koju je svaka grupa pčela konzumirala. Poređenje brzine konzumacije tretirane i netretirane hrane unutar određenog šestosatnog razdoblja može dati podatke o ukusu tretirane 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zabeležiti sve pojave neuobičajenog ponašanja tokom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Granična studija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nekim slučajevima (npr. kada se očekuje da je ispitivana supstanca netoksična) može da se postavi granična studija, upotrebom 100 mg a.s./pčeli, da bi se pokazalo da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prelazi ovu vrednost. Treba koristiti isti postupak, uključujući tri ispitivane grupe (replike) koje će se izložiti dozi, relevantne kontrolne grupe, procenu konzumirane količine tretirane hrane i upotrebu standarda toksičnosti. Ukoliko dođe do uginuća pčela, ispitivanje je neophodno izvesti u celosti, zabeleže se i subletalni efekti (videti odeljak 1.6.4.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2.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Podaci se prikazuju u tabelarnoj formi. Za svaku ispitivanu grupu, bilo da je u pitanju kontrolna ili grupa standardne toksičnosti, navodi se broj ispitivanih jedinki, smrtnost u svakom izabranom trenutku opažanja, kao broj pčela sa neželjenim promenama u ponašanju. Podaci o smrtnosti se analiziraju pogodnim statističkim metodama (npr. probit-analizom, lutajućom srednjom vrednošću, binomnom verovatnoćom)</w:t>
      </w:r>
      <w:r w:rsidRPr="00984859">
        <w:rPr>
          <w:rFonts w:ascii="Arial" w:eastAsia="Times New Roman" w:hAnsi="Arial" w:cs="Arial"/>
          <w:b/>
          <w:bCs/>
          <w:sz w:val="15"/>
          <w:szCs w:val="15"/>
          <w:vertAlign w:val="superscript"/>
          <w:lang w:eastAsia="sr-Latn-RS"/>
        </w:rPr>
        <w:t>3,4</w:t>
      </w:r>
      <w:r w:rsidRPr="00984859">
        <w:rPr>
          <w:rFonts w:ascii="Arial" w:eastAsia="Times New Roman" w:hAnsi="Arial" w:cs="Arial"/>
          <w:lang w:eastAsia="sr-Latn-RS"/>
        </w:rPr>
        <w:t>. Potrebno je grafički prikazati krive dozne zavisnosti za svaki preporučeni sat posmatranja, izračunati nagib krive i srednju letalnu dozu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sa 95% intervalom poverenja. Ispravke vezane za smrtnost u kontrolnoj grupi se mogu uraditi pomoću Abotove korekcije</w:t>
      </w:r>
      <w:r w:rsidRPr="00984859">
        <w:rPr>
          <w:rFonts w:ascii="Arial" w:eastAsia="Times New Roman" w:hAnsi="Arial" w:cs="Arial"/>
          <w:b/>
          <w:bCs/>
          <w:sz w:val="15"/>
          <w:szCs w:val="15"/>
          <w:vertAlign w:val="superscript"/>
          <w:lang w:eastAsia="sr-Latn-RS"/>
        </w:rPr>
        <w:t>4,5</w:t>
      </w:r>
      <w:r w:rsidRPr="00984859">
        <w:rPr>
          <w:rFonts w:ascii="Arial" w:eastAsia="Times New Roman" w:hAnsi="Arial" w:cs="Arial"/>
          <w:lang w:eastAsia="sr-Latn-RS"/>
        </w:rPr>
        <w:t>. Ako tretirana hrana nije u potpunosti konzumirana, potrebno je odrediti dozu ispitivane supstance koju je zaista konzumirala svaka grupa.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izraziti u mg ispitivane supstance po pčeli.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i relevantna fizička i hemijska svojstva (npr. postojanost u vodi, napon pare);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od značaja za hemijsku identifikaciju supstance, uključujući strukturnu formulu, čistoću (npr. ako se radi o pesticidima, generički naziv i koncentraciju aktivnih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ispitivanoj vrsti: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latinski naziv, rod, približna starost (u nedeljama), metoda prikupljanja, datum prikupljanja;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kolonijama iz kojih su sakupljene pčele, uključujući zdravstveno stanje u tim kolonijama, postojanje bilo kakve bolesti odraslih primeraka, bilo kakav prethodni tretman,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i relativna vlažnost u laboratoriji;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 smeštaja ispitivanih jedinki, uključujući vrstu, veličinu kaveza i materijal od kojeg su napravljeni;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pripreme osnovnog i ispitivanih rastvora (ukoliko se koristi nosač, navesti vrstu i koncentraciju);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postavka ispitivanja, npr. broj korišćenih koncentracija i broj kontrola (broj kaveza replikata i broj pčela po kavezu za svaku koncentraciju i kontrolu);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preliminarnog ispitivanja za određivanje opsega doza, ako je rađeno;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neobrađeni podaci - smrtnost u svakoj od ispitivanih koncentracija, u svakom satu opažanja;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 prikaz krive dozne zavisnosti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vrednosti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sa 95% intervalom poverenja, u svakom od preporučenih momenata opažanja, za ispitivanu supstancu i toksični standard;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statističke metode korišćene za određivanje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smrtnost u kontrolama;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drugi primećeni ili izmereni biološki odgovori i bilo kakvo neuobičajeno ponašanje pčela (uključujući odbijanje hrane tretirane ispitivanom dozom), brzina potrošnje hrane u tretiranim i netretiranim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bilo kakvo odstupanje od postupka ovde opisane metode ispitivanja i bilo kakvi drugi važni podaci.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EPPO/Council of Europe (1993) Decision-Making Scheme for the Environmental Risk Assessment of Plant Protection Products - Honeybees. EPPO bulletin, vol. 23, N.1, 151-165. March 1993. 31.5.2008 EN Official Journal of the European Union L 142/621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 Gough, H. J., McIndoe, E.C., Lewis, G.B., (1994) The use of dimethoate as a reference compound in laboratory acute toxicity tests on honeybees (</w:t>
      </w:r>
      <w:r w:rsidRPr="00984859">
        <w:rPr>
          <w:rFonts w:ascii="Arial" w:eastAsia="Times New Roman" w:hAnsi="Arial" w:cs="Arial"/>
          <w:i/>
          <w:iCs/>
          <w:lang w:eastAsia="sr-Latn-RS"/>
        </w:rPr>
        <w:t>Apis mellifera</w:t>
      </w:r>
      <w:r w:rsidRPr="00984859">
        <w:rPr>
          <w:rFonts w:ascii="Arial" w:eastAsia="Times New Roman" w:hAnsi="Arial" w:cs="Arial"/>
          <w:lang w:eastAsia="sr-Latn-RS"/>
        </w:rPr>
        <w:t xml:space="preserve"> L.) 1981-1992. Journal of Apicultural Research, 22, p. 119-125.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Litchfield, J.T. and Wilcoxon, F., (1949) A simplified method of evaluating dose-effect experiments. Jour. Pharmacol. and Exper. Ther., 96, p. 99-113.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Finney, D.J., (1971) Probit Analysis. 3rd ed., Cambridge, London and New-York.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Abbott, W.S., (1925) A method for computing the effectiveness of an insecticide. Jour. Econ. Entomol., 18, p. 265-267.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C.17. PČELE - ISPITIVANJE AKUTNE KONTAKTNE TOKSIČNOSTI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214 (1998).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Ovo ispitivanje toksičnosti je laboratorijska metoda dizajnirana za procenu akutne kontaktne toksičnosti sredstava za zaštitu bilja i drugih hemikalija na odrasle pčele-radilice.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Postupak procene i vrednovanja toksičnih svojstava supstanci može zahtevati utvrđivanje akutne kontaktne toksičnosti kod pčela, npr. u slučajevima kada je verovatno da će pčele biti izložene datoj hemikaliji. Ispitivanje akutne kontaktne toksičnosti izvodi se da bi se utvrdila svojstvena toksičnost pesticida i drugih hemikalija na pčele. Rezultati ovog ispitivanja koriste se za utvrđivanje potrebe za daljim postupanjem. Ova metoda je posebno pogodna kod </w:t>
      </w:r>
      <w:r w:rsidRPr="00984859">
        <w:rPr>
          <w:rFonts w:ascii="Arial" w:eastAsia="Times New Roman" w:hAnsi="Arial" w:cs="Arial"/>
          <w:lang w:eastAsia="sr-Latn-RS"/>
        </w:rPr>
        <w:lastRenderedPageBreak/>
        <w:t xml:space="preserve">etapnih programa za procenu opasnosti koju pesticidi predstavljaju za pčele, na osnovu hijerarhijskog redosleda, od laboratorijskih ispitivanja toksičnosti, do poluterenskih i terenskih ispitivanja1. Pesticidi se mogu ispitivati kao aktivne supstance (u daljem tekstu: a.s.) ili kao formulisani proizvodi.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Osetljivost pčela i preciznost postupka ispitivanja potvrditi primenom standardnih toksičnih supstanci.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Akutna kontaktna toksičnost jesu štetne posledice koje se javljaju najkasnije 96 sati nakon kontaktne primene jednokratne doze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Doza jeste količina primenjene ispitivane supstance. Doza se izražava kao masa (mg) ispitivane supstance po jedinki (mg/pčele).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Kontaktna LD</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(srednja letalna doza)jeste statistički izvedena jednokratna doza supstance koja može izazvati smrt 50% životinja koje dođu u kontakt sa njom.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izražava se u (mg) ispitivane supstance po pčeli. Ako se ispituje dejstvo pesticida, ispitivana supstanca može biti aktivna supstanca ili formulisani proizvod koji sadrži jednu ili više aktivnih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Smrtnost jeste slučaj kada je jedinka potpuno nepomična i smatra se uginulom.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Odrasle pčele radilice (</w:t>
      </w:r>
      <w:r w:rsidRPr="00984859">
        <w:rPr>
          <w:rFonts w:ascii="Arial" w:eastAsia="Times New Roman" w:hAnsi="Arial" w:cs="Arial"/>
          <w:i/>
          <w:iCs/>
          <w:lang w:eastAsia="sr-Latn-RS"/>
        </w:rPr>
        <w:t>Apis melifera</w:t>
      </w:r>
      <w:r w:rsidRPr="00984859">
        <w:rPr>
          <w:rFonts w:ascii="Arial" w:eastAsia="Times New Roman" w:hAnsi="Arial" w:cs="Arial"/>
          <w:lang w:eastAsia="sr-Latn-RS"/>
        </w:rPr>
        <w:t>) izlažu se seriji doza ispitivane supstance, rastvorene u odgovarajućem nosaču, direktnim nanošenjem (kapljica) na grudni koš. Ispitivanje traje 48 sati. Ukoliko između 24 i 48 sata stopa smrtnosti raste, a u kontrolnoj grupi i dalje ostaje na prihvatljivom nivou, tj. &lt; 10%, primereno je produžiti trajanje ispitivanja do najviše 96 sati. Smrtnost se beleži svakodnevno u toku najmanje 48 sati i poredi sa kontrolnim vrednostima. Rezultati ispitivanja se analiziraju, da bi se se izračunala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nakon 24 i 48 sati, a u slučaju da je ispitivanje produženo i nakon 72 sata i 96 sati.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KRITERIJUMI PRIHVATLJIVOSTI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ispitivanje bilo prihvaćeno, ispunjavaju se uslovi: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prosečna smrtnost u kontrolnoj grupi ne prelazi 10%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standarda toksičnosti nalazi se u određenom opsegu.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1.5.1. Sakupljanje pčela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mlade odrasle pčele radilice istog roda, tj. pčele jednake starosti, stanja uhranjenosti itd. Pčele se nabavljaju iz adekvatno hranjenih, zdravih kolonija, bez zabeleženih bolesti, koliko je moguće, ustrojenih po hijerarhijskom principu matice, poznatog pedigrea i fiziološkog statusa. Mogu se sakupiti onog jutra kada se planira početak ispitivanja, ili prethodno veče, pa se do sutradan drže u uslovima koji će vladati u toku ispitivanja. Prikladne su pčele sakupljene sa okvira na kojima nema jaja. Sakupljanje pčela u rano proleće ili kasnu jesen izbegavati, jer je njihova fiziologija u to vreme promenjena. Ako </w:t>
      </w:r>
      <w:r w:rsidRPr="00984859">
        <w:rPr>
          <w:rFonts w:ascii="Arial" w:eastAsia="Times New Roman" w:hAnsi="Arial" w:cs="Arial"/>
          <w:lang w:eastAsia="sr-Latn-RS"/>
        </w:rPr>
        <w:lastRenderedPageBreak/>
        <w:t xml:space="preserve">se ispitivanje izvodi u rano proleće ili kasnu jesen, pčele se mogu izleći u inkubatoru i othraniti nedelju dana "pčelinjim hlebom" (polenom sakupljenim iz saća) i rastvorom saharoze. Pčele tretirane hemijskim supstancama (antibiotici, proizvodi za uništavanje </w:t>
      </w:r>
      <w:r w:rsidRPr="00984859">
        <w:rPr>
          <w:rFonts w:ascii="Arial" w:eastAsia="Times New Roman" w:hAnsi="Arial" w:cs="Arial"/>
          <w:i/>
          <w:iCs/>
          <w:lang w:eastAsia="sr-Latn-RS"/>
        </w:rPr>
        <w:t>Varroa</w:t>
      </w:r>
      <w:r w:rsidRPr="00984859">
        <w:rPr>
          <w:rFonts w:ascii="Arial" w:eastAsia="Times New Roman" w:hAnsi="Arial" w:cs="Arial"/>
          <w:lang w:eastAsia="sr-Latn-RS"/>
        </w:rPr>
        <w:t xml:space="preserve"> grinja) nije dozvoljeno koristiti za ispitivanje toksičnosti četiri nedelje nakon završetka poslednjeg tretmana.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1.5.2. Uslovi smeštaja i ishrane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kavezi koji se lako čiste i dobro provetravaju. Mogu biti od bilo kog prikladnog materijala, npr. nerđajućeg čelika, žičane mreže, plastike, a mogu se koristiti i drveni kavezi za jednokratnu upotrebu, itd. Preporučuju se grupe od 10 pčela po kavezu. Veličina kaveza je primerena broju pčela, kako bi im se pružio odgovarajući prostor.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Pčele držati u tamnoj laboratoriji na temperaturi od 25° C ± 2° C. Relativnu vlažnost, koja uobičajeno iznosi oko 50% do 70%, beležiti u toku trajanja celog ispitivanja. Postupci rukovanja, uključujući tretman i beleženje zapažanja, mogu se obavljati na dnevnom svetlu. Kao hrana se koristi vodeni rastvor saharoze, krajnje koncentracije od 500 g/l (50% odnosa težine i zapremine, w/v). Nakon što su date doze, hranu davati neograničeno (</w:t>
      </w:r>
      <w:r w:rsidRPr="00984859">
        <w:rPr>
          <w:rFonts w:ascii="Arial" w:eastAsia="Times New Roman" w:hAnsi="Arial" w:cs="Arial"/>
          <w:i/>
          <w:iCs/>
          <w:lang w:eastAsia="sr-Latn-RS"/>
        </w:rPr>
        <w:t>ad libitum</w:t>
      </w:r>
      <w:r w:rsidRPr="00984859">
        <w:rPr>
          <w:rFonts w:ascii="Arial" w:eastAsia="Times New Roman" w:hAnsi="Arial" w:cs="Arial"/>
          <w:lang w:eastAsia="sr-Latn-RS"/>
        </w:rPr>
        <w:t xml:space="preserve">), koristeći hranilicu za pčele. Za tu namenu se može koristiti i staklena cevčica (dužine oko 50 mm, širine 10 mm, sa otvorenim krajem koji se sužava do promera od oko 2 mm).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1.5.3. Priprema pčela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omogućilo nanošenje ispitivane supstance, sakupljene pčele se mogu anestezirati ugljen-dioksidom ili azotom. Količinu upotrebljenog anestetika i trajanje anestezije svesti na najmanju moguću meru. Pčele na umoru pre početka ispitivanja odbaciti i zameniti zdravim.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1.5.4. Priprema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Ispitivanu supstancu primeniti kao rastvor u nosaču, tj. rastvorenu u organskom rastvaraču ili vodi, uz sredstvo koje osigurava vlažnost. Kada je reč o organskom rastvaraču, prednost se daje acetonu, ali se mogu upotrebiti i drugi, po pčele netoksični organski rastvarači (npr. dimetilformamid, dimetilsulfoksid). Rastvori se mogu lakše naneti ako se pripreme u blagom rastvoru komercijalnog sredstva koje osigurava vlažnost (Agral, Cittowett, Lubrol, Triton, Tween). Reč je o komercijalnim proizvodima dispergovanim u vodi i visokopolarnim organskim supstancama koje se ne rastvaraju u organskim rastvaračima,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pripremiti i pogodne kontrolne rastvore, tj. kod ispitivanja gde se za rastvaranje ispitivane supstance koristi rastvarač ili disperziono sredstvo, koristiti dve odvojene kontrolne grupe, jednu tretiranu vodom i drugu tretiranu rastvaračem/disperzionim sredstvom.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Ispitivane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Broj ispitivanih doza i njihovih replika potrebno je da zadovoljava statističke zahteve u pogledu određivanja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 intervalima poverenja od 95%. Obično se ispitivanje postavlja sa pet doza ispitivane supstance, u geometrijskoj seriji, sa faktorom ne većim od 2,2 tako da bude obuhvaćen opseg potreban za određivanje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Faktor razblaženja i broj koncentracija za doziranje odrediti prema nagibu krive toksičnosti (doza prema smrtnosti), vodeći računa o zahtevima statističke metode odabrane za analizu rezultata. Preliminarna studija u cilju utvrđivanja opsega ispitivanih koncentracija omogućuje pravilan izbor ispitivanih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Minimalno tri grupe replika, svaka po deset pčela, izložiti dozama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svakom ispitivanju obezbediti najmanje tri kontrolne grupe sa po 10 pčela. Ako je korišćen neki organski rastvarač ili sredstvo koje osigurava vlažnost, uključiti još tri dodatne kontrolne serije sa po 10 pčela u svakoj od njih, koje će se tretirati samo rastvaračem, odnosno samo agensom koji osigurava vlažnost.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Standard toksičnosti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ispitivane serije e uključiti i ispitivanje toksičnosti standarda. Da bi se obuhvatila očekivana vrednost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odabrati najmanje tri doze standarda. Najmanje tri grupe po 10 pčela u svakom kavezu izložiti svakoj dozi standarda. Kao standard toksičnosti obično se koristi dimetoat, čija se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nakon 24 sata peroralne primene kreće u opsegu od 0,10 mg do 0,35 mg a.s./pčeli2. Koriste se i drugi standardi toksičnosti, ako se raspolaže dovoljnom količinom podataka o očekivanoj doznoj zavisnosti (npr. paration).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Izlaganje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Primena doza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Anestezirane pčele, svaka individua pojedinačno, tretiraju se ispitivanom supstancom. Pčele se grupišu slučajnim rasporedom u ispitivane i kontrolne grupe i tretiraju različitim dozama ispitivane supstance. Po 1 ml rastvora koji sadrži ispitivanu supstancu u datoj koncentraciji potrebno je naneti mikroaplikatorom na dorzalnu stranu toraksa svake jedinke. Ako za to postoji opravdanje, mogu se upotrebiti i druge zapremine ispitivane supstance. Nakon nanošenja ispitivane supstance, pčele se stavljaju u kaveze i obezbedi im se rastvor saharoze.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Dužina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Preporučuje se da ispitivanje traje 48 sati. Ukoliko smrtnost između 24 i 48 sata nastavi da raste za više od 10%, ispitivanje produžiti do najviše 96 sati, pod uslovom da smrtnost u kontrolnim grupama ne prelazi 10%.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Zapažanja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Smrtnost se beleži 4 sata nakon primene ispitivane supstance, pa nakon 24 sata i 48 sati. Ukoliko se ukaže potreba da se ispitivanje produži, naredne procene obaviti u 24-satnim intervalima, najduže do ukupno 96 sati, pod uslovom da smrtnost u kontrolnim grupama ne prelazi 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zabeležiti sve pojave neuobičajenog ponašanja tokom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Granična studija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nekim slučajevima (npr. kada se očekuje da je ispitivana supstanca netoksična) može se uraditi granična studija upotrebom 100 mg a.s./pčeli da bi se pokazalo da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prelazi ovu vrednost. Treba koristiti isti postupak, uključujući tri ispitivane grupe (replike) koje se izlažu dozi, relevantne kontrolne grupe, procenu konzumirane količine tretirane hrane i upotrebu standarda toksičnosti. Ukoliko dođe do uginuća pčela, ispitivanje je neophodno izvesti u celosti. Ako se uoče subletalni efekti (videti odeljak 1.6.4. ove metode) zabeležiti ih.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2.1.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Podaci se prikazuju u tabelarnoj formi. Za svaku ispitivanu grupu, bilo da je u pitanju kontrolna ili grupa standardne toksičnosti, navodi se broj ispitivanih jedinki, smrtnost u svakom izabranom trenutku opažanja, kao broj pčela sa neželjenim promenama u ponašanju. Podaci o smrtnosti se analiziraju pogodnim statističkim metodama (npr. probit-analizom, lutajućom srednjom vrednošću, binomnom verovatnoćom)</w:t>
      </w:r>
      <w:r w:rsidRPr="00984859">
        <w:rPr>
          <w:rFonts w:ascii="Arial" w:eastAsia="Times New Roman" w:hAnsi="Arial" w:cs="Arial"/>
          <w:b/>
          <w:bCs/>
          <w:sz w:val="15"/>
          <w:szCs w:val="15"/>
          <w:vertAlign w:val="superscript"/>
          <w:lang w:eastAsia="sr-Latn-RS"/>
        </w:rPr>
        <w:t>3,4</w:t>
      </w:r>
      <w:r w:rsidRPr="00984859">
        <w:rPr>
          <w:rFonts w:ascii="Arial" w:eastAsia="Times New Roman" w:hAnsi="Arial" w:cs="Arial"/>
          <w:lang w:eastAsia="sr-Latn-RS"/>
        </w:rPr>
        <w:t>. Potrebno je grafički prikazati krive dozne zavisnosti za svaki preporučeni sat posmatranja, izračunati nagib krive i srednju letalnu dozu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sa 95% intervalom poverenja. Ispravke vezane za smrtnost u kontrolnoj grupi se mogu uraditi pomoću Abotove korekcije4</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Ako tretirana hrana nije u potpunosti konzumirana, potrebno je odrediti dozu ispitivane supstance koju je zaista konzumirala svaka grupa.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izraziti u mg ispitivane supstance po pčeli.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Izvještaj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i relevantna fizička i hemijska svojstva (npr. postojanost u vodi, napon pare);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od značaja za hemijsku identifikaciju supstance, uključujući strukturnu formulu, čistoću (npr. ako se radi o pesticidima, generički naziv i koncentraciju aktivnih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ispitivanoj vrsti: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latinski naziv, rod, približna starost (u nedeljama), metoda prikupljanja, datum prikupljanja;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kolonijama iz kojih su sakupljene pčele, uključujući zdravstveno stanje kolonija, prisustvo bolesti kod odraslih primeraka, bilo kakav prethodni tretman,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tokom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i relativna vlažnost u laboratoriji;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uslovi smeštaja ispitivanih jedinki, uključujući vrstu, veličinu kaveza i materijal od kojeg su napravljeni;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primene ispitivane supstance, npr. korišćen rastvarač - nosač, primenjena zapremina rastvora, korišćeni anestetici;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postavka ispitivanja, npr. broj korišćenih koncentracija i broj kontrola (broj kaveza replikata i broj pčela po kavezu za svaku koncentraciju i kontrolu);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preliminarnog ispitivanja za određivanje opsega doza, ako je rađena;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neobrađeni podaci - smrtnost u svakoj od ispitivanih koncentracija, u svakom satu opažanja;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grafički prikaz krive dozne zavisnosti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vrednosti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sa 95% intervalom poverenja, u svakom od preporučenih momenata opažanja, za ispitivanu supstancu i toksični standard;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statističke metode korišćene za određivanje LD</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smrtnost u kontrolama;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drugi biološki odgovori i bilo kakvo neuobičajeno ponašanje pčela;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bilo kakvo odstupanje od postupka ovde opisane metode ispitivanja i drugi bitni podaci.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EPPO/Council of Europe (1993) Decision-Making Scheme for the Environmental Risk Assessment ofPlant Protection Products - Honeybees. EPPO bulletin, vol. 23, N.1, p. 151-165. March, 1993.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 Gough, H. J., McIndoe, E.C., Lewis, G.B., (1994) The use of dimethoate as a reference compound inlaboratory acute toxicity tests on honeybees (</w:t>
      </w:r>
      <w:r w:rsidRPr="00984859">
        <w:rPr>
          <w:rFonts w:ascii="Arial" w:eastAsia="Times New Roman" w:hAnsi="Arial" w:cs="Arial"/>
          <w:i/>
          <w:iCs/>
          <w:lang w:eastAsia="sr-Latn-RS"/>
        </w:rPr>
        <w:t>Apis mellifera</w:t>
      </w:r>
      <w:r w:rsidRPr="00984859">
        <w:rPr>
          <w:rFonts w:ascii="Arial" w:eastAsia="Times New Roman" w:hAnsi="Arial" w:cs="Arial"/>
          <w:lang w:eastAsia="sr-Latn-RS"/>
        </w:rPr>
        <w:t xml:space="preserve"> L.), 1981-1992. Journal of ApiculturalResearch 22, p. 119-125.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Litchfield, J.T. and Wilcoxon, F., (1949) A simplified method of evaluating dose-effect experiments. Jour.Pharmacol. and Exper. Ther., 96, p. 99-113.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Finney, D.J., (1971) Probit Analysis. 3rd ed., Cambridge, London and New-York.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Abbott, W.S., (1925) A method for computing the effectiveness of an insecticide. Jour. Econ. Entomol., 18, p. 265-267.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C.18. ADSORPCIJA /DESORPCIJA POMOĆU METODE RAVNOTEŽENOG STANJA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se zasniva na Uputstvu za ispitivanje OECD 106, u delu koji se odnosi na utvrđivanje adsorpcije/desorpcije na čestice zemljišta pomoću metode ravnotežnog stanja</w:t>
      </w:r>
      <w:r w:rsidRPr="00984859">
        <w:rPr>
          <w:rFonts w:ascii="Arial" w:eastAsia="Times New Roman" w:hAnsi="Arial" w:cs="Arial"/>
          <w:b/>
          <w:bCs/>
          <w:sz w:val="15"/>
          <w:szCs w:val="15"/>
          <w:vertAlign w:val="superscript"/>
          <w:lang w:eastAsia="sr-Latn-RS"/>
        </w:rPr>
        <w:t>XVII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XVII</w:t>
      </w:r>
      <w:r w:rsidRPr="00984859">
        <w:rPr>
          <w:rFonts w:ascii="Arial" w:eastAsia="Times New Roman" w:hAnsi="Arial" w:cs="Arial"/>
          <w:lang w:eastAsia="sr-Latn-RS"/>
        </w:rPr>
        <w:t xml:space="preserve"> Determination of Soil Adsorption/Desorption, using a Batch Equilibrium Method (2000)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ispitivanja uzima u obzir međulaboratorijsko poređenje i radionicu na temu izbora zemljišta za razvoj metode ispitivanja adsorpcije</w:t>
      </w:r>
      <w:r w:rsidRPr="00984859">
        <w:rPr>
          <w:rFonts w:ascii="Arial" w:eastAsia="Times New Roman" w:hAnsi="Arial" w:cs="Arial"/>
          <w:b/>
          <w:bCs/>
          <w:sz w:val="15"/>
          <w:szCs w:val="15"/>
          <w:vertAlign w:val="superscript"/>
          <w:lang w:eastAsia="sr-Latn-RS"/>
        </w:rPr>
        <w:t>1,2,3,4</w:t>
      </w:r>
      <w:r w:rsidRPr="00984859">
        <w:rPr>
          <w:rFonts w:ascii="Arial" w:eastAsia="Times New Roman" w:hAnsi="Arial" w:cs="Arial"/>
          <w:lang w:eastAsia="sr-Latn-RS"/>
        </w:rPr>
        <w:t>, kao i postojeće smernice na nacionalnom nivou</w:t>
      </w:r>
      <w:r w:rsidRPr="00984859">
        <w:rPr>
          <w:rFonts w:ascii="Arial" w:eastAsia="Times New Roman" w:hAnsi="Arial" w:cs="Arial"/>
          <w:b/>
          <w:bCs/>
          <w:sz w:val="15"/>
          <w:szCs w:val="15"/>
          <w:vertAlign w:val="superscript"/>
          <w:lang w:eastAsia="sr-Latn-RS"/>
        </w:rPr>
        <w:t>5,6,7,8,9,10,11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Studije adsorpcije/desorpcije korisne su kao izvor ključnih podataka o kretanju hemikalija i njihovoj raspodeli u zemljištu, vodi i vazduhu kao delovima biosfere</w:t>
      </w:r>
      <w:r w:rsidRPr="00984859">
        <w:rPr>
          <w:rFonts w:ascii="Arial" w:eastAsia="Times New Roman" w:hAnsi="Arial" w:cs="Arial"/>
          <w:b/>
          <w:bCs/>
          <w:sz w:val="15"/>
          <w:szCs w:val="15"/>
          <w:vertAlign w:val="superscript"/>
          <w:lang w:eastAsia="sr-Latn-RS"/>
        </w:rPr>
        <w:t>12,13,14,15,16,17,18,19,20,21</w:t>
      </w:r>
      <w:r w:rsidRPr="00984859">
        <w:rPr>
          <w:rFonts w:ascii="Arial" w:eastAsia="Times New Roman" w:hAnsi="Arial" w:cs="Arial"/>
          <w:lang w:eastAsia="sr-Latn-RS"/>
        </w:rPr>
        <w:t>. Podaci se mogu upotrebiti za predviđanje i utvrđivanje, npr. dostupnosti hemikalije za razgradnju</w:t>
      </w:r>
      <w:r w:rsidRPr="00984859">
        <w:rPr>
          <w:rFonts w:ascii="Arial" w:eastAsia="Times New Roman" w:hAnsi="Arial" w:cs="Arial"/>
          <w:b/>
          <w:bCs/>
          <w:sz w:val="15"/>
          <w:szCs w:val="15"/>
          <w:vertAlign w:val="superscript"/>
          <w:lang w:eastAsia="sr-Latn-RS"/>
        </w:rPr>
        <w:t>22,23</w:t>
      </w:r>
      <w:r w:rsidRPr="00984859">
        <w:rPr>
          <w:rFonts w:ascii="Arial" w:eastAsia="Times New Roman" w:hAnsi="Arial" w:cs="Arial"/>
          <w:lang w:eastAsia="sr-Latn-RS"/>
        </w:rPr>
        <w:t>, njene transformacije i unosa u organizme</w:t>
      </w:r>
      <w:r w:rsidRPr="00984859">
        <w:rPr>
          <w:rFonts w:ascii="Arial" w:eastAsia="Times New Roman" w:hAnsi="Arial" w:cs="Arial"/>
          <w:b/>
          <w:bCs/>
          <w:sz w:val="15"/>
          <w:szCs w:val="15"/>
          <w:vertAlign w:val="superscript"/>
          <w:lang w:eastAsia="sr-Latn-RS"/>
        </w:rPr>
        <w:t>24</w:t>
      </w:r>
      <w:r w:rsidRPr="00984859">
        <w:rPr>
          <w:rFonts w:ascii="Arial" w:eastAsia="Times New Roman" w:hAnsi="Arial" w:cs="Arial"/>
          <w:lang w:eastAsia="sr-Latn-RS"/>
        </w:rPr>
        <w:t xml:space="preserve">, ispiranja i proceđivanja kroz različite profile </w:t>
      </w:r>
      <w:r w:rsidRPr="00984859">
        <w:rPr>
          <w:rFonts w:ascii="Arial" w:eastAsia="Times New Roman" w:hAnsi="Arial" w:cs="Arial"/>
          <w:lang w:eastAsia="sr-Latn-RS"/>
        </w:rPr>
        <w:lastRenderedPageBreak/>
        <w:t>zemljišta</w:t>
      </w:r>
      <w:r w:rsidRPr="00984859">
        <w:rPr>
          <w:rFonts w:ascii="Arial" w:eastAsia="Times New Roman" w:hAnsi="Arial" w:cs="Arial"/>
          <w:b/>
          <w:bCs/>
          <w:sz w:val="15"/>
          <w:szCs w:val="15"/>
          <w:vertAlign w:val="superscript"/>
          <w:lang w:eastAsia="sr-Latn-RS"/>
        </w:rPr>
        <w:t>16,18,19,21,25,26,27,28</w:t>
      </w:r>
      <w:r w:rsidRPr="00984859">
        <w:rPr>
          <w:rFonts w:ascii="Arial" w:eastAsia="Times New Roman" w:hAnsi="Arial" w:cs="Arial"/>
          <w:lang w:eastAsia="sr-Latn-RS"/>
        </w:rPr>
        <w:t>, isparavanja iz zemljišta</w:t>
      </w:r>
      <w:r w:rsidRPr="00984859">
        <w:rPr>
          <w:rFonts w:ascii="Arial" w:eastAsia="Times New Roman" w:hAnsi="Arial" w:cs="Arial"/>
          <w:b/>
          <w:bCs/>
          <w:sz w:val="15"/>
          <w:szCs w:val="15"/>
          <w:vertAlign w:val="superscript"/>
          <w:lang w:eastAsia="sr-Latn-RS"/>
        </w:rPr>
        <w:t xml:space="preserve">21,29,30 </w:t>
      </w:r>
      <w:r w:rsidRPr="00984859">
        <w:rPr>
          <w:rFonts w:ascii="Arial" w:eastAsia="Times New Roman" w:hAnsi="Arial" w:cs="Arial"/>
          <w:lang w:eastAsia="sr-Latn-RS"/>
        </w:rPr>
        <w:t>i oticanja sa zemljišnih površina u vode</w:t>
      </w:r>
      <w:r w:rsidRPr="00984859">
        <w:rPr>
          <w:rFonts w:ascii="Arial" w:eastAsia="Times New Roman" w:hAnsi="Arial" w:cs="Arial"/>
          <w:b/>
          <w:bCs/>
          <w:sz w:val="15"/>
          <w:szCs w:val="15"/>
          <w:vertAlign w:val="superscript"/>
          <w:lang w:eastAsia="sr-Latn-RS"/>
        </w:rPr>
        <w:t>18,31,32</w:t>
      </w:r>
      <w:r w:rsidRPr="00984859">
        <w:rPr>
          <w:rFonts w:ascii="Arial" w:eastAsia="Times New Roman" w:hAnsi="Arial" w:cs="Arial"/>
          <w:lang w:eastAsia="sr-Latn-RS"/>
        </w:rPr>
        <w:t>. Podaci o adsorpciji mogu se koristiti za poređenje i modelovanje</w:t>
      </w:r>
      <w:r w:rsidRPr="00984859">
        <w:rPr>
          <w:rFonts w:ascii="Arial" w:eastAsia="Times New Roman" w:hAnsi="Arial" w:cs="Arial"/>
          <w:b/>
          <w:bCs/>
          <w:sz w:val="15"/>
          <w:szCs w:val="15"/>
          <w:vertAlign w:val="superscript"/>
          <w:lang w:eastAsia="sr-Latn-RS"/>
        </w:rPr>
        <w:t>19,33,34,35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Raspodela hemikalije između čvrste i tečne faze složen je proces, koji zavisi od brojnih različitih faktora: hemijske prirode supstance</w:t>
      </w:r>
      <w:r w:rsidRPr="00984859">
        <w:rPr>
          <w:rFonts w:ascii="Arial" w:eastAsia="Times New Roman" w:hAnsi="Arial" w:cs="Arial"/>
          <w:b/>
          <w:bCs/>
          <w:sz w:val="15"/>
          <w:szCs w:val="15"/>
          <w:vertAlign w:val="superscript"/>
          <w:lang w:eastAsia="sr-Latn-RS"/>
        </w:rPr>
        <w:t xml:space="preserve">12,36, 7,38,39,40 </w:t>
      </w:r>
      <w:r w:rsidRPr="00984859">
        <w:rPr>
          <w:rFonts w:ascii="Arial" w:eastAsia="Times New Roman" w:hAnsi="Arial" w:cs="Arial"/>
          <w:lang w:eastAsia="sr-Latn-RS"/>
        </w:rPr>
        <w:t>karakteristika zemljišta</w:t>
      </w:r>
      <w:r w:rsidRPr="00984859">
        <w:rPr>
          <w:rFonts w:ascii="Arial" w:eastAsia="Times New Roman" w:hAnsi="Arial" w:cs="Arial"/>
          <w:b/>
          <w:bCs/>
          <w:sz w:val="15"/>
          <w:szCs w:val="15"/>
          <w:vertAlign w:val="superscript"/>
          <w:lang w:eastAsia="sr-Latn-RS"/>
        </w:rPr>
        <w:t xml:space="preserve">4,12,13,14,41,42,43,44,45,46,47,48,49 </w:t>
      </w:r>
      <w:r w:rsidRPr="00984859">
        <w:rPr>
          <w:rFonts w:ascii="Arial" w:eastAsia="Times New Roman" w:hAnsi="Arial" w:cs="Arial"/>
          <w:lang w:eastAsia="sr-Latn-RS"/>
        </w:rPr>
        <w:t xml:space="preserve">i klimatskih faktora kao što su padavine, temperatura, sunčeva svetlost i vetar. Zbog toga se brojne pojave i mehanizmi uključeni u proces adsorpcije hemikalija u zemljištu ne mogu u potpunosti definisati pojednostavljenim laboratorijskim modelom, kakav predstavlja ova metoda. Iako ovaj pokušaj ne može pokriti sve slučajeve koji se u prirodi mogu dogoditi, on pruža vredne podatke o ekološkom značaju procesa adsorpcije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Videti Opšti uvod.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OBLAST PRIMENE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koristi za procenu ponašanja hemikalije u različitim zemljištima, u smislu njene adsorpcije/desorpcije na čestice zemljišta. Cilj je dobijanje sorpcione vrednosti koja se može koristiti za predviđanje raspodele supstance u različitim ekološkim uslovima. Dosadašnjim istraživanjima utvrđeno je da su ravnotežni adsorpcioni koeficijenti hemikalije u različitim tipovima zemljišta u funkciji karakteristika zemljišta (npr. sadržaj organskog ugljenika, ilovače, tekstura i pH vrednost zemljišta). Da bi se u najširem smislu obuhvatile sve interakcije određene supstance i različitih tipova zemljišta prirodnog porekla, za ispitivanje se koriste različiti tipovi uzoraka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okviru ove metode, adsorpcija predstavlja proces vezivanja hemikalije za površine zemljišta. Njome se ne mogu utvrditi razlike između različitih procesa adsorpcije (fizička i hemijska adsorpcija), niti procesi poput površinski katalizirane razgradnje, masivne adsorpcije i hemijske reakcije.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Adsorpcija na koloidne čestice (prečnika &lt; 0,2 µm) koje stvara zemljište nije uzeta u obzir.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Svojstva zemljišta za koja se smatra da su najvažnija za adsorpciju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sadržaj organskog ugljenika u zemljištu</w:t>
      </w:r>
      <w:r w:rsidRPr="00984859">
        <w:rPr>
          <w:rFonts w:ascii="Arial" w:eastAsia="Times New Roman" w:hAnsi="Arial" w:cs="Arial"/>
          <w:b/>
          <w:bCs/>
          <w:sz w:val="15"/>
          <w:szCs w:val="15"/>
          <w:vertAlign w:val="superscript"/>
          <w:lang w:eastAsia="sr-Latn-RS"/>
        </w:rPr>
        <w:t>3,4,12,13,14,41,43,44,45,46,47,48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sadržaj ilovače u zemljištu i tekstura zemljišta</w:t>
      </w:r>
      <w:r w:rsidRPr="00984859">
        <w:rPr>
          <w:rFonts w:ascii="Arial" w:eastAsia="Times New Roman" w:hAnsi="Arial" w:cs="Arial"/>
          <w:b/>
          <w:bCs/>
          <w:sz w:val="15"/>
          <w:szCs w:val="15"/>
          <w:vertAlign w:val="superscript"/>
          <w:lang w:eastAsia="sr-Latn-RS"/>
        </w:rPr>
        <w:t>3,4,41,42,43,44,45,46,47,48</w:t>
      </w:r>
      <w:r w:rsidRPr="00984859">
        <w:rPr>
          <w:rFonts w:ascii="Arial" w:eastAsia="Times New Roman" w:hAnsi="Arial" w:cs="Arial"/>
          <w:lang w:eastAsia="sr-Latn-RS"/>
        </w:rPr>
        <w:t xml:space="preserve">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pH vrednost jedinjenja podložnih jonizaciji</w:t>
      </w:r>
      <w:r w:rsidRPr="00984859">
        <w:rPr>
          <w:rFonts w:ascii="Arial" w:eastAsia="Times New Roman" w:hAnsi="Arial" w:cs="Arial"/>
          <w:b/>
          <w:bCs/>
          <w:sz w:val="15"/>
          <w:szCs w:val="15"/>
          <w:vertAlign w:val="superscript"/>
          <w:lang w:eastAsia="sr-Latn-RS"/>
        </w:rPr>
        <w:t>3,4,42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Druga svojstva zemljišta koja mogu imati uticaja na adsorpciju/desorpciju određene supstance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efektivni kapacitet izmene katjona (Effective Cation Exchange Capacity, u daljem tekstu: ECEC);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sadržaj amorfnog gvožđa i aluminijumovih oksida, naročito u vulkanskim i tropskim zemljištima</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specifična površina zemljišta</w:t>
      </w:r>
      <w:r w:rsidRPr="00984859">
        <w:rPr>
          <w:rFonts w:ascii="Arial" w:eastAsia="Times New Roman" w:hAnsi="Arial" w:cs="Arial"/>
          <w:b/>
          <w:bCs/>
          <w:sz w:val="15"/>
          <w:szCs w:val="15"/>
          <w:vertAlign w:val="superscript"/>
          <w:lang w:eastAsia="sr-Latn-RS"/>
        </w:rPr>
        <w:t>49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je osmišljena tako da omogući vrednovanje adsorpcije hemikalije na različite vrste zemljišta, u odnosu na sadržaj ugljenika, ilovače, teksturu, kao i pH vrednost.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Ispitivanje obuhvata tri etape: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prva etapa je preliminarna studija kojom se utvrđuje: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odnos zemljišta i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potrebno za dostizanje ravnotežnog stanja adsorpcije;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količina ispitivane supstance koja se adsorbovala u trenutku dostizanja ravnotežnog stanja;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adsorpcija ispitivane supstance na površine posuda i stabilnost ispitivane supstance za vreme trajanja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druga etapa je skrining test: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adsorpcija se proučava na pet različitih vrsta zemljišta (pomoću kinetike adsorpcije pri jednoj jedinoj koncentraciji i određivanjem koeficijenta raspodele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i K</w:t>
      </w:r>
      <w:r w:rsidRPr="00984859">
        <w:rPr>
          <w:rFonts w:ascii="Arial" w:eastAsia="Times New Roman" w:hAnsi="Arial" w:cs="Arial"/>
          <w:sz w:val="15"/>
          <w:szCs w:val="15"/>
          <w:vertAlign w:val="superscript"/>
          <w:lang w:eastAsia="sr-Latn-RS"/>
        </w:rPr>
        <w:t>oc</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treća etapa: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određivanje Frojndlihovih adsorpcionih izotermi radi utvrđivanja uticaja koncentracije na stepen adsorpcije na čestice zemljišta (studija desorpcijena osnovu kinetike desorpcije/Frojndlihove desorpcione izoterme - videti Deo drugi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DEFINICIJE I MERNE JEDINICE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69"/>
        <w:gridCol w:w="7053"/>
        <w:gridCol w:w="1110"/>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Simbol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Definicija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Jedinica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adsorpcije u vremenu 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eq</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adsorpcije kod ravnotežnog stanja adsorpcije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masa ispitivane supstance adsorbovane na zemljište u vremenu 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masa ispitivane supstance adsorbovane na zemljište u vremenskom intervalu ∆t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ispitivane supstance adsorbovane na zemljište u ravnotežnom stanju adsorbcije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ispitivane supstance u ispitivanoj posudi na početku ispitivanja adsorpcije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masa ispitivane supstance izmerena u alikvotima (V</w:t>
            </w:r>
            <w:r w:rsidRPr="00984859">
              <w:rPr>
                <w:rFonts w:ascii="Arial" w:eastAsia="Times New Roman" w:hAnsi="Arial" w:cs="Arial"/>
                <w:sz w:val="15"/>
                <w:szCs w:val="15"/>
                <w:vertAlign w:val="subscript"/>
                <w:lang w:eastAsia="sr-Latn-RS"/>
              </w:rPr>
              <w:t>a</w:t>
            </w:r>
            <w:r w:rsidRPr="00984859">
              <w:rPr>
                <w:rFonts w:ascii="Arial" w:eastAsia="Times New Roman" w:hAnsi="Arial" w:cs="Arial"/>
                <w:sz w:val="15"/>
                <w:szCs w:val="15"/>
                <w:vertAlign w:val="superscript"/>
                <w:lang w:eastAsia="sr-Latn-RS"/>
              </w:rPr>
              <w:t>A</w:t>
            </w:r>
            <w:r w:rsidRPr="00984859">
              <w:rPr>
                <w:rFonts w:ascii="Arial" w:eastAsia="Times New Roman" w:hAnsi="Arial" w:cs="Arial"/>
                <w:lang w:eastAsia="sr-Latn-RS"/>
              </w:rPr>
              <w:t>) u tački vremena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supstance u rastvoru pri ravnotežnom stanju adsorpcije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zemljišta</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količina zemljišta faze, izražena kao suva masa zemljišta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masena koncentracija osnovnog rastvora supstance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masena koncentracija ispitivanog rastvora u dodiru sa zemljištem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masena koncentracija supstance u tečnoj fazi u vremenu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u kojem se obavlja analiza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supstance adsorbovane na zemljište pri ravnotežnom stanju adsorbvcije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masena koncentracija supstance u tečnoj fazi pri ravnotežnom stanju adsorpcije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zapremina tečne faze u dodiru sa zemljištem za vreme </w:t>
            </w:r>
            <w:r w:rsidRPr="00984859">
              <w:rPr>
                <w:rFonts w:ascii="Arial" w:eastAsia="Times New Roman" w:hAnsi="Arial" w:cs="Arial"/>
                <w:lang w:eastAsia="sr-Latn-RS"/>
              </w:rPr>
              <w:lastRenderedPageBreak/>
              <w:t xml:space="preserve">ispitivanja adsorpcije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V</w:t>
            </w:r>
            <w:r w:rsidRPr="00984859">
              <w:rPr>
                <w:rFonts w:ascii="Arial" w:eastAsia="Times New Roman" w:hAnsi="Arial" w:cs="Arial"/>
                <w:sz w:val="15"/>
                <w:szCs w:val="15"/>
                <w:vertAlign w:val="subscript"/>
                <w:lang w:eastAsia="sr-Latn-RS"/>
              </w:rPr>
              <w:t>a</w:t>
            </w:r>
            <w:r w:rsidRPr="00984859">
              <w:rPr>
                <w:rFonts w:ascii="Arial" w:eastAsia="Times New Roman" w:hAnsi="Arial" w:cs="Arial"/>
                <w:sz w:val="15"/>
                <w:szCs w:val="15"/>
                <w:vertAlign w:val="superscript"/>
                <w:lang w:eastAsia="sr-Latn-RS"/>
              </w:rPr>
              <w:t>A</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alikvota u kojima se meri ispitivana 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koeficijent raspodele adsorpcije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/g</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oc</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normalizovan koeficijent adsorpcije organskog ugljenika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/g</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om</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normalizovan koeficijent raspodele organske materije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/g</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ads</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Frojndlihova adsorpciona konstanta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w:t>
            </w:r>
            <w:r w:rsidRPr="00984859">
              <w:rPr>
                <w:rFonts w:ascii="Arial" w:eastAsia="Times New Roman" w:hAnsi="Arial" w:cs="Arial"/>
                <w:sz w:val="15"/>
                <w:szCs w:val="15"/>
                <w:vertAlign w:val="superscript"/>
                <w:lang w:eastAsia="sr-Latn-RS"/>
              </w:rPr>
              <w:t>-1-1/n</w:t>
            </w:r>
            <w:r w:rsidRPr="00984859">
              <w:rPr>
                <w:rFonts w:ascii="Arial" w:eastAsia="Times New Roman" w:hAnsi="Arial" w:cs="Arial"/>
                <w:lang w:eastAsia="sr-Latn-RS"/>
              </w:rPr>
              <w:t xml:space="preserve">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w:t>
            </w:r>
            <w:r w:rsidRPr="00984859">
              <w:rPr>
                <w:rFonts w:ascii="Arial" w:eastAsia="Times New Roman" w:hAnsi="Arial" w:cs="Arial"/>
                <w:sz w:val="15"/>
                <w:szCs w:val="15"/>
                <w:vertAlign w:val="superscript"/>
                <w:lang w:eastAsia="sr-Latn-RS"/>
              </w:rPr>
              <w:t>1/n</w:t>
            </w:r>
            <w:r w:rsidRPr="00984859">
              <w:rPr>
                <w:rFonts w:ascii="Arial" w:eastAsia="Times New Roman" w:hAnsi="Arial" w:cs="Arial"/>
                <w:lang w:eastAsia="sr-Latn-RS"/>
              </w:rPr>
              <w:t>g</w:t>
            </w:r>
            <w:r w:rsidRPr="00984859">
              <w:rPr>
                <w:rFonts w:ascii="Arial" w:eastAsia="Times New Roman" w:hAnsi="Arial" w:cs="Arial"/>
                <w:sz w:val="15"/>
                <w:szCs w:val="15"/>
                <w:vertAlign w:val="superscript"/>
                <w:lang w:eastAsia="sr-Latn-RS"/>
              </w:rPr>
              <w:t>-1</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Frojndlihov eksponent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desorpcije u vremenu 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desorpcije u vremenskom intervalu ∆t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des</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Očigledna prividna desorpciona konstanta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des</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Frojndlihova desorpciona konstanta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w:t>
            </w:r>
            <w:r w:rsidRPr="00984859">
              <w:rPr>
                <w:rFonts w:ascii="Arial" w:eastAsia="Times New Roman" w:hAnsi="Arial" w:cs="Arial"/>
                <w:sz w:val="15"/>
                <w:szCs w:val="15"/>
                <w:vertAlign w:val="superscript"/>
                <w:lang w:eastAsia="sr-Latn-RS"/>
              </w:rPr>
              <w:t>-1-1/n</w:t>
            </w:r>
            <w:r w:rsidRPr="00984859">
              <w:rPr>
                <w:rFonts w:ascii="Arial" w:eastAsia="Times New Roman" w:hAnsi="Arial" w:cs="Arial"/>
                <w:lang w:eastAsia="sr-Latn-RS"/>
              </w:rPr>
              <w:t xml:space="preserve">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w:t>
            </w:r>
            <w:r w:rsidRPr="00984859">
              <w:rPr>
                <w:rFonts w:ascii="Arial" w:eastAsia="Times New Roman" w:hAnsi="Arial" w:cs="Arial"/>
                <w:sz w:val="15"/>
                <w:szCs w:val="15"/>
                <w:vertAlign w:val="superscript"/>
                <w:lang w:eastAsia="sr-Latn-RS"/>
              </w:rPr>
              <w:t>1/n</w:t>
            </w:r>
            <w:r w:rsidRPr="00984859">
              <w:rPr>
                <w:rFonts w:ascii="Arial" w:eastAsia="Times New Roman" w:hAnsi="Arial" w:cs="Arial"/>
                <w:lang w:eastAsia="sr-Latn-RS"/>
              </w:rPr>
              <w:t>g</w:t>
            </w:r>
            <w:r w:rsidRPr="00984859">
              <w:rPr>
                <w:rFonts w:ascii="Arial" w:eastAsia="Times New Roman" w:hAnsi="Arial" w:cs="Arial"/>
                <w:sz w:val="15"/>
                <w:szCs w:val="15"/>
                <w:vertAlign w:val="superscript"/>
                <w:lang w:eastAsia="sr-Latn-RS"/>
              </w:rPr>
              <w:t>-1</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masa ispitivane supstance desorbovane iz zemljišta u vremenu 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masa ispitivane supstance desorbovane iz zemljišta za vreme ∆t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supstance analitički određena u tečnoj fazi pri ravnotežnom stanju desorpcije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masa ispitivane supstance desorbovana pri ravnotežnom stanju desorpcije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masa supstance koja ostaje adsorbovana na zemljištu nakon vremenskog intervala ∆t</w:t>
            </w:r>
            <w:r w:rsidRPr="00984859">
              <w:rPr>
                <w:rFonts w:ascii="Arial" w:eastAsia="Times New Roman" w:hAnsi="Arial" w:cs="Arial"/>
                <w:sz w:val="15"/>
                <w:szCs w:val="15"/>
                <w:vertAlign w:val="sub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ostatka supstance nakon dostizanja ravnotežnog stanja adsorpcije zbog nepotpune zamene zapremine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(eq)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ispitivane supstance koji je ostao adsorbovan na zemljište kod ravnotežnog stanja desorpcije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g/cm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(eq)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masena koncentracija ispitivane supstance u tečnoj fazi pri ravnotežnom stanju desorpcije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zapremina tečne faze u dodiru sa zemljištem u toku kinetike desorpcije, urađena rednom metodom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zapremina supernatanta uklonjenog iz epruvete (nakon uspostavljenog ravnotežnog stanja adsorpcije) i zamenjenog istom zapreminom 0,01 M rastvora CaCl</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a</w:t>
            </w:r>
            <w:r w:rsidRPr="00984859">
              <w:rPr>
                <w:rFonts w:ascii="Arial" w:eastAsia="Times New Roman" w:hAnsi="Arial" w:cs="Arial"/>
                <w:sz w:val="15"/>
                <w:szCs w:val="15"/>
                <w:vertAlign w:val="superscript"/>
                <w:lang w:eastAsia="sr-Latn-RS"/>
              </w:rPr>
              <w:t>D</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alikvota uzetih u analitičke svrhe u vremenu (i), u toku studija kinetike desorpcije urađene rednom metodom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w:t>
            </w:r>
            <w:r w:rsidRPr="00984859">
              <w:rPr>
                <w:rFonts w:ascii="Arial" w:eastAsia="Times New Roman" w:hAnsi="Arial" w:cs="Arial"/>
                <w:sz w:val="15"/>
                <w:szCs w:val="15"/>
                <w:vertAlign w:val="superscript"/>
                <w:lang w:eastAsia="sr-Latn-RS"/>
              </w:rPr>
              <w:t>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rastvora uzetog iz </w:t>
            </w:r>
            <w:r w:rsidRPr="00984859">
              <w:rPr>
                <w:rFonts w:ascii="Arial" w:eastAsia="Times New Roman" w:hAnsi="Arial" w:cs="Arial"/>
                <w:i/>
                <w:iCs/>
                <w:lang w:eastAsia="sr-Latn-RS"/>
              </w:rPr>
              <w:t>i</w:t>
            </w:r>
            <w:r w:rsidRPr="00984859">
              <w:rPr>
                <w:rFonts w:ascii="Arial" w:eastAsia="Times New Roman" w:hAnsi="Arial" w:cs="Arial"/>
                <w:lang w:eastAsia="sr-Latn-RS"/>
              </w:rPr>
              <w:t xml:space="preserve">-teepruvete za merenje ispitivane supstance, u studijama kinetike desorpcije (paralelna metoda)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w:t>
            </w:r>
            <w:r w:rsidRPr="00984859">
              <w:rPr>
                <w:rFonts w:ascii="Arial" w:eastAsia="Times New Roman" w:hAnsi="Arial" w:cs="Arial"/>
                <w:sz w:val="15"/>
                <w:szCs w:val="15"/>
                <w:vertAlign w:val="superscript"/>
                <w:lang w:eastAsia="sr-Latn-RS"/>
              </w:rPr>
              <w:t>F</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rastvora uzetog iz epruvete za merenje ispitivane supstance, u trenutku uspostavljanja ravnotežnog stanja desorpcije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MB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maseni balans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E</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masa ispitivane supstance ekstrahovana iz zemljišta i sa zidova posude za ispitivanje u dve etape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rec</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supernatanta uzetog nakon uspostavljanja ravnoteže adsorpcije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w:t>
            </w:r>
            <w:r w:rsidRPr="00984859">
              <w:rPr>
                <w:rFonts w:ascii="Arial" w:eastAsia="Times New Roman" w:hAnsi="Arial" w:cs="Arial"/>
                <w:sz w:val="15"/>
                <w:szCs w:val="15"/>
                <w:vertAlign w:val="subscript"/>
                <w:lang w:eastAsia="sr-Latn-RS"/>
              </w:rPr>
              <w:t>ow</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koeficijent raspodele u sistem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-oktanol/voda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pK</w:t>
            </w:r>
            <w:r w:rsidRPr="00984859">
              <w:rPr>
                <w:rFonts w:ascii="Arial" w:eastAsia="Times New Roman" w:hAnsi="Arial" w:cs="Arial"/>
                <w:sz w:val="15"/>
                <w:szCs w:val="15"/>
                <w:vertAlign w:val="subscript"/>
                <w:lang w:eastAsia="sr-Latn-RS"/>
              </w:rPr>
              <w:t>a</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konstanta disocijacije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w</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rastvorljivost u vodi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g/l </w:t>
            </w:r>
          </w:p>
        </w:tc>
      </w:tr>
    </w:tbl>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Poznata zapremina rastvora ispitivane supstance neobeležene ili obeležene radioizotopom i zastupljene u 0,01 M rastvoru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poznatim koncentracijama, dodaje se uzorcima zemljišta poznate suve mase, prethodno uravnoteženim u 0,01 M rastvoru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Smeša se dovoljno dugo protresa. Suspenzija zemljišta se zatim odvoji centrifugiranjem i ako se želi, filtracijom, a zatim se tečna faza podvrgava analizi. Količina ispitivane supstance adsorbovana na uzorak zemljišta, izračunava se kao razlika između količine ispitivane supstance koja se prvobitno nalazila u rastvoru i količine koja je ostala na kraju ispitivanja (indirektna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Moguće je i da se adsorbovana količina ispitivane supstance odredi direktno, analizom zemljišta (direktna metoda). Ovaj postupak, koji uključuje postepenu ekstrakciju zemljišta odgovarajućim rastvaračem, preporučuje se u slučajevima kada se razlika u koncentraciji ispitivane supstance u rastvoru ne može tačno odrediti. Primeri ovakvih slučajeva su: adsorpcija ispitivane supstance na površinu ispitivanih posuda, nestabilnost ispitivane supstance u vremenu potrebnom da se sprovede ispitivanje, slaba adsorpcija koja rezultira neznatnom promenom koncentracije ispitivane supstance u rastvoru, ili jaka adsorpcija, koja rezultira tako niskom koncentracijom ispitivane supstance u rastvoru da se ne može tačno odrediti. Ako se ispitivana supstanca obeleži radioizotopom, ekstrakciju zemljišta moguće je izbeći analizom čvrste faze, sagorevanjem i brojanjem pomoću tečnog scintilacionog brojača. Brojanje tečnim scintilacionim brojačem nespecifična je tehnika kojom se ne mogu razlikovati početne supstance od produkata transformacije; pa je koristiti isključivo ukoliko je ispitivana hemikalija stabilna u toku studije.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PODACI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Hemijski reagensi su analitičke čistoće. Preporučuje se upotreba neobeležene ispitivane supstance poznatog sastava i ako je moguće, hemijske čistoće od najmanje 95%, ili upotreba radioizotopom obeležene ispitivane supstance poznatog sastava i radiološke čistoće. Ako se koriste kratkoživeći radioizotopi, učiniti korekcije s obzirom na njihovo vreme poluraspada.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izvođenja ispitivanja adsorpcije/desorpcije potrebno je da budu dostupni sledeći podaci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vodi (videti Metodu A.6.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napon pare ispitivane supstance (videti Metodu A.4. koja je data u ovom pravilniku), odnosno Henrijeva konstanta;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abiotička razgradnja, odnosno hidroliza kao funkcija pH vrednosti (videti Metodu C.7. koja je data u ovom prilogu);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koeficijent raspodele u sistemu n-oktanol/voda (videti Metodu A.8.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brza biorazgradljivost (videti Metodu C.4. koja je data u ovom prilogu), odnosno aerobna i anaerobna transformacija u zemljištu;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pK</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supstanci podložnih jonizaciji;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direktna fotoliza u vodi (tj. UV-vis apsorpcioni spektar u vodi, kvantni doprinos) i fotorazgradnja na zemljištu.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1.6. PRIMENLJIVOST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ispitivanja je primenljiva za ispitivanje hemijskih supstanci za koje je dostupna analitička metoda zadovoljavajuće tačnosti. Važan parametar, koji može uticati na pouzdanost rezultata, posebno ako se koristi indirektna metoda, je stabilnost ispitivane supstance u vremenu potrebnom da se ispitivanje izvede. Kao preduslov za izvođenje ovakvog ispitivanja proveriti stabilnost ispitivane supstance u preliminarnoj studiji. Ako se primeti da je došlo do transformacije ispitivane supstance u vremenu potrebnom da se ispitivanje izvrši, preporučuje se da se glavno ispitivanje izvede tako da se analizira i čvrsta i tečna faza.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Teškoće se mogu javiti ako se ovom metodom ispituju supstance slabo rastvorljive u vodi (S</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 xml:space="preserve"> od 10 g/l do 4 g/l), kao i supstance visokog naboja i to zbog toga što se koncentracije ovakvih supstanci u tečnoj fazi ne mogu dovoljno tačno analitički izmeriti. U ovakvim slučajevima preduzeti dodatne korake. Uputstvo o tome kako rešiti ovakve probleme dato je u ovoj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ispituju isparljive supstance, preduzimaju se mere opreza kako bi se u toku studije izbegli gubici.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Aparatura i hemijski reagensi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Oprema za ispitivanje sadrži standardnu laboratorijsku aparaturu, a posebno: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kivete, odnosno posude u kojima će se izvesti ispitivanje i koje: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staju direktno u centrifugu kako bi se greške nastale prilikom rukovanja i prenošenja uzoraka svele na minimum;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su od inertnog materijala, čime se adsorpcija ispitivane supstance na njihove površine svodi na najmanju moguću meru;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uređaj za mešanje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dodatni vibracioni uređaj (shaker ili Vortex) ili ekvivalentna oprema (za vreme protresanja u uređaju zemljište ostaje suspendovano);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centrifugu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moguće velike brzine (npr. sile centrifugiranja &gt; 3000 g), termostatirana, sposobna da iz vodenog rastvora ukloni čestice prečnika većeg od 0,2 μm. Tokom protresanja i centrifugiranja posude za ispitivanje su zatvorene, da bi se izbeglo isparavanje i gubitak vode. Potrebno je upotrebiti deaktivirane čepove (npr. navojni čepovi od teflona) kako bi se adsorpcija na čepove svela na minimum;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uređaj za filtraciju (opciono)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filteri promera 0,2 µm, sterilni, za jednokratnu upotrebu. Posebnu pažnju posvetiti izboru materijala za filtere, kako bi se izbegli gubici ispitivane supstance na njima. Za slabo rastvorljive ispitivane supstance ne preporučuje se upotreba filtera od organskog materijala;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5) analitički uređaji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prikladni za merenje koncentracije ispitivane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laboratorijska sušnica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 stanju da održava temperaturu (termostat) od 103° C do 110° 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Karakterizacija i izbor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okarakterisati sa tri parametra za koje se smatra da su u velikoj meri odgovorni za adsorpcijski kapacitet: sadržajem organskog azota, ilovače, teksturom zemljišta i pH vrednošću. Kako je ranije napomenuto (videti odeljak 1.2. ove metode), na adsorpciju/desorpciju određene supstance utiču i druga fizička i hemijska svojstva, koja se u ovakvim slučajevima uzimaju u obzir.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Metode karakterizacije zemljišta od izuzetne su važnosti i mogu imati značajan uticaj na rezultate. Preporuka je da se pH zemljišta izmeri u 0,01 M rastvoru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(rastvor koji se koristi pri ispitivanju adsorpcije/desorpcije) u skladu sa odgovarajućom ISO metodom (ISO-10390-1). Ostala relevantna svojstva zemljišta preporučljivo je odrediti u skladu sa standardnim metodama (npr. ISO "Priručnik za analizu zemljišta"). Ovo omogućava da analiza podataka o adsorpciji u zemljištu bude bazirana na parametrima kvaliteta zemljišta standardizovanim na međunarodnom nivou. Neka uputstva i smernice u pogledu postojećih standardnih metoda analize zemljišta navedeni su u literaturi 50-52. Radi kalibracije metoda ispitivanja zemljišta preporučljivo je koristiti referentna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Smernice u pogledu izbora različitih tipova zemljišta za ispitivanje adsorpcije/desorpcije, date su u Tabeli 1. Sedam odabranih tipova zemljišta pokriva vrste zemljišta sa kojima se susreće u geografskim područjima umerenog klimatskog pojasa. Ako se ispituju supstance podložne jonizaciji, odabrani tipovi zemljišta pokrivaju širok opseg pH vrednosti, kako bi se vrednovala adsorpcija jonizovanog i nejonizovanog oblika supstance. Smernice u pogledu toga koliko različitih tipova zemljišta se koristi u različitim fazama ispitivanja, date su u odeljku 1.9.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prednost daje drugim vrstama zemljišta, bliže ih označiti istim parametrima kao i zemljišta navedena u Tabeli 1, čak i ako u potpunosti ne zadovoljavaju kriterijume. Varijabilnost njihovih svojstava je jednaka.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Smernice u pogledu izbora uzoraka zemljišta za ispitivanje adsorpcije/desorpcije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16"/>
        <w:gridCol w:w="1520"/>
        <w:gridCol w:w="2905"/>
        <w:gridCol w:w="1596"/>
        <w:gridCol w:w="2195"/>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Tip </w:t>
            </w:r>
            <w:r w:rsidRPr="00984859">
              <w:rPr>
                <w:rFonts w:ascii="Arial" w:eastAsia="Times New Roman" w:hAnsi="Arial" w:cs="Arial"/>
                <w:lang w:eastAsia="sr-Latn-RS"/>
              </w:rPr>
              <w:br/>
              <w:t xml:space="preserve">zemljišta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pH opseg </w:t>
            </w:r>
            <w:r w:rsidRPr="00984859">
              <w:rPr>
                <w:rFonts w:ascii="Arial" w:eastAsia="Times New Roman" w:hAnsi="Arial" w:cs="Arial"/>
                <w:lang w:eastAsia="sr-Latn-RS"/>
              </w:rPr>
              <w:br/>
              <w:t>(u 0,01 M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Sadržaj organskog ugljenika (%)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Sadržaj gline (%)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Tekstura zemljišta</w:t>
            </w:r>
            <w:r w:rsidRPr="00984859">
              <w:rPr>
                <w:rFonts w:ascii="Arial" w:eastAsia="Times New Roman" w:hAnsi="Arial" w:cs="Arial"/>
                <w:b/>
                <w:bCs/>
                <w:sz w:val="15"/>
                <w:szCs w:val="15"/>
                <w:vertAlign w:val="superscript"/>
                <w:lang w:eastAsia="sr-Latn-RS"/>
              </w:rPr>
              <w:t>XVIII</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4,5-5,5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65-80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glina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glinovita ilovača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5,5-7,0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muljevita ilovača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ilovača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&lt; 4,0 - 6,0</w:t>
            </w:r>
            <w:r w:rsidRPr="00984859">
              <w:rPr>
                <w:rFonts w:ascii="Arial" w:eastAsia="Times New Roman" w:hAnsi="Arial" w:cs="Arial"/>
                <w:b/>
                <w:bCs/>
                <w:sz w:val="15"/>
                <w:szCs w:val="15"/>
                <w:vertAlign w:val="superscript"/>
                <w:lang w:eastAsia="sr-Latn-RS"/>
              </w:rPr>
              <w:t xml:space="preserve">73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&lt; 0,5-1,5</w:t>
            </w:r>
            <w:r w:rsidRPr="00984859">
              <w:rPr>
                <w:rFonts w:ascii="Arial" w:eastAsia="Times New Roman" w:hAnsi="Arial" w:cs="Arial"/>
                <w:b/>
                <w:bCs/>
                <w:sz w:val="15"/>
                <w:szCs w:val="15"/>
                <w:vertAlign w:val="superscript"/>
                <w:lang w:eastAsia="sr-Latn-RS"/>
              </w:rPr>
              <w:t>XVII,XX</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&lt; 10-15</w:t>
            </w:r>
            <w:r w:rsidRPr="00984859">
              <w:rPr>
                <w:rFonts w:ascii="Arial" w:eastAsia="Times New Roman" w:hAnsi="Arial" w:cs="Arial"/>
                <w:b/>
                <w:bCs/>
                <w:sz w:val="15"/>
                <w:szCs w:val="15"/>
                <w:vertAlign w:val="superscript"/>
                <w:lang w:eastAsia="sr-Latn-RS"/>
              </w:rPr>
              <w:t>XVI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ilovačasti pesak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7,0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&lt; 0,5-1,0</w:t>
            </w:r>
            <w:r w:rsidRPr="00984859">
              <w:rPr>
                <w:rFonts w:ascii="Arial" w:eastAsia="Times New Roman" w:hAnsi="Arial" w:cs="Arial"/>
                <w:b/>
                <w:bCs/>
                <w:sz w:val="15"/>
                <w:szCs w:val="15"/>
                <w:vertAlign w:val="superscript"/>
                <w:lang w:eastAsia="sr-Latn-RS"/>
              </w:rPr>
              <w:t>XVII,XVIII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40-65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glinovita ilovača/ glina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&gt; 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&lt; 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pesak / ilovačasti pesak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XVIII</w:t>
      </w:r>
      <w:r w:rsidRPr="00984859">
        <w:rPr>
          <w:rFonts w:ascii="Arial" w:eastAsia="Times New Roman" w:hAnsi="Arial" w:cs="Arial"/>
          <w:lang w:eastAsia="sr-Latn-RS"/>
        </w:rPr>
        <w:t xml:space="preserve"> Prema FAO i US sistemu</w:t>
      </w:r>
      <w:r w:rsidRPr="00984859">
        <w:rPr>
          <w:rFonts w:ascii="Arial" w:eastAsia="Times New Roman" w:hAnsi="Arial" w:cs="Arial"/>
          <w:b/>
          <w:bCs/>
          <w:sz w:val="15"/>
          <w:szCs w:val="15"/>
          <w:vertAlign w:val="superscript"/>
          <w:lang w:eastAsia="sr-Latn-RS"/>
        </w:rPr>
        <w:t>85</w:t>
      </w:r>
      <w:r w:rsidRPr="00984859">
        <w:rPr>
          <w:rFonts w:ascii="Arial" w:eastAsia="Times New Roman" w:hAnsi="Arial" w:cs="Arial"/>
          <w:lang w:eastAsia="sr-Latn-RS"/>
        </w:rPr>
        <w:t>.</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XIX</w:t>
      </w:r>
      <w:r w:rsidRPr="00984859">
        <w:rPr>
          <w:rFonts w:ascii="Arial" w:eastAsia="Times New Roman" w:hAnsi="Arial" w:cs="Arial"/>
          <w:lang w:eastAsia="sr-Latn-RS"/>
        </w:rPr>
        <w:t xml:space="preserve"> Promenljive bi trebale pokazivati vrednosti unutar datog opsega. Ako se pojave poteškoće u nalaženju odgovarajućeg zemljišnog materijala, prihvatljive su vrednosti ispod navedenog minimuma.</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w:t>
      </w:r>
      <w:r w:rsidRPr="00984859">
        <w:rPr>
          <w:rFonts w:ascii="Arial" w:eastAsia="Times New Roman" w:hAnsi="Arial" w:cs="Arial"/>
          <w:lang w:eastAsia="sr-Latn-RS"/>
        </w:rPr>
        <w:t xml:space="preserve"> Zemljišta sa udelom organskog ugljenika manjim od 0,3% mogu smetati u korelaciji između sadržaja organske materije i adsorpcije. Zbog toga se preporučuje upotreba zemljišta sa sadržajem organskog ugljenika od 0,3%.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1.7.3. Sakupljanje i čuvanje uzoraka zemljišta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1.7.3.1. Sakupljanje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preporučuje se upotreba posebne tehnike ni alata za uzimanje uzorka zemljišta. Tehnika zavisi od cilja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Uzeti u obzir: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 je potrebno raspolagati detaljnim podacima o terenskom lokalitetu. Ovo uključuje lokaciju, biljni pokrivač, tretmane pesticidima, odnosno đubrivima, biološke dodatke i slučajno zagađenje. U pogledu opisa lokaliteta sa koga se uzimaju uzorci, potrebno je pridržavati se preporuka sadržanih u ISO-standardu za uzimanje uzoraka zemljišta (ISO 10381-6);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da se lokalitet sa kojeg se uzimaju uzorci definiše pomoću UTM mreže (Universal Transversal Mercator-Projection/ European Horizontal Datum), ili geografskih koordinata. Ovo može omogućiti da se uzorak zemljišta ubuduće ponovo uzme sa istog lokaliteta, ili može pomoći da se zemljište definiše u različitim klasifikacionim sistemima, korišćenim u različitim zemljama. Uzorke zemljišta prikupljati isključivo iz horizonta A, na dubini do najviše 20 cm, naročito ako se radi o zemljištu tipa broj 7. Ako u zemljištu kao integralni deo postoji sloj O</w:t>
      </w:r>
      <w:r w:rsidRPr="00984859">
        <w:rPr>
          <w:rFonts w:ascii="Arial" w:eastAsia="Times New Roman" w:hAnsi="Arial" w:cs="Arial"/>
          <w:sz w:val="15"/>
          <w:szCs w:val="15"/>
          <w:vertAlign w:val="subscript"/>
          <w:lang w:eastAsia="sr-Latn-RS"/>
        </w:rPr>
        <w:t>h</w:t>
      </w:r>
      <w:r w:rsidRPr="00984859">
        <w:rPr>
          <w:rFonts w:ascii="Arial" w:eastAsia="Times New Roman" w:hAnsi="Arial" w:cs="Arial"/>
          <w:lang w:eastAsia="sr-Latn-RS"/>
        </w:rPr>
        <w:t xml:space="preserve">, uzorak uzeti i iz ovog horizonta.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Uzorke tla prevesti u kontejnerima i pod temperaturnim uslovima koji obezbeđuju da se prvobitna svojstva zemljišta neće značajno promeniti.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1.7.3.2. Skladištenje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Prednost se daje upotrebi uzoraka zemljišta neposredno uzetih sa terena. Samo u slučaju kada to nije moguće, uzorci zemljišta skladište se na ambijentalnoj temperaturi, s tim da se spreči isušivanje na vazduhu. Preporuka u pogledu ograničenja trajanja skladištenja nema, ali se uzorci zemljišta skladišteni duže od tri godine pre upotrebe ponovo analiziraju, kako bi se utvrdio sadržaj ugljenika, pH i CEC.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1.7.3.3. Rukovanje uzorcima zemljišta i njihova priprema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Uzorke zemljišta osušiti na vazduhu, na ambijentalnoj temperaturi (ako je moguće između 20° C i 25° C). Uzorke zemljišta nežno rastresti, primenom najmanje moguće sile, da se što je manje moguće promeni izvorna tekstura zemljišta. Uzorci zemljišta se prosejavaju do čestica veličine ≤ 2 mm. Kod procesa prosejavanja, pridržavati se preporuka sadržanih u ISO standardu za uzimanje uzoraka zemljišta (ISO 10381-6). Preporučuje se da se uzorci pažljivo homogenizuju, jer to poboljšava ponovljivost rezultata. Sadržaj vlage u svakom tipu zemljišta određuje se u tri alikvota, sušenjem na 105 °C dovoljno dugo dok značajne promene u težini više nema (oko 12 sati). U svim izračunavanjima pojam mase zemljišta odnosi se na u sušilici postignutu suvu masu, tj. na težinu zemljišta korigovanu u odnosu na sadržaj vlage.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1.7.4. Priprema ispitivane supstance za nanošenje na zemljište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Ispitivana supstanca se rastvori u 0,01 M rastvoru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destilovanoj ili dejonizovanoj vodi. Da bi se centrifugiranje poboljšalo, a izmena katjona svela na najmanju moguću meru, rastvor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se koristi kao tečna faza rastvarača. Koncentracija osnovnog rastvora je, ako je moguće, tri reda veličine veća od granice detekcije upotrebljene analitičke metode. Ovakav prag obezbeđuje tačnost merenja metodologijom uobičajenom za ovu metodu ispitivanja. Koncentracija osnovnog rastvora je niža od rastvorljivosti ispitivane supstance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rastvor, ako je moguće, pripremiti neposredno pre nanošenja na uzorke zemljišta i čuvati zatvoren u mraku na temperaturi od 4 °C. Trajanje skladištenja zavisi od stabilnosti ispitivane supstance i njene koncentracije u rastvoru.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Samo kod teško rastvorljivih supstanci (S</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&lt; 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g/l) može se ukazati potreba za upotrebom adekvatnog sredstva koje olakšava rastvaranje ispitivane supstance. Ovo sredstvo: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se meša sa vodom, kao što je to slučaj kod metanola ili acetonitrila,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njegova koncentracija ne prelazi 1% ukupne zapremine osnovnog rastvora, a udeo je manji od onoga u rastvoru ispitivane supstance koja dolazi u dodir sa zemljištem (ako je moguće manji 0,1%)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nije surfaktant, niti podleže solvolitičkim reakcijama sa ispitivanom hemikalijom.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navesti i opravdati upotrebu sredstva koje olakšava rastvaranje.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Druga mogućnost, koja stoji na raspolaganju kada su u pitanju teško rastvorljive supstance, je da se u sistem za ispitivanje supstanca doda režimom pulsacije. Ispitivana supstanca se rastvori u organskom rastvaraču, a potom se alikvot tog rastvora doda u sistem zemljišta i 0,01 M rastvor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destilovanoj ili dejonizovanoj vodi. Udeo organskog rastvarača u tečnoj fazi održavati što je moguće manjim, u uobičajenim okolnostima ne višim od 0,1%. Problem koji se pri ovakvom načinu rada može javiti jeste nemogućnost da se pri sledećem dodavanju ponovno doda ista zapremina. Ovakvo dodavanje ispitivane supstance iz organskog rastvora može dovesti do dodatne greške, zbog toga što se može desiti da koncentracije ispitivane supstance i dodatnog rastvarača u svim ispitivanjima ne budu iste.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PREDUSLOVI ZA PRIMENU METODE ISPITIVANJA ADSORPCIJE/DESORPCIJE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Analitička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ključne parametre koji mogu uticati na tačnost merenja adsorpcije spadaju: tačnost analitičke metode upotrebljene za analizu rastvora i za analizu adsorbovane faze; stabilnost i hemijska čistoća ispitivane supstance; postizanje adsorpcione ravnoteže; veličina promena u koncentraciji rastvora, odnos zemljišta i rastvora, kao i promene u strukturi zemljišta do kojih je došlo u toku procesa dostizanja ravnoteže</w:t>
      </w:r>
      <w:r w:rsidRPr="00984859">
        <w:rPr>
          <w:rFonts w:ascii="Arial" w:eastAsia="Times New Roman" w:hAnsi="Arial" w:cs="Arial"/>
          <w:b/>
          <w:bCs/>
          <w:sz w:val="15"/>
          <w:szCs w:val="15"/>
          <w:vertAlign w:val="superscript"/>
          <w:lang w:eastAsia="sr-Latn-RS"/>
        </w:rPr>
        <w:t>35,59,60,61,62</w:t>
      </w:r>
      <w:r w:rsidRPr="00984859">
        <w:rPr>
          <w:rFonts w:ascii="Arial" w:eastAsia="Times New Roman" w:hAnsi="Arial" w:cs="Arial"/>
          <w:lang w:eastAsia="sr-Latn-RS"/>
        </w:rPr>
        <w:t xml:space="preserve">. Primeri u kojima se daju podaci o tačnosti, navedeni su u Delu drugom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Pouzdanost upotrebljene analitičke metode proveriti u opsegu koncentracija za koji je verovatno da će biti primenjen u ispitivanju. Lice koje izvodi ispitivanje ima slobodu da razvije adekvatnu metodu, zadovoljavajuće tačnosti, preciznosti, ponovljivosti, granica detekcije i efikasnosti. Smernice kako izvesti ovakvo ispitivanje navedene su u ovoj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Adekvatna zapremina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npr. 100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protrese se u toku 4 sata sa nešto zemljišta, npr. 20 g zemljišta visoke moći adsorpcije, tj. visokog sadržaja ugljenika i ilovače. U zavisnosti od analitičkih potreba, ove težine i zapremine mogu varirati, ali primerenu ishodišnu tačku čini odnos zemljišta i rastvora od 1:5. Smeša se centrifugira, a tečna faza se može i filtrirati. Kako bi se postiglo da nominalna koncentracija ispitivane supstance bude unutar opsega koncentracija za koji je verovatno da će u toku ispitivanja biti aktuelan, u tečnu fazu se dodaje izvesna zapremina osnovnog rastvora ispitivane supstance. Ova zapremina ne sme prelaziti 10% konačne zapremine tečne faze, kako bi promena prirode rastvora kojom se raspolaže pre postizanja ravnotežnog stanja, bila što manja. Nakon toga rastvor se analizira.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proverilo da li u analitičkoj metodi postoje artefakti, kao i za efekte matriksa uzrokovanog zemljišta, potrebno je ispitati i jedan kontrolni uzorak, koji se sastoji od sistema zemljišta i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(bez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analitičke metode koje se mogu upotrebiti za merenja sorpcije, spadaju gasno-tečna hromatografija (</w:t>
      </w:r>
      <w:r w:rsidRPr="00984859">
        <w:rPr>
          <w:rFonts w:ascii="Arial" w:eastAsia="Times New Roman" w:hAnsi="Arial" w:cs="Arial"/>
          <w:i/>
          <w:iCs/>
          <w:lang w:eastAsia="sr-Latn-RS"/>
        </w:rPr>
        <w:t>gas-liquid chromatography</w:t>
      </w:r>
      <w:r w:rsidRPr="00984859">
        <w:rPr>
          <w:rFonts w:ascii="Arial" w:eastAsia="Times New Roman" w:hAnsi="Arial" w:cs="Arial"/>
          <w:lang w:eastAsia="sr-Latn-RS"/>
        </w:rPr>
        <w:t>, u daljem tekstu: GLC), tečna hromatografija visokih performansi (</w:t>
      </w:r>
      <w:r w:rsidRPr="00984859">
        <w:rPr>
          <w:rFonts w:ascii="Arial" w:eastAsia="Times New Roman" w:hAnsi="Arial" w:cs="Arial"/>
          <w:i/>
          <w:iCs/>
          <w:lang w:eastAsia="sr-Latn-RS"/>
        </w:rPr>
        <w:t>high-performance liquid chromatography</w:t>
      </w:r>
      <w:r w:rsidRPr="00984859">
        <w:rPr>
          <w:rFonts w:ascii="Arial" w:eastAsia="Times New Roman" w:hAnsi="Arial" w:cs="Arial"/>
          <w:lang w:eastAsia="sr-Latn-RS"/>
        </w:rPr>
        <w:t xml:space="preserve">, u daljem tekstu: HPLC), spektrometrija (npr. GC/masena spektrometrija, HPLC/masena spektrometrija) i brojanje pomoću tečnih scintilacionih brojača (kod ispitivanja supstanci obleženim radioizotopom). Nezavisno od analitičke metode koja se upotrebi, zadovoljavajuća efikasnost analitičke tehnike je potrebno da bude između 90% i 110% nominalne vrednosti. Da bi detekcija i vrednovanje usledili nakon raspodele, granice detekcije upotrebljene analitičke metode su najmanje dva reda veličine niže od nominalne koncentracije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Svojstva i granice detekcije analitičke metode odabrane za proučavanje adsorpcije imaju važnu ulogu u definisanju ispitivanja uslova, kao i u celokupnoj postavci. Ova metoda sledi opšti tok ispitivanja i daje preporuke i smernice za alternativna rešenja kojima se pribegava u slučajevima kada analitička metoda i opremljenost laboratorije mogu nametnuti izvesna ograničenja.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Izbor optimalnog odnosa zemljište/rastvor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Izbor odnosa zemljišta i rastvora primerenih za izučavanje sorpcije zavisi od koeficijenta raspodele Kd, kao i od toga koji se relativni stepen adsorpcije želi postići. S obzirom na oblik jednačine adsorpcije i domet analitičke metodologije, pri određivanju koncentracije hemikalije u rastvoru, statističku tačnost merenja određuje promena te koncentracije. Stoga je u rutinskoj praksi korisno uspostaviti nekoliko fiksnih odnosa, pri kojima je procenat adsorpcije viši od 20%, a ako je moguće i viši od 50%</w:t>
      </w:r>
      <w:r w:rsidRPr="00984859">
        <w:rPr>
          <w:rFonts w:ascii="Arial" w:eastAsia="Times New Roman" w:hAnsi="Arial" w:cs="Arial"/>
          <w:b/>
          <w:bCs/>
          <w:sz w:val="15"/>
          <w:szCs w:val="15"/>
          <w:vertAlign w:val="superscript"/>
          <w:lang w:eastAsia="sr-Latn-RS"/>
        </w:rPr>
        <w:t>62</w:t>
      </w:r>
      <w:r w:rsidRPr="00984859">
        <w:rPr>
          <w:rFonts w:ascii="Arial" w:eastAsia="Times New Roman" w:hAnsi="Arial" w:cs="Arial"/>
          <w:lang w:eastAsia="sr-Latn-RS"/>
        </w:rPr>
        <w:t xml:space="preserve">, pri čemu paziti da se koncentracija ispitivane supstance u tečnoj fazi održava dovoljno visokom da se može tačno izmeriti. Ovo je naročito važno u slučaju kada se adsorpcija zbiva u visokim procentima.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Praktičan pristup izboru dobrog odnosa zemljište/voda utemeljen je na utvrđivanju Kd vrednosti preliminarnim studijama ili utvrđenim tehnikama (videti Deo četvrti ove metode). Adekvatan odnos može se odabrati na osnovu krive na kojoj je, za fiksne procente adsorpcije, odnos zemljišta i rastvora prikazan u odnosu na Kd (Slika 1). Ova kriva se bazira na pretpostavci da je jednačina adsorpcije linearna</w:t>
      </w:r>
      <w:r w:rsidRPr="00984859">
        <w:rPr>
          <w:rFonts w:ascii="Arial" w:eastAsia="Times New Roman" w:hAnsi="Arial" w:cs="Arial"/>
          <w:b/>
          <w:bCs/>
          <w:sz w:val="15"/>
          <w:szCs w:val="15"/>
          <w:vertAlign w:val="superscript"/>
          <w:lang w:eastAsia="sr-Latn-RS"/>
        </w:rPr>
        <w:t>XXI</w:t>
      </w:r>
      <w:r w:rsidRPr="00984859">
        <w:rPr>
          <w:rFonts w:ascii="Arial" w:eastAsia="Times New Roman" w:hAnsi="Arial" w:cs="Arial"/>
          <w:lang w:eastAsia="sr-Latn-RS"/>
        </w:rPr>
        <w:t>. Primenljiv odnos se dobija prepravkom jednačine [4] od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u oblik jednačine[1]: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28"/>
        <w:gridCol w:w="170"/>
        <w:gridCol w:w="210"/>
        <w:gridCol w:w="1245"/>
        <w:gridCol w:w="235"/>
        <w:gridCol w:w="270"/>
        <w:gridCol w:w="1432"/>
        <w:gridCol w:w="5022"/>
      </w:tblGrid>
      <w:tr w:rsidR="00984859" w:rsidRPr="00984859" w:rsidTr="00984859">
        <w:trPr>
          <w:tblCellSpacing w:w="0" w:type="dxa"/>
        </w:trPr>
        <w:tc>
          <w:tcPr>
            <w:tcW w:w="70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8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w:t>
            </w:r>
          </w:p>
        </w:tc>
        <w:tc>
          <w:tcPr>
            <w:tcW w:w="16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104775" cy="657225"/>
                  <wp:effectExtent l="0" t="0" r="9525" b="9525"/>
                  <wp:docPr id="152" name="Picture 152" descr="C:\Program Files (x86)\ParagrafLex\browser\Files\Old\t\t2013_12\t12_0570_s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Program Files (x86)\ParagrafLex\browser\Files\Old\t\t2013_12\t12_0570_s08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657225"/>
                          </a:xfrm>
                          <a:prstGeom prst="rect">
                            <a:avLst/>
                          </a:prstGeom>
                          <a:noFill/>
                          <a:ln>
                            <a:noFill/>
                          </a:ln>
                        </pic:spPr>
                      </pic:pic>
                    </a:graphicData>
                  </a:graphic>
                </wp:inline>
              </w:drawing>
            </w:r>
          </w:p>
        </w:tc>
        <w:tc>
          <w:tcPr>
            <w:tcW w:w="124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31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w:t>
            </w:r>
          </w:p>
        </w:tc>
        <w:tc>
          <w:tcPr>
            <w:tcW w:w="22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142875" cy="638175"/>
                  <wp:effectExtent l="0" t="0" r="9525" b="9525"/>
                  <wp:docPr id="151" name="Picture 151" descr="C:\Program Files (x86)\ParagrafLex\browser\Files\Old\t\t2013_12\t12_0570_s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Program Files (x86)\ParagrafLex\browser\Files\Old\t\t2013_12\t12_0570_s089.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638175"/>
                          </a:xfrm>
                          <a:prstGeom prst="rect">
                            <a:avLst/>
                          </a:prstGeom>
                          <a:noFill/>
                          <a:ln>
                            <a:noFill/>
                          </a:ln>
                        </pic:spPr>
                      </pic:pic>
                    </a:graphicData>
                  </a:graphic>
                </wp:inline>
              </w:drawing>
            </w:r>
          </w:p>
        </w:tc>
        <w:tc>
          <w:tcPr>
            <w:tcW w:w="259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w:t>
            </w:r>
          </w:p>
        </w:tc>
        <w:tc>
          <w:tcPr>
            <w:tcW w:w="960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1</w:t>
            </w:r>
            <w:r w:rsidRPr="00984859">
              <w:rPr>
                <w:rFonts w:ascii="Symbol" w:eastAsia="Times New Roman" w:hAnsi="Symbol" w:cs="Arial"/>
                <w:lang w:eastAsia="sr-Latn-RS"/>
              </w:rPr>
              <w:t></w:t>
            </w:r>
          </w:p>
        </w:tc>
      </w:tr>
      <w:tr w:rsidR="00984859" w:rsidRPr="00984859" w:rsidTr="00984859">
        <w:trPr>
          <w:tblCellSpacing w:w="0" w:type="dxa"/>
        </w:trPr>
        <w:tc>
          <w:tcPr>
            <w:tcW w:w="70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24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o</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70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soi</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245" w:type="dxa"/>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70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24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899"/>
        <w:gridCol w:w="429"/>
        <w:gridCol w:w="2784"/>
      </w:tblGrid>
      <w:tr w:rsidR="00984859" w:rsidRPr="00984859" w:rsidTr="00984859">
        <w:trPr>
          <w:tblCellSpacing w:w="0" w:type="dxa"/>
        </w:trPr>
        <w:tc>
          <w:tcPr>
            <w:tcW w:w="19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u njenom logaritamskom obliku, uz pretpostavku da je R = </w:t>
            </w:r>
          </w:p>
        </w:tc>
        <w:tc>
          <w:tcPr>
            <w:tcW w:w="3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 </w:t>
            </w:r>
            <w:r w:rsidRPr="00984859">
              <w:rPr>
                <w:rFonts w:ascii="Arial" w:eastAsia="Times New Roman" w:hAnsi="Arial" w:cs="Arial"/>
                <w:sz w:val="15"/>
                <w:szCs w:val="15"/>
                <w:vertAlign w:val="subscript"/>
                <w:lang w:eastAsia="sr-Latn-RS"/>
              </w:rPr>
              <w:lastRenderedPageBreak/>
              <w:t>zemljišta</w:t>
            </w:r>
          </w:p>
        </w:tc>
        <w:tc>
          <w:tcPr>
            <w:tcW w:w="27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39"/>
        <w:gridCol w:w="242"/>
        <w:gridCol w:w="1585"/>
        <w:gridCol w:w="6546"/>
      </w:tblGrid>
      <w:tr w:rsidR="00984859" w:rsidRPr="00984859" w:rsidTr="00984859">
        <w:trPr>
          <w:tblCellSpacing w:w="0" w:type="dxa"/>
        </w:trPr>
        <w:tc>
          <w:tcPr>
            <w:tcW w:w="103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eq</w:t>
            </w:r>
            <w:r w:rsidRPr="00984859">
              <w:rPr>
                <w:rFonts w:ascii="Arial" w:eastAsia="Times New Roman" w:hAnsi="Arial" w:cs="Arial"/>
                <w:lang w:eastAsia="sr-Latn-RS"/>
              </w:rPr>
              <w:t xml:space="preserve"> % </w:t>
            </w:r>
          </w:p>
        </w:tc>
        <w:tc>
          <w:tcPr>
            <w:tcW w:w="315" w:type="dxa"/>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1575"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1222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t>
            </w:r>
          </w:p>
        </w:tc>
      </w:tr>
      <w:tr w:rsidR="00984859" w:rsidRPr="00984859" w:rsidTr="00984859">
        <w:trPr>
          <w:tblCellSpacing w:w="0" w:type="dxa"/>
        </w:trPr>
        <w:tc>
          <w:tcPr>
            <w:tcW w:w="103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57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07"/>
        <w:gridCol w:w="112"/>
        <w:gridCol w:w="2160"/>
        <w:gridCol w:w="657"/>
        <w:gridCol w:w="4976"/>
      </w:tblGrid>
      <w:tr w:rsidR="00984859" w:rsidRPr="00984859" w:rsidTr="00984859">
        <w:trPr>
          <w:tblCellSpacing w:w="0" w:type="dxa"/>
        </w:trPr>
        <w:tc>
          <w:tcPr>
            <w:tcW w:w="207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 R = - log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log </w:t>
            </w:r>
          </w:p>
        </w:tc>
        <w:tc>
          <w:tcPr>
            <w:tcW w:w="12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p>
        </w:tc>
        <w:tc>
          <w:tcPr>
            <w:tcW w:w="216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eq</w:t>
            </w:r>
            <w:r w:rsidRPr="00984859">
              <w:rPr>
                <w:rFonts w:ascii="Arial" w:eastAsia="Times New Roman" w:hAnsi="Arial" w:cs="Arial"/>
                <w:lang w:eastAsia="sr-Latn-RS"/>
              </w:rPr>
              <w:t xml:space="preserve"> %/100) </w:t>
            </w:r>
          </w:p>
        </w:tc>
        <w:tc>
          <w:tcPr>
            <w:tcW w:w="120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p>
        </w:tc>
        <w:tc>
          <w:tcPr>
            <w:tcW w:w="957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2</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2160" w:type="dxa"/>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1 - A</w:t>
            </w:r>
            <w:r w:rsidRPr="00984859">
              <w:rPr>
                <w:rFonts w:ascii="Arial" w:eastAsia="Times New Roman" w:hAnsi="Arial" w:cs="Arial"/>
                <w:sz w:val="15"/>
                <w:szCs w:val="15"/>
                <w:vertAlign w:val="subscript"/>
                <w:lang w:eastAsia="sr-Latn-RS"/>
              </w:rPr>
              <w:t>eq</w:t>
            </w:r>
            <w:r w:rsidRPr="00984859">
              <w:rPr>
                <w:rFonts w:ascii="Arial" w:eastAsia="Times New Roman" w:hAnsi="Arial" w:cs="Arial"/>
                <w:lang w:eastAsia="sr-Latn-RS"/>
              </w:rPr>
              <w:t xml:space="preserve">%/100)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Slika 1: Odnos zemljišta i rastvora i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pri različitim procentima adsorpcije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743575" cy="3552825"/>
            <wp:effectExtent l="0" t="0" r="9525" b="9525"/>
            <wp:docPr id="150" name="Picture 150" descr="C:\Program Files (x86)\ParagrafLex\browser\Files\Old\t\t2013_12\t12_0570_s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Program Files (x86)\ParagrafLex\browser\Files\Old\t\t2013_12\t12_0570_s107.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43575" cy="35528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b/>
          <w:bCs/>
          <w:lang w:eastAsia="sr-Latn-RS"/>
        </w:rPr>
        <w:t>Koeficijent raspodele K</w:t>
      </w:r>
      <w:r w:rsidRPr="00984859">
        <w:rPr>
          <w:rFonts w:ascii="Arial" w:eastAsia="Times New Roman" w:hAnsi="Arial" w:cs="Arial"/>
          <w:b/>
          <w:bCs/>
          <w:sz w:val="15"/>
          <w:szCs w:val="15"/>
          <w:vertAlign w:val="subscript"/>
          <w:lang w:eastAsia="sr-Latn-RS"/>
        </w:rPr>
        <w:t>d</w:t>
      </w:r>
      <w:r w:rsidRPr="00984859">
        <w:rPr>
          <w:rFonts w:ascii="Arial" w:eastAsia="Times New Roman" w:hAnsi="Arial" w:cs="Arial"/>
          <w:b/>
          <w:bCs/>
          <w:lang w:eastAsia="sr-Latn-RS"/>
        </w:rPr>
        <w:t xml:space="preserve"> (cm</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b/>
          <w:bCs/>
          <w:lang w:eastAsia="sr-Latn-RS"/>
        </w:rPr>
        <w:t xml:space="preserve"> g</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b/>
          <w:bCs/>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Potrebni odnosi količina zemljišta i rastvora prikazani su na Slici 1 kao funkcija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i to pri različitim nivoima adsorpcije. Na primer, pri odnosu zemljišta i rastvora od 1:5 i vrednosti Kd od 20, adsorbovaće se približno 80% ispitivane supstance. Da bi se pri istom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dobila adsorpcija od 50%, potrebno je upotrebiti odnos od 1:25. Ovaj pristup izboru pogodnih odnosa zemljišta i rastvora istraživaču omogućuje fleksibilnost potrebnu da zadovolji zahteve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Problem koji je teže rešiv odnosi se na situaciju kada se hemikalija izuzetno dobro ili neznatno adsorbuje. Kad je adsorpcija slaba, preporučuje se upotreba odnosa zemljišta i rastvora od 1:1, iako kada su u pitanju neke izrazito organske vrste zemljišta, dobijanje žitkog, gustog rastvora može iziskivati i manje razmere. Pažnju usmeriti na to da izabranom analitičkom metodologijom bude moguće izmeriti male promene u koncentraciji rastvora. U suprotnom bi merenje adsorpcije bilo netačno. Kako bi u rastvoru ostala značajna količina hemikalije, pri vrlo visokim koeficijentima raspodele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odnos zemljišta i rastvora može doći i do 1:100. Treba obezbediti dobro mešanje zemljišta i rastvora i da se sistemu ostavi odgovarajuće vreme da se uravnoteži. Alternativni pristup tome kako se nositi sa ovakvim ekstremnim slučajevima, za koje nema odgovarajuće metodologije, je da se vrednost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predvidi primenom tehnika procene baziranim, npr. na vrednostima Kow (videti Deo četvrti </w:t>
      </w:r>
      <w:r w:rsidRPr="00984859">
        <w:rPr>
          <w:rFonts w:ascii="Arial" w:eastAsia="Times New Roman" w:hAnsi="Arial" w:cs="Arial"/>
          <w:lang w:eastAsia="sr-Latn-RS"/>
        </w:rPr>
        <w:lastRenderedPageBreak/>
        <w:t>ove metode). Ovo može biti korisno ako se ispituju neznatno adsorbovane/polarne hemikalije, čiji je K</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&lt; 20 kao i lipofilne/visokosorptivne hemikalije čija K</w:t>
      </w:r>
      <w:r w:rsidRPr="00984859">
        <w:rPr>
          <w:rFonts w:ascii="Arial" w:eastAsia="Times New Roman" w:hAnsi="Arial" w:cs="Arial"/>
          <w:sz w:val="15"/>
          <w:szCs w:val="15"/>
          <w:vertAlign w:val="subscript"/>
          <w:lang w:eastAsia="sr-Latn-RS"/>
        </w:rPr>
        <w:t xml:space="preserve">ow </w:t>
      </w:r>
      <w:r w:rsidRPr="00984859">
        <w:rPr>
          <w:rFonts w:ascii="Arial" w:eastAsia="Times New Roman" w:hAnsi="Arial" w:cs="Arial"/>
          <w:lang w:eastAsia="sr-Latn-RS"/>
        </w:rPr>
        <w:t xml:space="preserve">iznosi &gt; 104.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XXI </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(eq) =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x C</w:t>
      </w:r>
      <w:r w:rsidRPr="00984859">
        <w:rPr>
          <w:rFonts w:ascii="Arial" w:eastAsia="Times New Roman" w:hAnsi="Arial" w:cs="Arial"/>
          <w:sz w:val="15"/>
          <w:szCs w:val="15"/>
          <w:vertAlign w:val="subscript"/>
          <w:lang w:eastAsia="sr-Latn-RS"/>
        </w:rPr>
        <w:t>adads</w:t>
      </w:r>
      <w:r w:rsidRPr="00984859">
        <w:rPr>
          <w:rFonts w:ascii="Arial" w:eastAsia="Times New Roman" w:hAnsi="Arial" w:cs="Arial"/>
          <w:lang w:eastAsia="sr-Latn-RS"/>
        </w:rPr>
        <w:t xml:space="preserve">(eq)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 IZVOĐENJE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1.9.1. Uslovi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Ispitivanja se izvode na ambijentalnoj temperaturi, ako je moguće konstantnoj, u opsegu između 20° C i 25° 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Uslovi pod kojima se centrifugira omogućavaju da se iz rastvora odstrane čestice veće od 0,2 μm. Ova donja granična vrednost izabrana je ciljano, jer odgovara prečniku najmanje čestice koja se smatra čvrstom i predstavlja granicu između čvrstih i koloidnih čestica. Smernice o tome kako odrediti uslove pod kojima će se centrifugirati dati su u Delu petom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raspoloživa oprema za centrifugiranje ne može garantovati odstranjivanje čestica većih od 0,2 μm, primenjuje se kombinacija centrifugiranja i filtracije. Da bi se izbegli gubici ispitivane supstance bilo koje vrste, ovi filtri su od prikladnog inertnog materijala. Potrebno je dokazati da u toku filtracije nije došlo ni do kakvih gubitaka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1.9.2. Etapa 1: preliminarna studija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preliminarne studije već je naveden u odeljku 1.2. ove metode. Smernice o postavljanju ovakvog ispitivanja navedene su u ovoj metodi.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1.9.2.1. Izbor optimalnih odnosa količina zemljišta i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dve vrste zemljišta i tri odnosa količina zemljišta i rastvora (šest eksperimenata). Jedna vrsta zemljišta ima visok sadržaj organskog ugljenika i nizak sadržaj ilovače, a druga nizak sadržaj organskog ugljenika i visok sadržaj ilovače. Sugeriše se upotreba sledećih odnosa: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- 50 g zemljišta i 50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vodenog rastvora ispitivane supstance (odnos 1/1),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- 10 g zemljišta i 50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vodenog rastvora ispitivane supstance (odnos 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- 2 g zemljišta i 50 cm</w:t>
      </w:r>
      <w:r w:rsidRPr="00984859">
        <w:rPr>
          <w:rFonts w:ascii="Arial" w:eastAsia="Times New Roman" w:hAnsi="Arial" w:cs="Arial"/>
          <w:sz w:val="15"/>
          <w:szCs w:val="15"/>
          <w:vertAlign w:val="superscript"/>
          <w:lang w:eastAsia="sr-Latn-RS"/>
        </w:rPr>
        <w:t xml:space="preserve">3 </w:t>
      </w:r>
      <w:r w:rsidRPr="00984859">
        <w:rPr>
          <w:rFonts w:ascii="Arial" w:eastAsia="Times New Roman" w:hAnsi="Arial" w:cs="Arial"/>
          <w:lang w:eastAsia="sr-Latn-RS"/>
        </w:rPr>
        <w:t xml:space="preserve">vodenog rastvora ispitivane supstance (odnos 1/25).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Najmanja količina zemljišta na kojoj se eksperiment može izvesti zavisi od opremljenosti laboratorije i efikasnosti primenjenih analitičkih metoda. Da bi se ispitivanjem dobili pouzdani rezultati, preporučuje se upotreba 1 g, a ako je moguće i 2 g uzorka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proverila stabilnost ispitivane supstance u rastvoru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moguća adsorpcija na površine posude za ispitivanje, jedan kontrolni uzorak, u kom se nalazi samo ispitivana supstanca u 0,01 M rastvoru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(bez zemljišta) podvrgava se istim postupcima kao i ispitivani sistemi.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Istoj ispitivanoj proceduri podvrgava se i po jedna slepa proba za svaki uzorak zemljišta, koju čini ista količina zemljišta i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(ali bez ispitivane supstance), ukupne </w:t>
      </w:r>
      <w:r w:rsidRPr="00984859">
        <w:rPr>
          <w:rFonts w:ascii="Arial" w:eastAsia="Times New Roman" w:hAnsi="Arial" w:cs="Arial"/>
          <w:lang w:eastAsia="sr-Latn-RS"/>
        </w:rPr>
        <w:lastRenderedPageBreak/>
        <w:t>zapremine od 50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Tokom analize, ovaj uzorak služi kao osnovna kontrola koja omogućava otkrivanje interferentnih supstanci, ili zagađenih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 ispitivanja, uključujući i ona koji se obavljaju na kontrolama i slepim probama, postaviti najmanje u duplikatu. Ukupan broj uzoraka koje je potrebno pripremiti za studiju može se izračunati prema metodologiji koja se primenjuje.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Metode koje se primenjuju u okviru preliminarne studije načelno su istovetne metodama koje se primenjuju u glavnoj studiji, a izuzeci od tog pravila su navedeni.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Uzorci zemljišta, vazdušno osušeni, uravnotežuju se tako što se dan pre početka ispitivanja, u toku noći (12 sati) protresu zajedno sa najmanje 45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Potom se dodaje izvesna zapremina osnovnog rastvora, kako bi se dobila krajnja zapremina od 50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Ova zapremina dodatog osnovnog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ne prelazi 10% krajnje zapremine tečne faze od 50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kako bi se priroda rastvora pre uravnoteženja što manje promenila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 ako je moguće potrebno je postići da prvobitna koncentracija ispitivane supstance koja se nalazi u dodiru sa zemljištem (C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bude za najmanje dva reda veličine viša od granice detekcije upotrebljene analitičke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Ovakav prag obezbeđuje tačna merenja čak i u slučajevima jake adsorpcije (&gt; 90%), ali i naknadno određivanje adsorpcionih izotermi. Preporučuje se i da, ukoliko je izvodljivo, početna koncentracija ispitivane supstance (C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ne pređe polovinu vrednosti njene granične rastvorljivosti.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ovoj metodi dat je primer kako se izračunava koncentracija osnovnog rastvora (C</w:t>
      </w:r>
      <w:r w:rsidRPr="00984859">
        <w:rPr>
          <w:rFonts w:ascii="Arial" w:eastAsia="Times New Roman" w:hAnsi="Arial" w:cs="Arial"/>
          <w:sz w:val="15"/>
          <w:szCs w:val="15"/>
          <w:vertAlign w:val="subscript"/>
          <w:lang w:eastAsia="sr-Latn-RS"/>
        </w:rPr>
        <w:t>st</w:t>
      </w:r>
      <w:r w:rsidRPr="00984859">
        <w:rPr>
          <w:rFonts w:ascii="Arial" w:eastAsia="Times New Roman" w:hAnsi="Arial" w:cs="Arial"/>
          <w:lang w:eastAsia="sr-Latn-RS"/>
        </w:rPr>
        <w:t>). Granica detekcije od 0,01 μg/cm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i adsorpcija od 90% se pretpostavljaju, pa početna koncentracija ispitivane supstance koja je u dodiru sa zemljištem iznosi 1 μg/cm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(da za dva reda veličine prelazi granicu detekcije analitičke metode). Uz pretpostavku da je dodata najviša preporučena zapremina osnovnog rastvora, tj. 5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do 45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0,01 M uravnoteženog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10% osnovnog rastvora, dodate u vodenu fazu do ukupne zapremine od 50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koncentracija osnovnog rastvora iznosi 10 μg/cm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jer tako prelazi granicu detekcije analitičke metode za tri reda veličine.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pH tečne faze izmeriti pre i nakon dodira sa zemljištem, jer je pH vrednost značajna u celokupnom procesu adsorpcije, posebno supstanci podložnih jonizaciji.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Smeša se protrese dok se ne postigne adsorpciona ravnoteža. Vreme potrebno da se u zemljištima postigne ravnoteža izrazito je varijabilno i zavisi od hemikalije i zemljišta. Uglavnom je dovoljan period od 24 sata</w:t>
      </w:r>
      <w:r w:rsidRPr="00984859">
        <w:rPr>
          <w:rFonts w:ascii="Arial" w:eastAsia="Times New Roman" w:hAnsi="Arial" w:cs="Arial"/>
          <w:b/>
          <w:bCs/>
          <w:sz w:val="15"/>
          <w:szCs w:val="15"/>
          <w:vertAlign w:val="superscript"/>
          <w:lang w:eastAsia="sr-Latn-RS"/>
        </w:rPr>
        <w:t>77</w:t>
      </w:r>
      <w:r w:rsidRPr="00984859">
        <w:rPr>
          <w:rFonts w:ascii="Arial" w:eastAsia="Times New Roman" w:hAnsi="Arial" w:cs="Arial"/>
          <w:lang w:eastAsia="sr-Latn-RS"/>
        </w:rPr>
        <w:t xml:space="preserve">. U okviru preliminarnog ispitivanja, uzorci se kroz period mešanja od 48 sati prikupljaju redno (npr. 4-ti, 8-mi, 24. i 48. sat). Vremenski raspored obavljanja analize razmotriti fleksibilno, poštujući radno vreme i radni raspored laboratorije.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Analiza ispitivane supstance u tečnoj fazi može se obaviti na dva moguća načina - paralelnom i rednom metodom. Paralelna metoda sa ispitivanog gledišta je dugotrajnija i zamornija, a matematička obrada dobijenih rezultata je jednostavnija (videti Deo šesti ove metode). Izbor metodologije koja se primenjuje prepušta se licu koje izvodi ispitivanje, a koje pri donošenju odluke uzima u obzir opremljenost dostupne laboratorije i resurse koji su joj stavljeni na raspolaganje.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Paralelna metoda - pripreme se uzorci međusobno istog količinskog odnosa zemljišta i rastvora, u broju koji odgovara broju vremenskih intervala u kojima se želi proučiti kinetika </w:t>
      </w:r>
      <w:r w:rsidRPr="00984859">
        <w:rPr>
          <w:rFonts w:ascii="Arial" w:eastAsia="Times New Roman" w:hAnsi="Arial" w:cs="Arial"/>
          <w:lang w:eastAsia="sr-Latn-RS"/>
        </w:rPr>
        <w:lastRenderedPageBreak/>
        <w:t xml:space="preserve">adsorpcije. Nakon centrifugiranja i filtracije, tečna faza prve kivete iznova se prikuplja u meri u kojoj je to moguće i izmeri, npr. nakon 4 sata, tečna faza druge kivete nakon 8 sata, treće kivete nakon 24 sata,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Redna metoda - za svaki količinski odnos zemljišta i rastvora pripremaju se najviše dva uzorka. U definisanim vremenskim razmacima, smeša se centrifugira da bi se faze razdvojile. Manji alikvot tečne faze odmah se analizira na prisustvo ispitivane supstance. Ispitivanje se nastavlja sa početnom smešom. Ako se nakon centrifugiranja primenjuje filtracija, laboratorija je adekvatno opremljena za postupak filtracije manjih tečnih alikvota. Da se odnos zemljišta i rastvora ne bi značajno promenio i da bi se u toku ispitivanja umanjila masa rastvorene supstance podložna adsorpciji, preporučuje se da zapremina uzetih alikvota ne prelazi 1% zapremine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adsorpcije Ati u svakoj od vremenskih tačaka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računa se na osnovu početne nominalne koncentracije i koncentracije izmerene u vreme uzimanja uzorka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korigovane na vrednost slepe probe. Krive na kojima je Ati prikazan u funkciji vremena (videti Sliku 1 u Delu šestom ove metode) crtaju se da bi se utvrdilo vreme u kom je je postignut plato ravnotežnog stanja</w:t>
      </w:r>
      <w:r w:rsidRPr="00984859">
        <w:rPr>
          <w:rFonts w:ascii="Arial" w:eastAsia="Times New Roman" w:hAnsi="Arial" w:cs="Arial"/>
          <w:b/>
          <w:bCs/>
          <w:sz w:val="15"/>
          <w:szCs w:val="15"/>
          <w:vertAlign w:val="superscript"/>
          <w:lang w:eastAsia="sr-Latn-RS"/>
        </w:rPr>
        <w:t>XXII</w:t>
      </w:r>
      <w:r w:rsidRPr="00984859">
        <w:rPr>
          <w:rFonts w:ascii="Arial" w:eastAsia="Times New Roman" w:hAnsi="Arial" w:cs="Arial"/>
          <w:lang w:eastAsia="sr-Latn-RS"/>
        </w:rPr>
        <w:t>. Uz to se računa i vrednost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u trenutku dostizanja ravnotežnog stanja. Na osnovu te vrednosti se iz krive prikazane na Slici 1. izaberu adekvatni količinski odnosi zemljišta i rastvora sa ciljem da procenat adsorpcije pređe 20%, a ako je moguće dostigne &gt; 50%</w:t>
      </w:r>
      <w:r w:rsidRPr="00984859">
        <w:rPr>
          <w:rFonts w:ascii="Arial" w:eastAsia="Times New Roman" w:hAnsi="Arial" w:cs="Arial"/>
          <w:b/>
          <w:bCs/>
          <w:sz w:val="15"/>
          <w:szCs w:val="15"/>
          <w:vertAlign w:val="superscript"/>
          <w:lang w:eastAsia="sr-Latn-RS"/>
        </w:rPr>
        <w:t>61</w:t>
      </w:r>
      <w:r w:rsidRPr="00984859">
        <w:rPr>
          <w:rFonts w:ascii="Arial" w:eastAsia="Times New Roman" w:hAnsi="Arial" w:cs="Arial"/>
          <w:lang w:eastAsia="sr-Latn-RS"/>
        </w:rPr>
        <w:t xml:space="preserve">. Sve primenljive jednačine i sva načela koja važe za crtanje krivih, dati su u odeljku 2. ove metode, kao i u Delu šestom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XXII</w:t>
      </w:r>
      <w:r w:rsidRPr="00984859">
        <w:rPr>
          <w:rFonts w:ascii="Arial" w:eastAsia="Times New Roman" w:hAnsi="Arial" w:cs="Arial"/>
          <w:lang w:eastAsia="sr-Latn-RS"/>
        </w:rPr>
        <w:t xml:space="preserve"> Krive na kojima je koncentracija ispitivane supstance u vodenoj fazi Caqads prikazana u funkciji vremena, mogu biti korišćene i za procenu dostizanja ravnotežnog stanja (videti Sliku 2. u Delu šestom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1.9.2.2. Određivanje trenutka u kom je postignuto ravnotežno stanje adsorpcije i količina supstance koja se adsorbovala u trenutno postizanja ravnotežnog stanja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Krive A</w:t>
      </w:r>
      <w:r w:rsidRPr="00984859">
        <w:rPr>
          <w:rFonts w:ascii="Arial" w:eastAsia="Times New Roman" w:hAnsi="Arial" w:cs="Arial"/>
          <w:sz w:val="15"/>
          <w:szCs w:val="15"/>
          <w:vertAlign w:val="subscript"/>
          <w:lang w:eastAsia="sr-Latn-RS"/>
        </w:rPr>
        <w:t>ti</w:t>
      </w:r>
      <w:r w:rsidRPr="00984859">
        <w:rPr>
          <w:rFonts w:ascii="Arial" w:eastAsia="Times New Roman" w:hAnsi="Arial" w:cs="Arial"/>
          <w:lang w:eastAsia="sr-Latn-RS"/>
        </w:rPr>
        <w:t xml:space="preserve"> ili 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u funkciji vremena omogućavaju utvrđivanje činjenice da je postignuto ravnotežno stanje adsorpcije, kao i količine ispitivane supstance koja se adsorbovala u trenutku postizanja ravnotežnog stanja. Primeri krivih prikazani su na Slikama 1. i 2. koje su date u Delu šestom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pri eksperimentisanju sa određenom vrstom zemljišta ne dođe do platoa, već se beleži siguran porast adsorpcije, razlog mogu biti faktori koji situaciju čine složenom, a to su biorazgradljivost, odnosno spora difuzija. Činjenica da je došlo do biorazgradljivosti može se potvrditi ponavljanjem ispitivanja na sterilisanom uzorku zemljišta. Ako se ni u tom slučaju ne dostigne plato, lice koje izvodi ispitivanje traži druge pojave, potencijalno uključene u specifična istraživanja koja sprovodi. To se može uraditi određenim modifikacijama ispitivanih uslova (temperature, trajanja protresanja, količinskog odnosa zemljišta i rastvora). Licu koje izvodi ispitivanje prepušta se odluka hoće li nastaviti ispitivanje, uprkos mogućnosti da ne uspe da postigne ravnotežno stanje.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1.9.2.3. Adsorpcija na površinu posude za ispitivanje i stabilnost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Neki podaci o adsorpciji ispitivane supstance na površinu posude za ispitivanje, kao i o njenoj stabilnosti, mogu se dobiti analizom kontrolnih uzoraka. Ako se uoči osiromašenje sadržaja ispitivane supstance veće od standardne greške analitičke metode, moguće je da je to povezano sa abiotičkom razgradnjom, odnosno adsorpcijom na površinu posude za ispitivanje. Razlikovanje ove dve pojave postiže se temeljnim pranjem zidova posude poznatom zapreminom prikladnog rastvarača i analiziranjem rastvora za pranje na prisustvo </w:t>
      </w:r>
      <w:r w:rsidRPr="00984859">
        <w:rPr>
          <w:rFonts w:ascii="Arial" w:eastAsia="Times New Roman" w:hAnsi="Arial" w:cs="Arial"/>
          <w:lang w:eastAsia="sr-Latn-RS"/>
        </w:rPr>
        <w:lastRenderedPageBreak/>
        <w:t xml:space="preserve">ispitivane supstance. Ako se ne uoči da je na površini posude za ispitivanje došlo do adsorpcije, ovakvo osiromašenje ukazuje na abiotičku nestabilnost ispitivane supstance. Ako je došlo do adsorpcije, postojeće posude za ispitivanje je potrebno zameniti onima od drugačijeg materijala. Podaci o adsorpciji dobijeni ovim ispitivanjem ne mogu se sa sigurnošću ekstrapolirati na metodu koja se tiče količinskog odnosa zemljišta i rastvora. Na ovu adsorpciju utiče prisustvo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Dodatni podaci o stabilnosti ispitivane supstance mogu se dobiti određivanjem prvobitnog masenog balansa, praćenog u toku vremena. To znači da se tečna faza, ekstrakti zemljišta i zidovi posude za ispitivanje analiziraju na prisutnost ispitivane supstance. Razlika u masi dodate ispitivane hemikalije i zbira njenih hemijskih masa u tečnoj fazi, ekstraktima zemljišta i zidovima posude za ispitivanje, jednaka je razgrađenoj, odnosno uparenoj, odnosno neekstrahovanoj masi supstance. Da bi se odredio maseni balans u toku ispitivanja je potrebno postići ravnotežno stanje adsorpcije.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Maseni balans se određuje na zemljištima i za onaj količinski odnos zemljišta i rastvora koji u određenom tipu zemljišta dovodi do osiromašenja sadržaja ispitivane supstance za više od 20%, ako je moguće &gt; 50% u ravnotežnom stanju. Kada se ispitivanje, usmereno na pronalaženje najpovoljnijeg količinskog odnosa zemljišta i rastvora koji je potrebno upotrebiti u glavnom ispitivanju, nakon 48 sati završi analizom poslednjeg uzorka tečne faze, faze se dele centrifugiranjem i po potrebi filtracijom. Tečna faza se ponovo sakuplja u meri u kojoj je to moguće, a zatim se zemljištu dodaje adekvatan ekstrakcioni rastvarač (koeficijenta ekstrakcije od najmanje 95%), kojim se iz tla ekstrahuje ispitivana supstanca. Preporučuju se najmanje dve uzastopne ekstrakcije. Zatim se odredi količina ispitivane supstance u ekstraktima dobijenim iz zemljišta i posuda za ispitivanje i izračuna maseni balans (jednačina 10 u odeljku 2. ove metode). Ako količina ispitivane supstance iznosi manje od 90%, smatra se da će ispitivana supstanca, u toku trajanja ispitivanja, biti nestabilna. Istraživanja mogu da se nastave vodeći računa o nestabilnosti ispitivane supstance u ovom slučaju se u okviru glavne studije preporučuje analiza obe faze.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1.9.3. Etapa 2: kinetika adsorpcije pri jedinoj koncentraciji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pet tipova zemljišta, izabranih iz Tabele 1. Postoji prednost u uključivanju nekih ili svih vrsta zemljišta korišćenih u okviru preliminarne studije u ovih pet tipova. Zemljišta korišćena već u preliminarnoj studiji nije potrebno ponovo ispitivati u etapi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potrebno da dođe do ravnotežnog stanja, količinski odnos zemljišta i rastvora, težina uzorka zemljišta, zapremina tečne faze koja je u dodiru sa zemljištem i koncentracija ispitivane supstance u rastvoru bira se na osnovu rezultata preliminarne studije. Analizu ako je moguće uraditi nakon 2, 4, 6 ili 8 sati (ako je moguće i nakon 10 sati), kao i nakon 24 sata kontakta ispitivane supstance i zemljišta. Ako rezultati ispitivanja usmerenog na pronalaženje pogodnog odnosa zemljišta i rastvora pokažu da je potrebno duže vreme da ispitivana hemikalija dostigne ravnotežno stanje, vreme protresanja se može produžiti na najviše 48 sati. Pri razmatranju i sastavljanju vremenskog rasporeda analiza, moguća je i određena fleksibilnost.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omogućilo utvrđivanje varijanse rezultata, svaki eksperiment (jedan uzorak zemljišta i jedan rastvora) postavi se najmanje u duplikatu. U okviru svakog ispitivanja, analizira se i jedna slepa proba. Slepa proba se sastoji od zemljišta i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bez ispitivane supstance, pri čemu su težina zemljišta i zapremina rastvora zastupljeni u njoj, identični onima upotrebljenim u ispitivanom uzorku. Kontrolni uzorak koji se sastoji isključivo od ispitivane supstance u 0,01 M rastvoru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(bez zemljišta), podvrgava se identičnom postupku ispitivanja, čime se sprečavaju neočekivani obrti.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Procenat adsorpcije računa se za svaku od vremenskih tačaka Ati, odnosno vremenski interval A</w:t>
      </w:r>
      <w:r w:rsidRPr="00984859">
        <w:rPr>
          <w:rFonts w:ascii="Arial" w:eastAsia="Times New Roman" w:hAnsi="Arial" w:cs="Arial"/>
          <w:sz w:val="15"/>
          <w:szCs w:val="15"/>
          <w:vertAlign w:val="subscript"/>
          <w:lang w:eastAsia="sr-Latn-RS"/>
        </w:rPr>
        <w:t>Δ</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(prema potrebi), a na krivoj se prikazuje u funkciji vremena. Računaju se i koeficijent raspodele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u ravnotežnom stanju, kao i (za nepolarne organske hemikalije) adsorpcioni koeficijent normalizovan na sadržaj organskog ugljenika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Rezultati ispitivanja kinetike adsorpcije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Linearna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vrednost tačno opisuje sorpciono ponašanje u zemljištu</w:t>
      </w:r>
      <w:r w:rsidRPr="00984859">
        <w:rPr>
          <w:rFonts w:ascii="Arial" w:eastAsia="Times New Roman" w:hAnsi="Arial" w:cs="Arial"/>
          <w:b/>
          <w:bCs/>
          <w:sz w:val="15"/>
          <w:szCs w:val="15"/>
          <w:vertAlign w:val="superscript"/>
          <w:lang w:eastAsia="sr-Latn-RS"/>
        </w:rPr>
        <w:t xml:space="preserve">35,78 </w:t>
      </w:r>
      <w:r w:rsidRPr="00984859">
        <w:rPr>
          <w:rFonts w:ascii="Arial" w:eastAsia="Times New Roman" w:hAnsi="Arial" w:cs="Arial"/>
          <w:lang w:eastAsia="sr-Latn-RS"/>
        </w:rPr>
        <w:t>i predstavlja izraz inherentne pokretljivosti hemikalija u zemljištu. Na primer, hemikalije kod kojih je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1cm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/g smatraju se kvalitativno pokretljivim. Na sličan način razvijena je šema klasifikacije pokretljivosti bazirana na Koc vrednostima</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Postoje i šeme klasifikacije u odnosu na proceđivanje kroz zemljište, bazirane na odnosu između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b/>
          <w:bCs/>
          <w:sz w:val="15"/>
          <w:szCs w:val="15"/>
          <w:vertAlign w:val="superscript"/>
          <w:lang w:eastAsia="sr-Latn-RS"/>
        </w:rPr>
        <w:t>32,79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Prema rezultatima studija u okviru kojih je analizirana greška</w:t>
      </w:r>
      <w:r w:rsidRPr="00984859">
        <w:rPr>
          <w:rFonts w:ascii="Arial" w:eastAsia="Times New Roman" w:hAnsi="Arial" w:cs="Arial"/>
          <w:b/>
          <w:bCs/>
          <w:sz w:val="15"/>
          <w:szCs w:val="15"/>
          <w:vertAlign w:val="superscript"/>
          <w:lang w:eastAsia="sr-Latn-RS"/>
        </w:rPr>
        <w:t>61</w:t>
      </w:r>
      <w:r w:rsidRPr="00984859">
        <w:rPr>
          <w:rFonts w:ascii="Arial" w:eastAsia="Times New Roman" w:hAnsi="Arial" w:cs="Arial"/>
          <w:lang w:eastAsia="sr-Latn-RS"/>
        </w:rPr>
        <w:t>,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vrednosti niže od 0,3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/g ne mogu se tačno utvrditi na osnovu opadanja koncentracije ispitivane supstance u tečnoj fazi, čak i kad se (što se tačnosti tiče) primeni najpogodniji količinski odnos zemljišta i rastvora, tj. 1:1. U ovom slučaju se preporučuje analiza obe faze: zemljišta i rastvora.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Studiju adsorpcionog ponašanja hemikalije u zemljištu i njene moguće pokretljivosti nastaviti određivanjem Frojndlihovih adsorpcionih izotermi za ove ispitivane sisteme, za koje je moguće tačno odrediti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ako se sledi dosledno ispitivani protokol ove metode ispitivanja. Tačno određivanje istog moguće je ako vrednost koja se dobije množenjem Kd sa odnosom zemljišta i rastvora iznosi &gt; 0,3 u slučaju kada su merenja zasnovana na opadanju koncentracije u tečnoj fazi (dakle na indirektnoj metodi) ili u slučaju kada se analiziraju obe faze (direktnom metodom)i kada vrednost iznosi &gt; 0,1</w:t>
      </w:r>
      <w:r w:rsidRPr="00984859">
        <w:rPr>
          <w:rFonts w:ascii="Arial" w:eastAsia="Times New Roman" w:hAnsi="Arial" w:cs="Arial"/>
          <w:b/>
          <w:bCs/>
          <w:sz w:val="15"/>
          <w:szCs w:val="15"/>
          <w:vertAlign w:val="superscript"/>
          <w:lang w:eastAsia="sr-Latn-RS"/>
        </w:rPr>
        <w:t>61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1.9.4. Etapa 3: Adsorpcione izoterme i kinetika desorpcije/desorpcijske izoterme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1.9.4.1. Adsorpcione izoterme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pet koncentracija ispitivane supstance, ako je moguće takvih da pokrivaju dva reda veličine. Pri izboru ovih koncentracija potrebno je voditi računa o rastvorljivosti ispitivane supstance u vodi i njenim krajnjim koncentracijama koje se u tečnoj fazi beleže u trenutku postizanja ravnotežnog stanja. Količinski odnos zemljišta i rastvora za vreme celog trajanja studije održavati nepromenjenim. Ispitivanje adsorpcije obavlja se, kako je opisano, sa razlikom što se u vremenskom razdoblju potrebnom da se dostigne ravnotežno stanje, prethodno određeno u Etapi 2 ispitivanja, tečna faza analizira samo jednom. U rastvoru se određuju ravnotežne koncentracije, a količina adsorbovane supstance izračunava se iz osiromašenja sadržaja ispitivane supstance u rastvoru, tj. opadanja koncentracije ispitivane supstance u njoj, ili direktnom metodom. Adsorbovana masa ispitivane supstance po jedinici mase zemljišta grafički se prikazuje kao funkcija ravnotežne koncentracije ispitivane supstance (videti odeljak 1.2. ove metode).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Rezultati ispitivanja kojim se određuju adsorpcione izoterme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Među do sada predloženim matematičkim modelima koji opisuju proces adsorpcije, najčešće se koristi Frojndlihova izoterma. Detalji u vezi tumačenja i značaja adsorpcionih modela mogu se naći u litetaturi</w:t>
      </w:r>
      <w:r w:rsidRPr="00984859">
        <w:rPr>
          <w:rFonts w:ascii="Arial" w:eastAsia="Times New Roman" w:hAnsi="Arial" w:cs="Arial"/>
          <w:b/>
          <w:bCs/>
          <w:sz w:val="15"/>
          <w:szCs w:val="15"/>
          <w:vertAlign w:val="superscript"/>
          <w:lang w:eastAsia="sr-Latn-RS"/>
        </w:rPr>
        <w:t>41,45,80,81,82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Napomena: poređenje vrednosti K</w:t>
      </w:r>
      <w:r w:rsidRPr="00984859">
        <w:rPr>
          <w:rFonts w:ascii="Arial" w:eastAsia="Times New Roman" w:hAnsi="Arial" w:cs="Arial"/>
          <w:sz w:val="15"/>
          <w:szCs w:val="15"/>
          <w:vertAlign w:val="subscript"/>
          <w:lang w:eastAsia="sr-Latn-RS"/>
        </w:rPr>
        <w:t xml:space="preserve">f </w:t>
      </w:r>
      <w:r w:rsidRPr="00984859">
        <w:rPr>
          <w:rFonts w:ascii="Arial" w:eastAsia="Times New Roman" w:hAnsi="Arial" w:cs="Arial"/>
          <w:lang w:eastAsia="sr-Latn-RS"/>
        </w:rPr>
        <w:t>(Frojndlihov adsorpciona konstanta) različitih supstanci moguće je samo ako su izražene u istim jedinicama mere</w:t>
      </w:r>
      <w:r w:rsidRPr="00984859">
        <w:rPr>
          <w:rFonts w:ascii="Arial" w:eastAsia="Times New Roman" w:hAnsi="Arial" w:cs="Arial"/>
          <w:b/>
          <w:bCs/>
          <w:sz w:val="15"/>
          <w:szCs w:val="15"/>
          <w:vertAlign w:val="superscript"/>
          <w:lang w:eastAsia="sr-Latn-RS"/>
        </w:rPr>
        <w:t>83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1.9.4.2. Kinetika desorpcije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Cilj ove metode ispitivanja jeste da se istraži da li se hemikalija reverzibilno ili ireverzibilno adsorbuje na čestice zemljišta. Ovo je važan podatak, jer je proces desorpcije značajan za ponašanje hemikalije u prirodnom zemljištu. Ako se unesu u bazu podataka, podaci o desorpciji korisni su pri kompjuterskom modelovanju u okviru simulacije proceđivanja rastvorene hemikalije iz zemljišta. Ako se želi izvesti studija desorpcije, preporučuje se da se studija data u ovoj metodi sprovede na svakom sistemu za koji se u prethodnom ispitivanju kinetike adsorpcije moglo tačno odrediti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Slično kao i u studiji o kinetici adsorpcije, ispitivanje kinetike desorpcije moguće je izvesti na dva načina - paralelnom i rednom metodom. Izbor metodologije koja ća se primeniti u toku studije, prepušta se licu koje izvodi ispitivanja, koje će pri donošenju odluke voditi računa o opremljenosti dostupne laboratorije i sredstvima koja su na raspolaganju.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Paralelna metoda - za svaku vrstu zemljišta koja je izabrana za studiju desorpcije, pripremaju se uzorci identičnog količinskog odnosa zemljišta i rastvora i to u broju koji odgovara broju vremenskih intervala u kojima se proučava kinetika desorpcije. Taj broj intervala je identičan broju upotrebljenom u studiji u kojoj se izučavala kinetika adsorpcije. Da bi se sistemu omogućilo da dostigne tačku ravnotežnog stanja desorpcije, ukupno trajanje ispitivanja može se i produžiti na primeren način. U svakom ispitivanju (jedan uzorak zemljišta, jedan rastvora) postavlja se i jedna slepa proba. Slepa proba se sastoji od zemljišta i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kome nema ispitivane supstance, pri čemu su težina zemljišta i zapremina rastvora identični onima u ispitivanom uzorku. Za kontrolni uzorak ispitivana supstanca se u 0,01 M rastvoru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(bez zemljišta) ispituje po istom postupku. Sve smeše zemljišta i rastvora protresaju se dovoljno dugo dok se ne dostigne ravnotežno stanje adsorpcije (kako je to ranije utvrđeno u Etapi 2). Faze se potom dele centrifugiranjem, a tečne faze se uklanjaju koliko je moguće. Uklonjena zapremina rastvora nadomešta se jednakom zapreminom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kome nema ispitivane supstance, a nove smeše ponovo se protresaju. Tečna faza iz prve kivete iznova se prikuplja u najvećoj mogućoj meri i potom izmeri nakon 2 sata, tečna faza iz druge kivete nakon 4 sata, tečna faza iz treće kivete nakon 6 sati, dok se ne dostigne ravnotežno stanje desorpcije.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 Redna metoda - po završetku studije kojom se izučavala kinetika adsorpcije, smeša se centrifugira, a tečna faza uklanja koliko je moguće. Uklonjena zapremina rastvora nadomešta se sa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bez ispitivane supstance. Nova smeša se protresa dok se ne dostigne ravnotežno stanje desorpcije. Za to vreme se smeša u definisanim vremenskim intervalima ponovo centrifugira, da se razdvoje faze. Manji alikvot tečne faze potom se analizira na prisustvo ispitivane supstance. Ispitivanje se dalje nastavlja sa izvornom smešom. Zapremina svakog pojedinog alikvota iznosi manje od 1% ukupne zapremine. Da bi se količinski odnos zemljišta i rastvora održao nepromenjenim, smesi se dodaje stalno ista količina svežeg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nastavlja se protresanje dok ne nastupi drugi vremenski interval.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desorpcije, prema potrebama studije, računa se za svaku vremensku tačku (Dt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odnosno vremenski interval (D</w:t>
      </w:r>
      <w:r w:rsidRPr="00984859">
        <w:rPr>
          <w:rFonts w:ascii="Arial" w:eastAsia="Times New Roman" w:hAnsi="Arial" w:cs="Arial"/>
          <w:sz w:val="15"/>
          <w:szCs w:val="15"/>
          <w:vertAlign w:val="subscript"/>
          <w:lang w:eastAsia="sr-Latn-RS"/>
        </w:rPr>
        <w:t>Δ</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a na krivoj se prikazuje u funkciji vremena. Računa se i koeficijent desorpcije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u trenutku dostizanja ravnotežnog stanja. Sve jednačine, primenljive u ovu svrhu, navedene su u odeljku 2. ove metode kao i u Delu šestom ove metode.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Rezultati ispitivanja kojim se izučava kinetika desorpcije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Uobičajene krive koje prikazuju procenat desorpcije Dt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 procenat adsorpcije At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u funkciji vremena, omogućavaju utvrđivanje reverzibilnosti procesa adsorpcije. Ako se dostigne ravnotežno stanje desorpcije za vreme čak dvostruko duže od onoga koje je bilo potrebno da se dostigne ravnotežno stanje adsorpcije, a ukupna desorpcija prelazi 75% ukupno adsorbovane količine ispitivane supstance, adsorpcija se smatra reverzibilnom.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1.9.4.3. Desorpcione izoterme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Frojndlihove desorpcione izoterme određuju se na istim tipovima zemljišta na kojima su se ispitivanjem određivale i adsorpcione izoterme. Ispitivanje desorpcije sprovodi se na način opisan u odeljku 1.9.4.2. ove metode, sa jedinom razlikom što se tečna faza analizira samo jedanput, u trenutku kada se dostigne ravnotežno stanje desorpcije. Izračunava se količina desorbovane ispitivane supstance. Sadržaj ispitivane supstance koji je u trenutku dostizanja ravnotežnog stanja desorpcije ostao adsorbovan na zemljište, grafički se prikazuje kao funkcija ravnotežne koncentracije ispitivane supstance u rastvoru (videti odeljak 2. ove metode i Deo šesti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Podaci dobijeni analizom prikazuju se u obliku tabela (videti Deo sedmi ove metode). Navode se rezultati pojedinačnih merenja i izračunate prosečne vrednosti. Prilažu se grafički prikazi adsorpcionih izotermi. Izračunavanja se vrše na način opisan u ovoj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potrebe ove metode, uzima se da težina 1 cm3 vodenog rastvora iznosi 1 g. Količinski odnos zemljišta i rastvora može se prikazati u jedinicama težinskog odnosa, ili odnosa težine i zapremine istim grafikonom.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ADSORPCIJA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Adsorpcija (u daljem tekstu: Ati) jeste procenat supstance adsorbovane na čestice zemljišta, u odnosu na količinu koja je u datim ispitivanim uslovima postojala na početku ispitivanja. Ukoliko je ispitivana supstanca postojana i ne adsorbuje se u značajnoj meri na zidove posude, Ati se računa za svaku vremensku tačku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prema formuli: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86"/>
        <w:gridCol w:w="1211"/>
        <w:gridCol w:w="2356"/>
        <w:gridCol w:w="5159"/>
      </w:tblGrid>
      <w:tr w:rsidR="00984859" w:rsidRPr="00984859" w:rsidTr="00984859">
        <w:trPr>
          <w:tblCellSpacing w:w="0" w:type="dxa"/>
        </w:trPr>
        <w:tc>
          <w:tcPr>
            <w:tcW w:w="51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 xml:space="preserve">ti </w:t>
            </w:r>
            <w:r w:rsidRPr="00984859">
              <w:rPr>
                <w:rFonts w:ascii="Arial" w:eastAsia="Times New Roman" w:hAnsi="Arial" w:cs="Arial"/>
                <w:lang w:eastAsia="sr-Latn-RS"/>
              </w:rPr>
              <w:t xml:space="preserve">= </w:t>
            </w:r>
          </w:p>
        </w:tc>
        <w:tc>
          <w:tcPr>
            <w:tcW w:w="165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393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r w:rsidRPr="00984859">
              <w:rPr>
                <w:rFonts w:ascii="Symbol" w:eastAsia="Times New Roman" w:hAnsi="Symbol" w:cs="Arial"/>
                <w:lang w:eastAsia="sr-Latn-RS"/>
              </w:rPr>
              <w:t></w:t>
            </w:r>
            <w:r w:rsidRPr="00984859">
              <w:rPr>
                <w:rFonts w:ascii="Arial" w:eastAsia="Times New Roman" w:hAnsi="Arial" w:cs="Arial"/>
                <w:lang w:eastAsia="sr-Latn-RS"/>
              </w:rPr>
              <w:t>%</w:t>
            </w:r>
            <w:r w:rsidRPr="00984859">
              <w:rPr>
                <w:rFonts w:ascii="Symbol" w:eastAsia="Times New Roman" w:hAnsi="Symbol" w:cs="Arial"/>
                <w:lang w:eastAsia="sr-Latn-RS"/>
              </w:rPr>
              <w:t></w:t>
            </w:r>
          </w:p>
        </w:tc>
        <w:tc>
          <w:tcPr>
            <w:tcW w:w="9060"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3</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65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ti</w:t>
      </w:r>
      <w:r w:rsidRPr="00984859">
        <w:rPr>
          <w:rFonts w:ascii="Arial" w:eastAsia="Times New Roman" w:hAnsi="Arial" w:cs="Arial"/>
          <w:lang w:eastAsia="sr-Latn-RS"/>
        </w:rPr>
        <w:t xml:space="preserve"> jeste procenat adsorpcije u tački vremena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jeste masa (μg) ispitivane supstance adsorbovane na zemljište u vremenu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masa (μg) ispitivane supstance u ispitivanoj posudi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Izračunavanje procenta adsorpcije At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u okolnostima kada se primenjuje paralelna, odnosno redna metoda, dato je u Delu šestom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Koeficijent raspodele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jeste odnos između sadržaja supstance u čvrstoj fazi i njene masene koncentracije u tečnoj fazi, zabeležen u trenutku u kom je, u datim ispitivanim uslovima, dostignuta tačka ravnotežnog stanja adsorpcije.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51"/>
        <w:gridCol w:w="1118"/>
        <w:gridCol w:w="234"/>
        <w:gridCol w:w="1140"/>
        <w:gridCol w:w="177"/>
        <w:gridCol w:w="930"/>
        <w:gridCol w:w="1030"/>
        <w:gridCol w:w="4132"/>
      </w:tblGrid>
      <w:tr w:rsidR="00984859" w:rsidRPr="00984859" w:rsidTr="00984859">
        <w:trPr>
          <w:tblCellSpacing w:w="0" w:type="dxa"/>
        </w:trPr>
        <w:tc>
          <w:tcPr>
            <w:tcW w:w="49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w:t>
            </w:r>
          </w:p>
        </w:tc>
        <w:tc>
          <w:tcPr>
            <w:tcW w:w="145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330" w:type="dxa"/>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114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225" w:type="dxa"/>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93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144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/g</w:t>
            </w:r>
            <w:r w:rsidRPr="00984859">
              <w:rPr>
                <w:rFonts w:ascii="Symbol" w:eastAsia="Times New Roman" w:hAnsi="Symbol" w:cs="Arial"/>
                <w:lang w:eastAsia="sr-Latn-RS"/>
              </w:rPr>
              <w:t></w:t>
            </w:r>
          </w:p>
        </w:tc>
        <w:tc>
          <w:tcPr>
            <w:tcW w:w="9015"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4</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4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140" w:type="dxa"/>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930" w:type="dxa"/>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 </w:t>
            </w:r>
            <w:r w:rsidRPr="00984859">
              <w:rPr>
                <w:rFonts w:ascii="Arial" w:eastAsia="Times New Roman" w:hAnsi="Arial" w:cs="Arial"/>
                <w:sz w:val="15"/>
                <w:szCs w:val="15"/>
                <w:vertAlign w:val="subscript"/>
                <w:lang w:eastAsia="sr-Latn-RS"/>
              </w:rPr>
              <w:t>zemljišta</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jeste sadržaj (mg/g) supstance adsorbovane na zemljište u trenutku dostizanja ravnotežnog stanja adsorpcije;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jeste masena koncentracija(mg/cm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supstance u tečnoj fazi u satu dostizanja ravotežnog stanja adsorpcije. Ova koncentracija određena je analitički, uzimajući u obzir vrednosti zabeležene analizom slepih proba;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aqa</w:t>
      </w:r>
      <w:r w:rsidRPr="00984859">
        <w:rPr>
          <w:rFonts w:ascii="Arial" w:eastAsia="Times New Roman" w:hAnsi="Arial" w:cs="Arial"/>
          <w:sz w:val="15"/>
          <w:szCs w:val="15"/>
          <w:vertAlign w:val="superscript"/>
          <w:lang w:eastAsia="sr-Latn-RS"/>
        </w:rPr>
        <w:t>ds</w:t>
      </w:r>
      <w:r w:rsidRPr="00984859">
        <w:rPr>
          <w:rFonts w:ascii="Arial" w:eastAsia="Times New Roman" w:hAnsi="Arial" w:cs="Arial"/>
          <w:lang w:eastAsia="sr-Latn-RS"/>
        </w:rPr>
        <w:t xml:space="preserve"> jeste masa supstance adsorbovana na zemljište u trenutku dostizanja ravnotežnog stanja adsorpcije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jeste masa supstance u rastvoru u trenutku postizanja ravnotežnog stanja adsorpcije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zemljišta</w:t>
      </w:r>
      <w:r w:rsidRPr="00984859">
        <w:rPr>
          <w:rFonts w:ascii="Arial" w:eastAsia="Times New Roman" w:hAnsi="Arial" w:cs="Arial"/>
          <w:lang w:eastAsia="sr-Latn-RS"/>
        </w:rPr>
        <w:t xml:space="preserve"> jeste količina (g) čvrste faze, iskazana kao suva masa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početna zapremina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tečne faze koja se nalazi u dodiru sa zemljištem.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Odnos između A</w:t>
      </w:r>
      <w:r w:rsidRPr="00984859">
        <w:rPr>
          <w:rFonts w:ascii="Arial" w:eastAsia="Times New Roman" w:hAnsi="Arial" w:cs="Arial"/>
          <w:sz w:val="15"/>
          <w:szCs w:val="15"/>
          <w:vertAlign w:val="subscript"/>
          <w:lang w:eastAsia="sr-Latn-RS"/>
        </w:rPr>
        <w:t>eq</w:t>
      </w:r>
      <w:r w:rsidRPr="00984859">
        <w:rPr>
          <w:rFonts w:ascii="Arial" w:eastAsia="Times New Roman" w:hAnsi="Arial" w:cs="Arial"/>
          <w:lang w:eastAsia="sr-Latn-RS"/>
        </w:rPr>
        <w:t xml:space="preserve"> i Kd</w:t>
      </w:r>
      <w:r w:rsidRPr="00984859">
        <w:rPr>
          <w:rFonts w:ascii="Arial" w:eastAsia="Times New Roman" w:hAnsi="Arial" w:cs="Arial"/>
          <w:sz w:val="15"/>
          <w:szCs w:val="15"/>
          <w:vertAlign w:val="subscript"/>
          <w:lang w:eastAsia="sr-Latn-RS"/>
        </w:rPr>
        <w:t>dat</w:t>
      </w:r>
      <w:r w:rsidRPr="00984859">
        <w:rPr>
          <w:rFonts w:ascii="Arial" w:eastAsia="Times New Roman" w:hAnsi="Arial" w:cs="Arial"/>
          <w:lang w:eastAsia="sr-Latn-RS"/>
        </w:rPr>
        <w:t xml:space="preserve"> je formulom: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94"/>
        <w:gridCol w:w="1017"/>
        <w:gridCol w:w="253"/>
        <w:gridCol w:w="1020"/>
        <w:gridCol w:w="1692"/>
        <w:gridCol w:w="4736"/>
      </w:tblGrid>
      <w:tr w:rsidR="00984859" w:rsidRPr="00984859" w:rsidTr="00984859">
        <w:trPr>
          <w:tblCellSpacing w:w="0" w:type="dxa"/>
        </w:trPr>
        <w:tc>
          <w:tcPr>
            <w:tcW w:w="54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w:t>
            </w:r>
          </w:p>
        </w:tc>
        <w:tc>
          <w:tcPr>
            <w:tcW w:w="160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eq</w:t>
            </w:r>
          </w:p>
        </w:tc>
        <w:tc>
          <w:tcPr>
            <w:tcW w:w="360" w:type="dxa"/>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x</w:t>
            </w:r>
          </w:p>
        </w:tc>
        <w:tc>
          <w:tcPr>
            <w:tcW w:w="102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262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/g</w:t>
            </w:r>
            <w:r w:rsidRPr="00984859">
              <w:rPr>
                <w:rFonts w:ascii="Symbol" w:eastAsia="Times New Roman" w:hAnsi="Symbol" w:cs="Arial"/>
                <w:lang w:eastAsia="sr-Latn-RS"/>
              </w:rPr>
              <w:t></w:t>
            </w:r>
          </w:p>
        </w:tc>
        <w:tc>
          <w:tcPr>
            <w:tcW w:w="8940"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5</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60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100 - A</w:t>
            </w:r>
            <w:r w:rsidRPr="00984859">
              <w:rPr>
                <w:rFonts w:ascii="Arial" w:eastAsia="Times New Roman" w:hAnsi="Arial" w:cs="Arial"/>
                <w:sz w:val="15"/>
                <w:szCs w:val="15"/>
                <w:vertAlign w:val="subscript"/>
                <w:lang w:eastAsia="sr-Latn-RS"/>
              </w:rPr>
              <w:t>eq</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020" w:type="dxa"/>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 </w:t>
            </w:r>
            <w:r w:rsidRPr="00984859">
              <w:rPr>
                <w:rFonts w:ascii="Arial" w:eastAsia="Times New Roman" w:hAnsi="Arial" w:cs="Arial"/>
                <w:sz w:val="15"/>
                <w:szCs w:val="15"/>
                <w:vertAlign w:val="subscript"/>
                <w:lang w:eastAsia="sr-Latn-RS"/>
              </w:rPr>
              <w:t>zemljišta</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 xml:space="preserve">eq </w:t>
      </w:r>
      <w:r w:rsidRPr="00984859">
        <w:rPr>
          <w:rFonts w:ascii="Arial" w:eastAsia="Times New Roman" w:hAnsi="Arial" w:cs="Arial"/>
          <w:lang w:eastAsia="sr-Latn-RS"/>
        </w:rPr>
        <w:t xml:space="preserve">jeste procenat (%) adsorpcije u trenutku dostizanja ravnotežnog stanja.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Koeficijent adsorpcije normalizovan na sadržaj organskog ugljenika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povezuje koeficijent raspodele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sa sadržajem organskog ugljenika u uzorku zemljišta: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10"/>
        <w:gridCol w:w="867"/>
        <w:gridCol w:w="2460"/>
        <w:gridCol w:w="4775"/>
      </w:tblGrid>
      <w:tr w:rsidR="00984859" w:rsidRPr="00984859" w:rsidTr="00984859">
        <w:trPr>
          <w:tblCellSpacing w:w="0" w:type="dxa"/>
        </w:trPr>
        <w:tc>
          <w:tcPr>
            <w:tcW w:w="100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oc =</w:t>
            </w:r>
            <w:r w:rsidRPr="00984859">
              <w:rPr>
                <w:rFonts w:ascii="Arial" w:eastAsia="Times New Roman" w:hAnsi="Arial" w:cs="Arial"/>
                <w:lang w:eastAsia="sr-Latn-RS"/>
              </w:rPr>
              <w:t xml:space="preserv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x </w:t>
            </w:r>
          </w:p>
        </w:tc>
        <w:tc>
          <w:tcPr>
            <w:tcW w:w="115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408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/g</w:t>
            </w:r>
            <w:r w:rsidRPr="00984859">
              <w:rPr>
                <w:rFonts w:ascii="Symbol" w:eastAsia="Times New Roman" w:hAnsi="Symbol" w:cs="Arial"/>
                <w:lang w:eastAsia="sr-Latn-RS"/>
              </w:rPr>
              <w:t></w:t>
            </w:r>
          </w:p>
        </w:tc>
        <w:tc>
          <w:tcPr>
            <w:tcW w:w="8910"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6</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1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%OC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OC jeste procenat organskog ugljenika u uzorku zemljišta (g/g).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Koeficijent K</w:t>
      </w:r>
      <w:r w:rsidRPr="00984859">
        <w:rPr>
          <w:rFonts w:ascii="Arial" w:eastAsia="Times New Roman" w:hAnsi="Arial" w:cs="Arial"/>
          <w:sz w:val="15"/>
          <w:szCs w:val="15"/>
          <w:vertAlign w:val="subscript"/>
          <w:lang w:eastAsia="sr-Latn-RS"/>
        </w:rPr>
        <w:t xml:space="preserve">oc </w:t>
      </w:r>
      <w:r w:rsidRPr="00984859">
        <w:rPr>
          <w:rFonts w:ascii="Arial" w:eastAsia="Times New Roman" w:hAnsi="Arial" w:cs="Arial"/>
          <w:lang w:eastAsia="sr-Latn-RS"/>
        </w:rPr>
        <w:t>jeste apsolutni broj koji bliže opisuje raspodelu, naročito nepolarnih organskih hemikalija, između organskog ugljenika u zemljištu ili sedimenta i vode. Adsorpcija ovih hemikalija korelira se sa sadržajem organskog ugljenika u čvrstom sorbensu</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Vrednosti K</w:t>
      </w:r>
      <w:r w:rsidRPr="00984859">
        <w:rPr>
          <w:rFonts w:ascii="Arial" w:eastAsia="Times New Roman" w:hAnsi="Arial" w:cs="Arial"/>
          <w:sz w:val="15"/>
          <w:szCs w:val="15"/>
          <w:vertAlign w:val="subscript"/>
          <w:lang w:eastAsia="sr-Latn-RS"/>
        </w:rPr>
        <w:t xml:space="preserve">oc </w:t>
      </w:r>
      <w:r w:rsidRPr="00984859">
        <w:rPr>
          <w:rFonts w:ascii="Arial" w:eastAsia="Times New Roman" w:hAnsi="Arial" w:cs="Arial"/>
          <w:lang w:eastAsia="sr-Latn-RS"/>
        </w:rPr>
        <w:t xml:space="preserve">zavise od specifičnih parametara zemljišnih frakcija, koje se, zbog razlika u poreklu, načinu nastanka, itd. značajno razlikuju po svom sorptivnom kapacitetu.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2.1.1. Adsorpcione izoterme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Jednačina Frojndlihovih adsorpcionih izotermi povezuje količinu adsorbovane ispitivane supstance sa njenom koncentracijom u rastvoru u trenutku dostizanja ravnotežnog stanja (jednačina [8]).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Podaci se obrađuju u odeljku 2.1. ove metode, a za svaku od ispitivanih posuda izračuna se sadržaj ispitivane supstance koja se adsorbovala na zemljište po završetku studije adsorpcije 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na drugim mestima oznaka x/m. Smatra se da je ravnotežno stanje postignuto i da 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predstavlja ravnotežnu vrednost: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5"/>
        <w:gridCol w:w="1021"/>
        <w:gridCol w:w="168"/>
        <w:gridCol w:w="1825"/>
        <w:gridCol w:w="374"/>
        <w:gridCol w:w="1068"/>
        <w:gridCol w:w="3691"/>
      </w:tblGrid>
      <w:tr w:rsidR="00984859" w:rsidRPr="00984859" w:rsidTr="00984859">
        <w:trPr>
          <w:tblCellSpacing w:w="0" w:type="dxa"/>
        </w:trPr>
        <w:tc>
          <w:tcPr>
            <w:tcW w:w="96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130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180" w:type="dxa"/>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1815"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 </w:t>
            </w:r>
          </w:p>
        </w:tc>
        <w:tc>
          <w:tcPr>
            <w:tcW w:w="42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xV</w:t>
            </w:r>
            <w:r w:rsidRPr="00984859">
              <w:rPr>
                <w:rFonts w:ascii="Arial" w:eastAsia="Times New Roman" w:hAnsi="Arial" w:cs="Arial"/>
                <w:sz w:val="15"/>
                <w:szCs w:val="15"/>
                <w:vertAlign w:val="subscript"/>
                <w:lang w:eastAsia="sr-Latn-RS"/>
              </w:rPr>
              <w:t>0</w:t>
            </w:r>
          </w:p>
        </w:tc>
        <w:tc>
          <w:tcPr>
            <w:tcW w:w="177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t>
            </w:r>
            <w:r w:rsidRPr="00984859">
              <w:rPr>
                <w:rFonts w:ascii="Symbol" w:eastAsia="Times New Roman" w:hAnsi="Symbol" w:cs="Arial"/>
                <w:lang w:eastAsia="sr-Latn-RS"/>
              </w:rPr>
              <w:t></w:t>
            </w:r>
            <w:r w:rsidRPr="00984859">
              <w:rPr>
                <w:rFonts w:ascii="Arial" w:eastAsia="Times New Roman" w:hAnsi="Arial" w:cs="Arial"/>
                <w:lang w:eastAsia="sr-Latn-RS"/>
              </w:rPr>
              <w:t xml:space="preserve">g/g] </w:t>
            </w:r>
          </w:p>
        </w:tc>
        <w:tc>
          <w:tcPr>
            <w:tcW w:w="8610"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7</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30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zemljišta</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81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zemljišta</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Frojndlihova jednačina adsorpcije data je u jednačini [8]: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(eq) = K</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x 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w:t>
      </w:r>
      <w:r w:rsidRPr="00984859">
        <w:rPr>
          <w:rFonts w:ascii="Arial" w:eastAsia="Times New Roman" w:hAnsi="Arial" w:cs="Arial"/>
          <w:sz w:val="15"/>
          <w:szCs w:val="15"/>
          <w:vertAlign w:val="superscript"/>
          <w:lang w:eastAsia="sr-Latn-RS"/>
        </w:rPr>
        <w:t>1/n</w:t>
      </w:r>
      <w:r w:rsidRPr="00984859">
        <w:rPr>
          <w:rFonts w:ascii="Arial" w:eastAsia="Times New Roman" w:hAnsi="Arial" w:cs="Arial"/>
          <w:lang w:eastAsia="sr-Latn-RS"/>
        </w:rPr>
        <w:t xml:space="preserve"> [</w:t>
      </w:r>
      <w:r w:rsidRPr="00984859">
        <w:rPr>
          <w:rFonts w:ascii="Symbol" w:eastAsia="Times New Roman" w:hAnsi="Symbol" w:cs="Arial"/>
          <w:lang w:eastAsia="sr-Latn-RS"/>
        </w:rPr>
        <w:t></w:t>
      </w:r>
      <w:r w:rsidRPr="00984859">
        <w:rPr>
          <w:rFonts w:ascii="Arial" w:eastAsia="Times New Roman" w:hAnsi="Arial" w:cs="Arial"/>
          <w:lang w:eastAsia="sr-Latn-RS"/>
        </w:rPr>
        <w:t xml:space="preserve">g/g] </w:t>
      </w:r>
      <w:r w:rsidRPr="00984859">
        <w:rPr>
          <w:rFonts w:ascii="Symbol" w:eastAsia="Times New Roman" w:hAnsi="Symbol" w:cs="Arial"/>
          <w:lang w:eastAsia="sr-Latn-RS"/>
        </w:rPr>
        <w:t></w:t>
      </w:r>
      <w:r w:rsidRPr="00984859">
        <w:rPr>
          <w:rFonts w:ascii="Arial" w:eastAsia="Times New Roman" w:hAnsi="Arial" w:cs="Arial"/>
          <w:lang w:eastAsia="sr-Latn-RS"/>
        </w:rPr>
        <w:t>8</w:t>
      </w:r>
      <w:r w:rsidRPr="00984859">
        <w:rPr>
          <w:rFonts w:ascii="Symbol" w:eastAsia="Times New Roman" w:hAnsi="Symbol" w:cs="Arial"/>
          <w:lang w:eastAsia="sr-Latn-RS"/>
        </w:rPr>
        <w:t></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u linearnom obliku: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 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(eq) = log 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+ 1/n x log 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r w:rsidRPr="00984859">
        <w:rPr>
          <w:rFonts w:ascii="Symbol" w:eastAsia="Times New Roman" w:hAnsi="Symbol" w:cs="Arial"/>
          <w:lang w:eastAsia="sr-Latn-RS"/>
        </w:rPr>
        <w:t></w:t>
      </w:r>
      <w:r w:rsidRPr="00984859">
        <w:rPr>
          <w:rFonts w:ascii="Arial" w:eastAsia="Times New Roman" w:hAnsi="Arial" w:cs="Arial"/>
          <w:lang w:eastAsia="sr-Latn-RS"/>
        </w:rPr>
        <w:t>9</w:t>
      </w:r>
      <w:r w:rsidRPr="00984859">
        <w:rPr>
          <w:rFonts w:ascii="Symbol" w:eastAsia="Times New Roman" w:hAnsi="Symbol" w:cs="Arial"/>
          <w:lang w:eastAsia="sr-Latn-RS"/>
        </w:rPr>
        <w:t></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jeste Frojndlihova konstanta adsorpcije; njegova dimenzija je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/g samo ako je 1/n = 1; u svim drugim slučajevima nagib 1/n uvodi u dimenziju 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(μg</w:t>
      </w:r>
      <w:r w:rsidRPr="00984859">
        <w:rPr>
          <w:rFonts w:ascii="Arial" w:eastAsia="Times New Roman" w:hAnsi="Arial" w:cs="Arial"/>
          <w:sz w:val="15"/>
          <w:szCs w:val="15"/>
          <w:vertAlign w:val="superscript"/>
          <w:lang w:eastAsia="sr-Latn-RS"/>
        </w:rPr>
        <w:t>1-1/n</w:t>
      </w:r>
      <w:r w:rsidRPr="00984859">
        <w:rPr>
          <w:rFonts w:ascii="Arial" w:eastAsia="Times New Roman" w:hAnsi="Arial" w:cs="Arial"/>
          <w:lang w:eastAsia="sr-Latn-RS"/>
        </w:rPr>
        <w:t xml:space="preserve">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w:t>
      </w:r>
      <w:r w:rsidRPr="00984859">
        <w:rPr>
          <w:rFonts w:ascii="Arial" w:eastAsia="Times New Roman" w:hAnsi="Arial" w:cs="Arial"/>
          <w:sz w:val="15"/>
          <w:szCs w:val="15"/>
          <w:vertAlign w:val="superscript"/>
          <w:lang w:eastAsia="sr-Latn-RS"/>
        </w:rPr>
        <w:t>1/n</w:t>
      </w:r>
      <w:r w:rsidRPr="00984859">
        <w:rPr>
          <w:rFonts w:ascii="Arial" w:eastAsia="Times New Roman" w:hAnsi="Arial" w:cs="Arial"/>
          <w:lang w:eastAsia="sr-Latn-RS"/>
        </w:rPr>
        <w:t xml:space="preserve"> g</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 jeste konstanta regresije; 1/n je uglavnom unutar opsega 0,7 do 1,0 i sugeriše da su podaci o adsorpciji često blago nelinearni.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Jednačine [8] i [9] grafički se prikazuju, a vrednosti 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i 1/n računaju se pomoću regresione analize, upotrebom jednačine [9]. Računa se i koeficijent korelacije logaritamske jednačine r</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Primer takvih krivih dat je na slici 2.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4486275" cy="1733550"/>
            <wp:effectExtent l="0" t="0" r="9525" b="0"/>
            <wp:docPr id="149" name="Picture 149" descr="C:\Program Files (x86)\ParagrafLex\browser\Files\Old\t\t2013_12\t12_0570_s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Program Files (x86)\ParagrafLex\browser\Files\Old\t\t2013_12\t12_0570_s108.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86275" cy="17335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2.1.2. Maseni balans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Maseni balans (mass balance, u daljem tekstu: MB) jeste procenat supstance koji se može analitički detektovati, a ostaje nakon ispitivanja adsorpcije, u odnosu na nominalnu količinu supstance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rastvarač može u potpunosti pomešati sa vodom, obrada podataka je drugačija. Ako se rastvarač meša u potpunosti sa vodom, u cilju određivanja količine supstance koja se naknadno može ekstrahovati rastvaračem može se primeniti način obrade podataka iz odeljka 2.2. ove metode. Ako se rastvarač ne meša potpuno sa vodom, potrebno je odrediti količinu supstance koja se naknadno može detektovati.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MB se pri adsorpciji računa na sledeći način - podrazumeva se da naziv (m</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 odgovara zbiru masa ispitivane hemikalije, ekstrahovane iz zemljišta i sa površine posude za ispitivanje pomoću organskog rastvarača: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92"/>
        <w:gridCol w:w="2965"/>
        <w:gridCol w:w="1180"/>
        <w:gridCol w:w="4475"/>
      </w:tblGrid>
      <w:tr w:rsidR="00984859" w:rsidRPr="00984859" w:rsidTr="00984859">
        <w:trPr>
          <w:tblCellSpacing w:w="0" w:type="dxa"/>
        </w:trPr>
        <w:tc>
          <w:tcPr>
            <w:tcW w:w="64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MB = </w:t>
            </w:r>
          </w:p>
        </w:tc>
        <w:tc>
          <w:tcPr>
            <w:tcW w:w="2955"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rec</w:t>
            </w:r>
            <w:r w:rsidRPr="00984859">
              <w:rPr>
                <w:rFonts w:ascii="Arial" w:eastAsia="Times New Roman" w:hAnsi="Arial" w:cs="Arial"/>
                <w:lang w:eastAsia="sr-Latn-RS"/>
              </w:rPr>
              <w:t xml:space="preserve"> x 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(eq) + m</w:t>
            </w:r>
            <w:r w:rsidRPr="00984859">
              <w:rPr>
                <w:rFonts w:ascii="Arial" w:eastAsia="Times New Roman" w:hAnsi="Arial" w:cs="Arial"/>
                <w:sz w:val="15"/>
                <w:szCs w:val="15"/>
                <w:vertAlign w:val="subscript"/>
                <w:lang w:eastAsia="sr-Latn-RS"/>
              </w:rPr>
              <w:t>E</w:t>
            </w:r>
            <w:r w:rsidRPr="00984859">
              <w:rPr>
                <w:rFonts w:ascii="Arial" w:eastAsia="Times New Roman" w:hAnsi="Arial" w:cs="Arial"/>
                <w:lang w:eastAsia="sr-Latn-RS"/>
              </w:rPr>
              <w:t xml:space="preserve">)x100 </w:t>
            </w:r>
          </w:p>
        </w:tc>
        <w:tc>
          <w:tcPr>
            <w:tcW w:w="216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w:t>
            </w:r>
            <w:r w:rsidRPr="00984859">
              <w:rPr>
                <w:rFonts w:ascii="Symbol" w:eastAsia="Times New Roman" w:hAnsi="Symbol" w:cs="Arial"/>
                <w:lang w:eastAsia="sr-Latn-RS"/>
              </w:rPr>
              <w:t></w:t>
            </w:r>
          </w:p>
        </w:tc>
        <w:tc>
          <w:tcPr>
            <w:tcW w:w="9390"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10</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29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x C</w:t>
            </w:r>
            <w:r w:rsidRPr="00984859">
              <w:rPr>
                <w:rFonts w:ascii="Arial" w:eastAsia="Times New Roman" w:hAnsi="Arial" w:cs="Arial"/>
                <w:sz w:val="15"/>
                <w:szCs w:val="15"/>
                <w:vertAlign w:val="subscript"/>
                <w:lang w:eastAsia="sr-Latn-RS"/>
              </w:rPr>
              <w:t>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MB jeste maseni balans (%);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 xml:space="preserve">E </w:t>
      </w:r>
      <w:r w:rsidRPr="00984859">
        <w:rPr>
          <w:rFonts w:ascii="Arial" w:eastAsia="Times New Roman" w:hAnsi="Arial" w:cs="Arial"/>
          <w:lang w:eastAsia="sr-Latn-RS"/>
        </w:rPr>
        <w:t xml:space="preserve">jeste ukupna masa (mg) ispitivane supstance ekstrahovana iz zemljišta i sa zidova posude za ispitivanje u dva koraka;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početna masena koncentracija ispitivane supstance koja se nalazi u dodiru sa zemljištem (mg/cm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rec</w:t>
      </w:r>
      <w:r w:rsidRPr="00984859">
        <w:rPr>
          <w:rFonts w:ascii="Arial" w:eastAsia="Times New Roman" w:hAnsi="Arial" w:cs="Arial"/>
          <w:lang w:eastAsia="sr-Latn-RS"/>
        </w:rPr>
        <w:t xml:space="preserve"> jeste zapremina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supernatanta nakon dostizanja ravnotežnog stanja adsorpcije.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DESORPCIJA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Desorpcija (u daljem tekstu: D) jeste procenat ispitivane supstance koji se desorbovao, u odnosu na količinu supstance koja se, u datim ispitivanim uslovima, ranije adsorbovala: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24"/>
        <w:gridCol w:w="1145"/>
        <w:gridCol w:w="2459"/>
        <w:gridCol w:w="5084"/>
      </w:tblGrid>
      <w:tr w:rsidR="00984859" w:rsidRPr="00984859" w:rsidTr="00984859">
        <w:trPr>
          <w:tblCellSpacing w:w="0" w:type="dxa"/>
        </w:trPr>
        <w:tc>
          <w:tcPr>
            <w:tcW w:w="55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 </w:t>
            </w:r>
          </w:p>
        </w:tc>
        <w:tc>
          <w:tcPr>
            <w:tcW w:w="144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390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x100</w:t>
            </w:r>
            <w:r w:rsidRPr="00984859">
              <w:rPr>
                <w:rFonts w:ascii="Symbol" w:eastAsia="Times New Roman" w:hAnsi="Symbol" w:cs="Arial"/>
                <w:lang w:eastAsia="sr-Latn-RS"/>
              </w:rPr>
              <w:t></w:t>
            </w:r>
            <w:r w:rsidRPr="00984859">
              <w:rPr>
                <w:rFonts w:ascii="Arial" w:eastAsia="Times New Roman" w:hAnsi="Arial" w:cs="Arial"/>
                <w:lang w:eastAsia="sr-Latn-RS"/>
              </w:rPr>
              <w:t>%</w:t>
            </w:r>
            <w:r w:rsidRPr="00984859">
              <w:rPr>
                <w:rFonts w:ascii="Symbol" w:eastAsia="Times New Roman" w:hAnsi="Symbol" w:cs="Arial"/>
                <w:lang w:eastAsia="sr-Latn-RS"/>
              </w:rPr>
              <w:t></w:t>
            </w:r>
          </w:p>
        </w:tc>
        <w:tc>
          <w:tcPr>
            <w:tcW w:w="9255"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11</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44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procenat desorpcije u tački vremena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jeste masa (μg) ispitivane supstance desorbovana iz zemljišta u tački vremena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jeste masa (μg) ispitivane supstance adsorbovana na zemljište u trenutku dostizanja ravnotežnog stanja adsorpcije.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Način izračunavanja postotka desorpcije D</w:t>
      </w:r>
      <w:r w:rsidRPr="00984859">
        <w:rPr>
          <w:rFonts w:ascii="Arial" w:eastAsia="Times New Roman" w:hAnsi="Arial" w:cs="Arial"/>
          <w:sz w:val="15"/>
          <w:szCs w:val="15"/>
          <w:vertAlign w:val="subscript"/>
          <w:lang w:eastAsia="sr-Latn-RS"/>
        </w:rPr>
        <w:t>ti</w:t>
      </w:r>
      <w:r w:rsidRPr="00984859">
        <w:rPr>
          <w:rFonts w:ascii="Arial" w:eastAsia="Times New Roman" w:hAnsi="Arial" w:cs="Arial"/>
          <w:lang w:eastAsia="sr-Latn-RS"/>
        </w:rPr>
        <w:t xml:space="preserve">, ako se koriste paralelno, odnosno redna metoda, dati su u Delu šestom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datim ispitivanim uslovima vidljivi koeficijent desorpcije (K</w:t>
      </w:r>
      <w:r w:rsidRPr="00984859">
        <w:rPr>
          <w:rFonts w:ascii="Arial" w:eastAsia="Times New Roman" w:hAnsi="Arial" w:cs="Arial"/>
          <w:sz w:val="15"/>
          <w:szCs w:val="15"/>
          <w:vertAlign w:val="subscript"/>
          <w:lang w:eastAsia="sr-Latn-RS"/>
        </w:rPr>
        <w:t>des</w:t>
      </w:r>
      <w:r w:rsidRPr="00984859">
        <w:rPr>
          <w:rFonts w:ascii="Arial" w:eastAsia="Times New Roman" w:hAnsi="Arial" w:cs="Arial"/>
          <w:lang w:eastAsia="sr-Latn-RS"/>
        </w:rPr>
        <w:t xml:space="preserve">) jeste odnos sadržaja supstance koji je ostao u čvrstoj fazi i masene koncentracije desorbovane supstance u vodenom rastvoru, u trenutku kada se dostigne ravnotežno stanje desorpcije: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20"/>
        <w:gridCol w:w="2995"/>
        <w:gridCol w:w="1345"/>
        <w:gridCol w:w="4252"/>
      </w:tblGrid>
      <w:tr w:rsidR="00984859" w:rsidRPr="00984859" w:rsidTr="00984859">
        <w:trPr>
          <w:tblCellSpacing w:w="0" w:type="dxa"/>
        </w:trPr>
        <w:tc>
          <w:tcPr>
            <w:tcW w:w="75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des</w:t>
            </w:r>
            <w:r w:rsidRPr="00984859">
              <w:rPr>
                <w:rFonts w:ascii="Arial" w:eastAsia="Times New Roman" w:hAnsi="Arial" w:cs="Arial"/>
                <w:lang w:eastAsia="sr-Latn-RS"/>
              </w:rPr>
              <w:t xml:space="preserve"> = </w:t>
            </w:r>
          </w:p>
        </w:tc>
        <w:tc>
          <w:tcPr>
            <w:tcW w:w="2985"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(eq) -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(eq) x V</w:t>
            </w:r>
            <w:r w:rsidRPr="00984859">
              <w:rPr>
                <w:rFonts w:ascii="Arial" w:eastAsia="Times New Roman" w:hAnsi="Arial" w:cs="Arial"/>
                <w:sz w:val="15"/>
                <w:szCs w:val="15"/>
                <w:vertAlign w:val="subscript"/>
                <w:lang w:eastAsia="sr-Latn-RS"/>
              </w:rPr>
              <w:t>T</w:t>
            </w:r>
          </w:p>
        </w:tc>
        <w:tc>
          <w:tcPr>
            <w:tcW w:w="217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/g</w:t>
            </w:r>
            <w:r w:rsidRPr="00984859">
              <w:rPr>
                <w:rFonts w:ascii="Symbol" w:eastAsia="Times New Roman" w:hAnsi="Symbol" w:cs="Arial"/>
                <w:lang w:eastAsia="sr-Latn-RS"/>
              </w:rPr>
              <w:t></w:t>
            </w:r>
          </w:p>
        </w:tc>
        <w:tc>
          <w:tcPr>
            <w:tcW w:w="9240"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12</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298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(eq)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des</w:t>
      </w:r>
      <w:r w:rsidRPr="00984859">
        <w:rPr>
          <w:rFonts w:ascii="Arial" w:eastAsia="Times New Roman" w:hAnsi="Arial" w:cs="Arial"/>
          <w:lang w:eastAsia="sr-Latn-RS"/>
        </w:rPr>
        <w:t xml:space="preserve"> jeste koeficijent desorpcije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(eq) jeste ukupna masa (μg) ispitivane supstance desorbovana iz zemljišta u trenutku dostizanja ravnotežnog stanja desorpcije;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jeste ukupna zapremina tečne faze koji se u toku ispitivanja kinetike desorpcije nalazi u dodiru sa zemljištem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Smernice za izračunavanje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(aq) date su u odeljku 2.2. i u Delu šestom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Napomena: Ukoliko je ispitivanje adsorpcije koje prethodi ovom ispitivanju izvedeno paralelnom metodom, smatra se da je zapremina V</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u jednačini [12] jednaka V</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2.2.1. Desorpcione izoterme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Frojndlihova jednačina desorpcionih izotermi stavlja sadržaj ispitivane supstance koji je ostao adsorbovan na zemljište u odnos sa koncentracijom ispitivane supstance u rastvoru u trenutku dostizanja ravnotežnog stanja desorpcije (jednačina [16]).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svaku od kiveta u kojima se nalazi ispitivani uzorak, sadržaj supstance koji je u trenutku dostizanja ravnotežnog stanja desorpcije ostao adsorbovan na zemljište računa se na sledeći način: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25"/>
        <w:gridCol w:w="3265"/>
        <w:gridCol w:w="798"/>
        <w:gridCol w:w="3724"/>
      </w:tblGrid>
      <w:tr w:rsidR="00984859" w:rsidRPr="00984859" w:rsidTr="00984859">
        <w:trPr>
          <w:tblCellSpacing w:w="0" w:type="dxa"/>
        </w:trPr>
        <w:tc>
          <w:tcPr>
            <w:tcW w:w="132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(eq) = </w:t>
            </w:r>
          </w:p>
        </w:tc>
        <w:tc>
          <w:tcPr>
            <w:tcW w:w="3255"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(eq) -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(eq) </w:t>
            </w:r>
          </w:p>
        </w:tc>
        <w:tc>
          <w:tcPr>
            <w:tcW w:w="112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Symbol" w:eastAsia="Times New Roman" w:hAnsi="Symbol" w:cs="Arial"/>
                <w:lang w:eastAsia="sr-Latn-RS"/>
              </w:rPr>
              <w:t></w:t>
            </w:r>
            <w:r w:rsidRPr="00984859">
              <w:rPr>
                <w:rFonts w:ascii="Arial" w:eastAsia="Times New Roman" w:hAnsi="Arial" w:cs="Arial"/>
                <w:lang w:eastAsia="sr-Latn-RS"/>
              </w:rPr>
              <w:t>g/g</w:t>
            </w:r>
            <w:r w:rsidRPr="00984859">
              <w:rPr>
                <w:rFonts w:ascii="Symbol" w:eastAsia="Times New Roman" w:hAnsi="Symbol" w:cs="Arial"/>
                <w:lang w:eastAsia="sr-Latn-RS"/>
              </w:rPr>
              <w:t></w:t>
            </w:r>
          </w:p>
        </w:tc>
        <w:tc>
          <w:tcPr>
            <w:tcW w:w="9450"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13</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325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zemljišta</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(eq) se definiše kao: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405"/>
        <w:gridCol w:w="647"/>
        <w:gridCol w:w="1479"/>
        <w:gridCol w:w="4581"/>
      </w:tblGrid>
      <w:tr w:rsidR="00984859" w:rsidRPr="00984859" w:rsidTr="00984859">
        <w:trPr>
          <w:tblCellSpacing w:w="0" w:type="dxa"/>
        </w:trPr>
        <w:tc>
          <w:tcPr>
            <w:tcW w:w="240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(eq) = 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(eq) x </w:t>
            </w:r>
          </w:p>
        </w:tc>
        <w:tc>
          <w:tcPr>
            <w:tcW w:w="108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228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w:t>
            </w:r>
            <w:r w:rsidRPr="00984859">
              <w:rPr>
                <w:rFonts w:ascii="Symbol" w:eastAsia="Times New Roman" w:hAnsi="Symbol" w:cs="Arial"/>
                <w:lang w:eastAsia="sr-Latn-RS"/>
              </w:rPr>
              <w:t></w:t>
            </w:r>
            <w:r w:rsidRPr="00984859">
              <w:rPr>
                <w:rFonts w:ascii="Symbol" w:eastAsia="Times New Roman" w:hAnsi="Symbol" w:cs="Arial"/>
                <w:lang w:eastAsia="sr-Latn-RS"/>
              </w:rPr>
              <w:t></w:t>
            </w:r>
            <w:r w:rsidRPr="00984859">
              <w:rPr>
                <w:rFonts w:ascii="Arial" w:eastAsia="Times New Roman" w:hAnsi="Arial" w:cs="Arial"/>
                <w:lang w:eastAsia="sr-Latn-RS"/>
              </w:rPr>
              <w:t>g</w:t>
            </w:r>
            <w:r w:rsidRPr="00984859">
              <w:rPr>
                <w:rFonts w:ascii="Symbol" w:eastAsia="Times New Roman" w:hAnsi="Symbol" w:cs="Arial"/>
                <w:lang w:eastAsia="sr-Latn-RS"/>
              </w:rPr>
              <w:t></w:t>
            </w:r>
          </w:p>
        </w:tc>
        <w:tc>
          <w:tcPr>
            <w:tcW w:w="9390"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14</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08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w:t>
            </w:r>
            <w:r w:rsidRPr="00984859">
              <w:rPr>
                <w:rFonts w:ascii="Arial" w:eastAsia="Times New Roman" w:hAnsi="Arial" w:cs="Arial"/>
                <w:sz w:val="15"/>
                <w:szCs w:val="15"/>
                <w:vertAlign w:val="superscript"/>
                <w:lang w:eastAsia="sr-Latn-RS"/>
              </w:rPr>
              <w:t>F</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 xml:space="preserve">des </w:t>
      </w:r>
      <w:r w:rsidRPr="00984859">
        <w:rPr>
          <w:rFonts w:ascii="Arial" w:eastAsia="Times New Roman" w:hAnsi="Arial" w:cs="Arial"/>
          <w:lang w:eastAsia="sr-Latn-RS"/>
        </w:rPr>
        <w:t xml:space="preserve">(eq) jeste sadržaj (μg/g) ispitivane supstance koji je u trenutku dostizanja ravnotežnog stanja desorpcije ostao adsorbovan na zemljište;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(eq) jeste masa (μg) supstance, određena u tečnoj fazi u trenutku dostizanja ravnotežnog stanja desorpcije analitičkim putem;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w:t>
      </w:r>
      <w:r w:rsidRPr="00984859">
        <w:rPr>
          <w:rFonts w:ascii="Arial" w:eastAsia="Times New Roman" w:hAnsi="Arial" w:cs="Arial"/>
          <w:lang w:eastAsia="sr-Latn-RS"/>
        </w:rPr>
        <w:t xml:space="preserve"> jeste masa (μg) ispitivane supstance koja je zbog nepotpune zamene zapremine ostala nakon dostizanja ravnotežnog stanja adsorpcije;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(eq) jeste masa (μg) supstance u rastvoru u trenutku dostizanja ravnotežnog stanja adsorpcije;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46"/>
        <w:gridCol w:w="1107"/>
        <w:gridCol w:w="105"/>
        <w:gridCol w:w="797"/>
        <w:gridCol w:w="1394"/>
        <w:gridCol w:w="5163"/>
      </w:tblGrid>
      <w:tr w:rsidR="00984859" w:rsidRPr="00984859" w:rsidTr="00984859">
        <w:trPr>
          <w:tblCellSpacing w:w="0" w:type="dxa"/>
        </w:trPr>
        <w:tc>
          <w:tcPr>
            <w:tcW w:w="67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w:t>
            </w:r>
            <w:r w:rsidRPr="00984859">
              <w:rPr>
                <w:rFonts w:ascii="Arial" w:eastAsia="Times New Roman" w:hAnsi="Arial" w:cs="Arial"/>
                <w:lang w:eastAsia="sr-Latn-RS"/>
              </w:rPr>
              <w:t xml:space="preserve"> = </w:t>
            </w:r>
          </w:p>
        </w:tc>
        <w:tc>
          <w:tcPr>
            <w:tcW w:w="130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x </w:t>
            </w:r>
          </w:p>
        </w:tc>
        <w:tc>
          <w:tcPr>
            <w:tcW w:w="10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t>
            </w:r>
          </w:p>
        </w:tc>
        <w:tc>
          <w:tcPr>
            <w:tcW w:w="126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V</w:t>
            </w:r>
            <w:r w:rsidRPr="00984859">
              <w:rPr>
                <w:rFonts w:ascii="Arial" w:eastAsia="Times New Roman" w:hAnsi="Arial" w:cs="Arial"/>
                <w:sz w:val="15"/>
                <w:szCs w:val="15"/>
                <w:vertAlign w:val="subscript"/>
                <w:lang w:eastAsia="sr-Latn-RS"/>
              </w:rPr>
              <w:t>R</w:t>
            </w:r>
          </w:p>
        </w:tc>
        <w:tc>
          <w:tcPr>
            <w:tcW w:w="250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w:t>
            </w:r>
          </w:p>
        </w:tc>
        <w:tc>
          <w:tcPr>
            <w:tcW w:w="9240"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15</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26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w:t>
      </w:r>
      <w:r w:rsidRPr="00984859">
        <w:rPr>
          <w:rFonts w:ascii="Arial" w:eastAsia="Times New Roman" w:hAnsi="Arial" w:cs="Arial"/>
          <w:sz w:val="15"/>
          <w:szCs w:val="15"/>
          <w:vertAlign w:val="superscript"/>
          <w:lang w:eastAsia="sr-Latn-RS"/>
        </w:rPr>
        <w:t>F</w:t>
      </w:r>
      <w:r w:rsidRPr="00984859">
        <w:rPr>
          <w:rFonts w:ascii="Arial" w:eastAsia="Times New Roman" w:hAnsi="Arial" w:cs="Arial"/>
          <w:lang w:eastAsia="sr-Latn-RS"/>
        </w:rPr>
        <w:t xml:space="preserve"> jeste zapremina rastvora uzeta iz posude za ispitivanje u cilju merenja u trenutku dostizanja ravnotežnog stanja desorpcije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jeste zapremina supernatanta odstranjenog iz posude za ispitivanje nakon postizanja ravnotežnog stanja adsorbcije i zamenjena istom zapreminom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Frojndlihova jednačina desorpcije: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(eq) = 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x 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(eq)</w:t>
      </w:r>
      <w:r w:rsidRPr="00984859">
        <w:rPr>
          <w:rFonts w:ascii="Arial" w:eastAsia="Times New Roman" w:hAnsi="Arial" w:cs="Arial"/>
          <w:sz w:val="15"/>
          <w:szCs w:val="15"/>
          <w:vertAlign w:val="superscript"/>
          <w:lang w:eastAsia="sr-Latn-RS"/>
        </w:rPr>
        <w:t>1/n</w:t>
      </w:r>
      <w:r w:rsidRPr="00984859">
        <w:rPr>
          <w:rFonts w:ascii="Symbol" w:eastAsia="Times New Roman" w:hAnsi="Symbol" w:cs="Arial"/>
          <w:lang w:eastAsia="sr-Latn-RS"/>
        </w:rPr>
        <w:t></w:t>
      </w:r>
      <w:r w:rsidRPr="00984859">
        <w:rPr>
          <w:rFonts w:ascii="Symbol" w:eastAsia="Times New Roman" w:hAnsi="Symbol" w:cs="Arial"/>
          <w:lang w:eastAsia="sr-Latn-RS"/>
        </w:rPr>
        <w:t></w:t>
      </w:r>
      <w:r w:rsidRPr="00984859">
        <w:rPr>
          <w:rFonts w:ascii="Arial" w:eastAsia="Times New Roman" w:hAnsi="Arial" w:cs="Arial"/>
          <w:lang w:eastAsia="sr-Latn-RS"/>
        </w:rPr>
        <w:t>g/g</w:t>
      </w:r>
      <w:r w:rsidRPr="00984859">
        <w:rPr>
          <w:rFonts w:ascii="Symbol" w:eastAsia="Times New Roman" w:hAnsi="Symbol" w:cs="Arial"/>
          <w:lang w:eastAsia="sr-Latn-RS"/>
        </w:rPr>
        <w:t></w:t>
      </w:r>
      <w:r w:rsidRPr="00984859">
        <w:rPr>
          <w:rFonts w:ascii="Arial" w:eastAsia="Times New Roman" w:hAnsi="Arial" w:cs="Arial"/>
          <w:lang w:eastAsia="sr-Latn-RS"/>
        </w:rPr>
        <w:t xml:space="preserve"> </w:t>
      </w:r>
      <w:r w:rsidRPr="00984859">
        <w:rPr>
          <w:rFonts w:ascii="Symbol" w:eastAsia="Times New Roman" w:hAnsi="Symbol" w:cs="Arial"/>
          <w:lang w:eastAsia="sr-Latn-RS"/>
        </w:rPr>
        <w:t></w:t>
      </w:r>
      <w:r w:rsidRPr="00984859">
        <w:rPr>
          <w:rFonts w:ascii="Arial" w:eastAsia="Times New Roman" w:hAnsi="Arial" w:cs="Arial"/>
          <w:lang w:eastAsia="sr-Latn-RS"/>
        </w:rPr>
        <w:t>16</w:t>
      </w:r>
      <w:r w:rsidRPr="00984859">
        <w:rPr>
          <w:rFonts w:ascii="Symbol" w:eastAsia="Times New Roman" w:hAnsi="Symbol" w:cs="Arial"/>
          <w:lang w:eastAsia="sr-Latn-RS"/>
        </w:rPr>
        <w:t></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u linearnom obliku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 C</w:t>
      </w:r>
      <w:r w:rsidRPr="00984859">
        <w:rPr>
          <w:rFonts w:ascii="Arial" w:eastAsia="Times New Roman" w:hAnsi="Arial" w:cs="Arial"/>
          <w:sz w:val="15"/>
          <w:szCs w:val="15"/>
          <w:vertAlign w:val="subscript"/>
          <w:lang w:eastAsia="sr-Latn-RS"/>
        </w:rPr>
        <w:t>sd</w:t>
      </w:r>
      <w:r w:rsidRPr="00984859">
        <w:rPr>
          <w:rFonts w:ascii="Arial" w:eastAsia="Times New Roman" w:hAnsi="Arial" w:cs="Arial"/>
          <w:sz w:val="15"/>
          <w:szCs w:val="15"/>
          <w:vertAlign w:val="superscript"/>
          <w:lang w:eastAsia="sr-Latn-RS"/>
        </w:rPr>
        <w:t>cs</w:t>
      </w:r>
      <w:r w:rsidRPr="00984859">
        <w:rPr>
          <w:rFonts w:ascii="Arial" w:eastAsia="Times New Roman" w:hAnsi="Arial" w:cs="Arial"/>
          <w:lang w:eastAsia="sr-Latn-RS"/>
        </w:rPr>
        <w:t>(eq) = log 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+ 1/n x log 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(eq) </w:t>
      </w:r>
      <w:r w:rsidRPr="00984859">
        <w:rPr>
          <w:rFonts w:ascii="Symbol" w:eastAsia="Times New Roman" w:hAnsi="Symbol" w:cs="Arial"/>
          <w:lang w:eastAsia="sr-Latn-RS"/>
        </w:rPr>
        <w:t></w:t>
      </w:r>
      <w:r w:rsidRPr="00984859">
        <w:rPr>
          <w:rFonts w:ascii="Arial" w:eastAsia="Times New Roman" w:hAnsi="Arial" w:cs="Arial"/>
          <w:lang w:eastAsia="sr-Latn-RS"/>
        </w:rPr>
        <w:t>17</w:t>
      </w:r>
      <w:r w:rsidRPr="00984859">
        <w:rPr>
          <w:rFonts w:ascii="Symbol" w:eastAsia="Times New Roman" w:hAnsi="Symbol" w:cs="Arial"/>
          <w:lang w:eastAsia="sr-Latn-RS"/>
        </w:rPr>
        <w:t></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 xml:space="preserve">des </w:t>
      </w:r>
      <w:r w:rsidRPr="00984859">
        <w:rPr>
          <w:rFonts w:ascii="Arial" w:eastAsia="Times New Roman" w:hAnsi="Arial" w:cs="Arial"/>
          <w:lang w:eastAsia="sr-Latn-RS"/>
        </w:rPr>
        <w:t xml:space="preserve">jeste Frojndlihova konstanta desorpcije;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n</w:t>
      </w:r>
      <w:r w:rsidRPr="00984859">
        <w:rPr>
          <w:rFonts w:ascii="Arial" w:eastAsia="Times New Roman" w:hAnsi="Arial" w:cs="Arial"/>
          <w:lang w:eastAsia="sr-Latn-RS"/>
        </w:rPr>
        <w:t xml:space="preserve"> jeste konstanta regresije;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(eq) jeste masena koncentracija (mg/cm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supstance u tečnoj fazi u trenutku dostizanja ravnotežnog stanja desorpcije.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Jednačine [16] i [17] mogu se prikazati grafički, a vrednosti K i 1/n se računaju regresionom analizom, korišćenjem jednačine [17].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Napomena: Ukoliko Frojndlihov eksponent adsorpcije, odnosno desorpcije, 1/n, iznosi 1, Frojndlihova adsorpciona, odnosno desorpciona konstanta vezivanja (K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odnosno 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biće jednaka konstantama ravnoteže adsorpcije, odnosno desorpcije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odnosno K</w:t>
      </w:r>
      <w:r w:rsidRPr="00984859">
        <w:rPr>
          <w:rFonts w:ascii="Arial" w:eastAsia="Times New Roman" w:hAnsi="Arial" w:cs="Arial"/>
          <w:sz w:val="15"/>
          <w:szCs w:val="15"/>
          <w:vertAlign w:val="subscript"/>
          <w:lang w:eastAsia="sr-Latn-RS"/>
        </w:rPr>
        <w:t>des</w:t>
      </w:r>
      <w:r w:rsidRPr="00984859">
        <w:rPr>
          <w:rFonts w:ascii="Arial" w:eastAsia="Times New Roman" w:hAnsi="Arial" w:cs="Arial"/>
          <w:lang w:eastAsia="sr-Latn-RS"/>
        </w:rPr>
        <w:t>), a krive C</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xml:space="preserve"> u odnosu na C</w:t>
      </w:r>
      <w:r w:rsidRPr="00984859">
        <w:rPr>
          <w:rFonts w:ascii="Arial" w:eastAsia="Times New Roman" w:hAnsi="Arial" w:cs="Arial"/>
          <w:sz w:val="15"/>
          <w:szCs w:val="15"/>
          <w:vertAlign w:val="subscript"/>
          <w:lang w:eastAsia="sr-Latn-RS"/>
        </w:rPr>
        <w:t>aq</w:t>
      </w:r>
      <w:r w:rsidRPr="00984859">
        <w:rPr>
          <w:rFonts w:ascii="Arial" w:eastAsia="Times New Roman" w:hAnsi="Arial" w:cs="Arial"/>
          <w:lang w:eastAsia="sr-Latn-RS"/>
        </w:rPr>
        <w:t xml:space="preserve"> biće linearne. Ako ovi eksponenti ne iznose 1, krive C</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xml:space="preserve"> u odnosu na C</w:t>
      </w:r>
      <w:r w:rsidRPr="00984859">
        <w:rPr>
          <w:rFonts w:ascii="Arial" w:eastAsia="Times New Roman" w:hAnsi="Arial" w:cs="Arial"/>
          <w:sz w:val="15"/>
          <w:szCs w:val="15"/>
          <w:vertAlign w:val="subscript"/>
          <w:lang w:eastAsia="sr-Latn-RS"/>
        </w:rPr>
        <w:t>aq</w:t>
      </w:r>
      <w:r w:rsidRPr="00984859">
        <w:rPr>
          <w:rFonts w:ascii="Arial" w:eastAsia="Times New Roman" w:hAnsi="Arial" w:cs="Arial"/>
          <w:lang w:eastAsia="sr-Latn-RS"/>
        </w:rPr>
        <w:t xml:space="preserve"> neće biti linearne, a konstante adsorpcije, odnosno desorpcije variraće duž izotermi.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2.2.2.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potpunu identifikaciju upotrebljenih uzoraka zemljišta, uključujući: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geografske odrednice lokacije (geografsku širinu i dužinu),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uzimanja 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upotrebljenu vrstu zemljišta (npr. poljoprivredno zemljište, šuma,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dubinu sa koje je uzet uzorak,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peska/mulja/ilovače,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pH vrednost (u 0,01 M rastvoru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organskog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organske materije,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azota,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količinski odnos ugljenika i azota (C/N),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kapacitet katjonske izmene (mmol/kg);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podatke koji se odnose na prikupljanje i skladištenje uzoraka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sve podatke relevantne za tumačenje adsorpcije/desorpcije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literaturu u kojoj se navode metode upotrebljene za određivanje svakog od pokazatelja,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podatke o ispitivanoj supstanci na za to primeren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temperaturu pri kojoj se ispitivanje odvijalo,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uslove pod kojima su uzorci centrifugirani,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analitički postupak upotrebljen za analizu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u kom se argumentuju razlozi zbog kojih je pri pripremi osnovnog rastvora ispitivane supstance upotrebljeno sredstvo koje olakšava rastvaranje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ukoliko je to relevantno, pojašnjenja korekcija kalkulacija;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podatke u skladu sa obrascem (datim u Delusedmom ove metode) i grafičke prikaze;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sve podatke i zapažanja koji doprinose tumačenju rezultata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Kukowski H. and Brümmer G., (1987) Investigations on the Adsorption and Desorption of SelectedChemicals in Soils. UBA Report 106 02 045, Part II.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Fränzle O., Kuhnt G. and Vetter L., (1987) Selection of Representative Soils in the EC-Territory. UBAReport 106 02 045, Part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Kuhnt G. and Muntau H. (Eds.) EURO-Soils: Identification, Collection, Treatment, Characterisation.Special Publication No 1.94.60, Joint Research Centre. European Commission, ISPRA, December 1994.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OECD Test Guidelines Programme, Final Report of the OECDWorkshop on Selection of Soils/Sediments,Belgirate, Italy, 18-20 January 1995 (June 1995).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US-Environment Protection Agency: Pesticide Assessment Guidelines, Subdivision N, Chemistry:Environmental Fate, Series 163-1, Leaching and Adsorption/Desorption Studies, Addendum 6 on DataReporting, 540/09-88-096, Date: 1/1988.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US-Environment Protection Agency: Prevention, Pesticides and Toxic Substances, OPPTS HarmonizedTest Guidelines, Series 835-Fate, Transport and Transformation Test Guidelines, 0PPTS No: 835.1220Sediment and Soil Adsorption/Desorption Isotherm. EPA No: 712-C-96-048, April 1996.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ASTM Standards, E 1195-85, Standard Test Method for Determining a Sorption Constant (Koc) for anOrganic Chemical in Soil and Sediments.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Agriculture Canada: Environmental Chemistry and Fate. Guidelines for registration of pesticides inCanada, 15 July 1987.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Netherlands Commission Registration Pesticides (1995): Application for registration of a pesticide.Section G. Behaviour of the product and its metabolites in soil, water and air.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Danish National Agency of Environmental Protection (October 1988): Criteria for registration ofpesticides as especially dangerous to health or especially harmful to the environment.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11. BBA (1990) Guidelines for the Official Testing of Plant Protection Products, Biological Research Centrefor Agriculture and Forestry, Braunschweig, Germany.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Calvet R., (1989) 'Evaluation of adsorption coefficients and the prediction of the mobilities of pesticidesin soils', in Methodological Aspects of the Study of Pesticide Behaviour in Soil (ed. P. Jamet), INRA, Paris,(Review).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Calvet R., (1980) 'Adsorption-Desorption Phenomena' in Interactions between herbicides and the soil.(R.J. Hance ed.), Academic Press, London, p. 83-122.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Hasset J.J., and Banwart W.L., (1989), 'The sorption of nonpolar organics by soils and sediments' in Reactions and Movement of Organic Chemicals in Soils. Soil Science Society of America (S.S.S.A), Special Publication No 22, p. 31-44.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van Genuchten M. Th., Davidson J.M., and Wierenga P.J., (1974) 'An evaluation of kinetic and equilibriume quations for the prediction of pesticide movement through porous media'. Soil Sci. Soc. Am. Proc., Vol.38(1), p. 29-35.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McCall P.J., Laskowski D.A., Swann R.L., and Dishburger H.J., (1981) 'Measurement of sorption coefficients of organic chemicals and their use, in environmental fate analysis', in Test Protocols for Environmental Fate and Movement of Toxicants. Proceedings of AOAC Symposium, AOAC, WashingtonDC.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Lambert S.M., Porter P.E., and Schieferrstein R.H., (1965) 'Movement and sorption of chemicals applied tothe soil'. Weeds, 13, p. 185-190.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Rhodes R.C., Belasco I.J., and Pease H.L., (1970) 'Determination of mobility and adsorption ofagrochemicals in soils'. J.Agric.Food Chem., 18, p. 524-528.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Russell M.H., (1995), 'Recommended approaches to assess pesticide mobility in soil' in Environmental Behavior of Agrochemicals (ed. T.R. Roberts and P.C. Kearney). John Wiley &amp; Sons Ltd.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Esser H.O., Hemingway R.J., Klein W., Sharp D.B., Vonk J.W. and Holland P.T., (1988) 'Recommendedapproach to the evaluation of the environmental behavior of pesticides', IUPAC Reports on Pesticides(24). Pure Appl. Chem., 60, p. 901-932.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Guth J.A., Burkhard N., and D.O. Eberle, (1976) 'Experimental models for studying the persistence of pesticides in soils'. Proc. BCPC Symposium: Persistence of Insecticides and Herbicides, p. 137-157, BCPC,Surrey, UK.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Furminge C.G.L., and Osgerby J.M., (1967) 'Persistence of herbicides in soil'. J. Sci. Food Agric., 18, p.269-273.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Burkhard N., and Guth J.A., (1981) 'Chemical hydrolysis of 2-Chloro-4,6-bis(alkylamino)-1,3,5-triazineherbicides and their breakdown in soil under the influence of adsorption'. Pestic. Sci. 12, p. 45-52.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Guth J.A., Gerber H.R., and Schlaepfer T., (1977) 'Effect of adsorption, movement and persistence on thebiological availability of soil-applied pesticides'. Proc. Br. Crop Prot. Conf., 3, p. 961-971.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25. Osgerby J.M., (1973) 'Process affecting herbicide action in soil'. Pestic. Sci., 4, p. 247-258.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 Guth J.A., (1972) 'Adsorptions- und Einwascheverhalten von Pflanzenschutzmitteln in Bcden'. Schr.Reihe Ver. Wass. -Boden-Lufthyg. Berlin-Dahlem, Heft 37, p. 143-154.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27. Hamaker J.W., (1975) 'The interpretation of soil leaching experiments', in Environmental Dynamics of Pesticides (eds R. Haque and V.H. freed), p. 135-172, Plenum Press, NY.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28. Helling C.S., (1971) 'Pesticide mobility in soils'. Soil Sci. Soc. Amer. Proc., 35, p. 732-210.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29. Hamaker J.W., (1972) 'Diffusion and volatilization' in Organic chemicals in the soil environment (C.A.I.Goring and J.W. Hamaker eds), Vol. I, p. 49-143.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30. Burkhard N. and Guth J.A., (1981) 'Rate of volatilisation of pesticides from soil surfaces; Comparison ofcalculated results with those determined in a laboratory model system'. Pestic. Sci. 12, p. 37-44.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31. Cohen S.Z., Creeger S.M., Carsel R.F., and Enfield C.G., (1984) 'Potential pesticide contamination ofgroundwater from agricultural uses', in Treatment and Disposal of Pesticide Wastes, p. 297-325, AcsSymp. Ser. 259, American Chemical Society, Washington, DC.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32. Gustafson D.I., (1989) 'Groundwater ubiquity score: a simple method for assessing pesticide leachability'.J. Environ. Toxic. Chem., 8(4), p. 339-357.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33. Leistra M., and Dekkers W.A., (1976) 'Computed effects of adsorption kinetics on pesticide movement insoils'. J. of Soil Sci., 28, p. 340-350.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34. Bromilov R.H., and Leistra M., (1980) 'Measured and simulated behavior of aldicarb and its oxydationproducts in fallow soils'. Pest. Sci., 11, p. 389-395.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35. Green R.E., and Karickoff S.W., (1990) 'Sorption estimates for modeling', in Pesticides in the SoilEnvironment: Process, Impacts and Modeling (ed. H.H. Cheng). Soil Sci. Soc. Am., Book Series No 2, p.80-101,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36. Lambert S.M., (1967) 'Functional relationship between sorption in soil and chemical structure'. J. Agri.Food Chem., 15, p. 572-576.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37. Hance R.J., (1969) 'An empirical relationship between chemical structure and the sorption of someherbicides by soils'. J. Agri. Food Chem., 17, p. 667-668.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38. Briggs G.G. (1969) 'Molecular structure of herbicides and their sorption by soils'. Nature, 223, p. 1288.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39. Briggs G.G. (1981) 'Theoretical and experimental relationships between soil adsorption, octanol-waterpartition coefficients, water solubilities, bioconcentration factors, and the parachor'. J. Agric. Food Chem.,29, p. 1050-1059.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40. Sabljic A., (1984) 'Predictions of the nature and strength of soil sorption of organic polutance bymolecular topology'. J. Agric. Food Chem., 32, p. 243-246.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41. Bailey G.W., and White J.L., (1970) 'Factors influencing the adsorption, desorption, and movement ofpesticides in soil'. Residue Rev., 32, p. 29-92.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42. Bailey G.W., J.L. White and Y. Rothberg., (1968) 'Adsorption of organic herbicides by montomorillonite:Role of pH and chemical character of adsorbate'. Soil Sci. Soc. Amer. Proc. 32, p. 222-234.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43. Karickhoff S.W., (1981) 'Semi-empirical estimation of sorption of hydrophobic pollutants on naturalsediments and soils'. Chemosphere 10, p. 833-846.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44. Paya-Perez A., Riaz M. and Larsen B., (1989) 'Soil Sorption of 6 Chlorobenzenes and 20 PCB Congeners'.Environ. Toxicol. Safety 21, p. 1-17.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45. Hamaker J.W., and Thompson J.M., (1972) 'Adsorption in organic chemicals' in Organic Chemicals in theSoil Environment (Goring C.A.I. and Hamaker J.W., eds), Vol I and II, Marcel Dekker, Inc., New York, NY,1972, p. 49-143.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46. Deli J., and Warren G.F., 1971 'Adsorption, desorption and leaching of diphenamid in soils'. Weed Sci.19, p. 67-69.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47. Chu-Huang Wu, Buehring N., Davinson J.M. and Santelmann, (1975) 'Napropamide Adsorption,desorption and Movement in soils'. Weed Science, Vol. 23, p. 454-457.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48. Haues M.H.B., Stacey M., and Thompson J.M., (1968) 'Adsorption of s-triazine herbicides by soil organicpreparations' in Isotopes and Radiation in Soil Organic Studies, p. 75, International. Atomic EnergyAgency, Vienna.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49. Pionke H.B., and Deangelis R.J., (1980) 'Methods for distributing pesticide loss in field run-off betweenthe solution and adsorbed phase', CREAMS, in A Field Scale Model for Chemicals, Run-off and Erosionfrom Agricultural Management Systems, Chapter 19, Vol. III: Supporting Documentation, USDAConservation Research report.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50. ISO Standard Compendium Environment: Soil Quality - General aspects; chemical and physicalmethods of analysis; biological methods of analysis. First Edition (1994).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51. Scheffer F., and Schachtschabel, Lehrbuch der Bodenkunde, F. Enke Verlag, Stuttgart (1982) 11th edition.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52. Black, Evans D.D., White J.L., Ensminger L.E., and Clark F.E., eds. 'Methods of Soil Analysis', Vol 1 and 2,American Society of Agronomy, Madison, WI, 1982.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53. ISO/DIS 10381-1 Soil Quality - Sampling - Part 1: Guidance on the design of sampling programmes.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54. ISO/DIS 10381-2 Soil Quality - Sampling - Part 2: Guidance on sampling techniques.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55. ISO/DIS 10381-3 Soil Quality - Sampling - Part 3: Guidance on safety of sampling.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56. ISO/DIS 10381-4 Soil Quality - Sampling - Part 4: Guidance on the investigation of natural andcultivated soils.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57. ISO/DIS 10381-5 Soil Quality - Sampling - Part 5: Guidance on the investigation of soilcontamination of urban and industrial sites.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58. ISO 10381-6, 1993: Soil Quality - Sampling - Part 6: Guidance on the collection, handling andstorage of soil for the assessment of aerobic microbial processes in the laboratory.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59. Green R.E., and Yamane V.K., (1970) 'Precision in pesticide adsorption measurements'. Soil Sci. Am.Proc., 34, 353-354.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60. Grover R., and Hance R.J. (1970) 'Effect of ratio of soil to water on adsorption of linuron and atrazine'.Soil Sci., p. 109-138.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61. Boesten, J.J.T.I, 'Influence of soil/liquid ratio on the experimental error of sorption coefficients inpesticide/soil system'. Pest. Sci. 1990, 30, p. 31-41.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62. Boesten, J.J.T.I. 'Influence of soil/liquid ratio on the experimental error of sorption coefficients in relationto OECD guideline 106' Proceedings of 5th international workshop on environmental behaviour ofpesticides and regulatory aspects, Brussels, 26-29 April 1994.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63. Bastide J., Cantier J.M., et Coste C., (1980) 'Comportement de substances herbicides dans le sol enfonction de leur structure chimique'. Weed Res. 21, p. 227-231.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64. Brown D.S., and Flagg E.W., (1981) 'Empirical prediction of organic pollutants sorption in natural sediments'. J. Environ.Qual., 10(3), p. 382-386.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65. Chiou C.T., Porter P.E., and Schmedding D.W., (1983) 'Partition equilibria of non-ionic organiccompounds between soil organic matter and water'. Environ. Sci. Technol., 17(4), p. 227-231.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66. Gerstl Z., and Mingelgrin U., (1984) 'Sorption of organic substances by soils and sediments'. J. Environm.Sci. Health, B19 (3), p. 297-312.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67. Vowles P.D., and Mantoura R.F.C., (1987), 'Sediment-water partition coefficient and HPLC retentionfactors of aromatic hydrocarbons'. Chemosphere, 16(1), p. 109-116.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68. Lyman W.J., Reehl W.F.and Rosenblatt D.H. (1990) Handbook of Chemical Property Estimation Methods. Environmental Behaviour of Organic Compounds. American Chemical Society, WashingtonDC.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69. Keniga E.E., and Goring, C.A.I. (1980) 'Relationship between water solubility, soil sorption, octanol-water partitioning and concentration of chemicals in the biota' in Aquatic Toxicology (eds J.G. Eaton, et al.), p.78-115, ASTM STP 707, Philadelphia.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70. Chiou C.T., Peters L.J., and Freed V.H., (1979) 'A physical concept of soil-water equilibria for non-ionicorganic compounds'. Science, Vol. 206, p. 831-832.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71. Hassett J.J., Banwart W.I., Wood S.G., and Means J.C., (1981) 'Sorption of/-Naphtol: implications concerning the limits of hydrophobic sorption'. Soil Sci. Soc. Am. J. 45, p. 38-42.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72. Karickhoff S.W., (1981), 'Semi-empirical estimation of sorption of hydrophobic pollutants on natural sediments and soils'. Chemosphere, Vol. 10(8), p. 833-846.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73. Moreale A., van Bladel R., (1981) 'Adsorption de 13 herbicides et insecticides par le sol. Relationsolubilité - reactivité. Revue de l'Agric., 34 (4), p. 319-322.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74. Müller M., Kördel W. (1996) 'Comparison of screening methods for the determination/estimation of adsorption coefficients on soil'. Chemosphere, 32(12), p. 2493-2504.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75. Kördel W., Kotthoff G., Müller M. (1995) 'HPLC - screening method for the determination of the adsorption coefficient on soil - results of a ring test'. Chemosphere 30 (7), p. 1373-1384.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76. Kördel W., Stutte J., Kotthoff G. (1993), 'HPLC - screening method for the determination of theadsorption coefficient on soil - comparison of different stationary phases. Chemosphere 27 (12), p.2341-2352.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77. Hance, R.J., (1967), 'The speed of Attainment of Sorption Equilibria in Some Systems Involving Herbicides'. Weed Research, Vol. 7, p. 29-36.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78. Koskinen W.C., and Harper S.S., (1990), 'The retention processes: mechanisms' in Pesticides in the Soil Environment: Processes, Impacts and Modelling (ed. H.H. Cheng). Soil Sci. Soc. Am. Book Series, No 2,Madison, Wisconsin.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79. Cohen S.Z., Creeger S.M., Carsel R.F., and Enfield C.G. (1984), 'Potential pesticide contamination of ground water from agricultural uses', in Treatment and Disposal of Pesticide Wastes, p. 297-325, ACSSymp. Ser. 259, American Chemical Society, Washington, DC.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80. Giles C.H., (1970) 'Interpretation and use of sorption isotherms' in Sorption and Transport Processes inSoils. S.C.I. Monograph No. 37, p. 14-32.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81. Giles, C.H.; McEwan J.H.; Nakhwa, S.N. and Smith, D, (1960) 'Studies in adsorption: XI. A system ofclassification of solution adsorption isotherms and its use in the diagnosis of adsorption mechanisms andin measurements of pesticides surface areas of soils'. J. Chem. Soc., p. 3973-93.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82. Calvet R., Tercé M., and Arvien J.C., (1980) 'Adsorption des pesticides par les sols et leurs constituants: 3.Caractéristiques générales de l'adsorption'. Ann. Agron. 31, p. 239-251.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83. Bedbur E., (1996) 'Anomalies in the Freundlich equation', Proc. COST 66 Workshop, Pesticides in soil andthe environment, 13-15 May 1996, Stratford-upon-Avon, U.K.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84. Guth, J.A., (1985) 'Adsorption/desorption', in Joint International Symposium, Physicochemical Propertiesand their Role in Environmental Hazard Assessment, July 1-3, Canterbury, UK.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85. Soil Texture Classification (US and FAO systems): Weed Science, 33, Suppl. 1 (1985) and Soil Sci. Soc.Amer. Proc. 26, p. 305 (1962).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SHEMA ISPITIVANJA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772275" cy="9972675"/>
            <wp:effectExtent l="0" t="0" r="9525" b="9525"/>
            <wp:docPr id="148" name="Picture 148" descr="C:\Program Files (x86)\ParagrafLex\browser\Files\Old\t\t2013_12\t12_0570_S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Program Files (x86)\ParagrafLex\browser\Files\Old\t\t2013_12\t12_0570_S10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72275" cy="99726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UTICAJ PRECIZNOSTI ANALITIČKE METODE I PROMENA KONCENTRACIJE NA PRECIZNOST REZULTATA ADSORBCIJE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 sledeće tabele</w:t>
      </w:r>
      <w:r w:rsidRPr="00984859">
        <w:rPr>
          <w:rFonts w:ascii="Arial" w:eastAsia="Times New Roman" w:hAnsi="Arial" w:cs="Arial"/>
          <w:b/>
          <w:bCs/>
          <w:sz w:val="15"/>
          <w:szCs w:val="15"/>
          <w:vertAlign w:val="superscript"/>
          <w:lang w:eastAsia="sr-Latn-RS"/>
        </w:rPr>
        <w:t>84</w:t>
      </w:r>
      <w:r w:rsidRPr="00984859">
        <w:rPr>
          <w:rFonts w:ascii="Arial" w:eastAsia="Times New Roman" w:hAnsi="Arial" w:cs="Arial"/>
          <w:lang w:eastAsia="sr-Latn-RS"/>
        </w:rPr>
        <w:t xml:space="preserve"> jasno je da kada je razlika između početne mase (m</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110 μg) i mase u ravnotežnom stanju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 100 μg) ispitivane supstance u rastvoru veoma mala, greška od 5% kod merenja koncentracije pri ravnotežnom stanju rezultira greškom od 50%kod izračunavanja mase supstance adsorbovane na zemljištu (</w:t>
      </w:r>
      <w:r w:rsidRPr="00984859">
        <w:rPr>
          <w:rFonts w:ascii="Arial" w:eastAsia="Times New Roman" w:hAnsi="Arial" w:cs="Arial"/>
          <w:sz w:val="15"/>
          <w:szCs w:val="15"/>
          <w:vertAlign w:val="superscript"/>
          <w:lang w:eastAsia="sr-Latn-RS"/>
        </w:rPr>
        <w:t>maqads (</w:t>
      </w:r>
      <w:r w:rsidRPr="00984859">
        <w:rPr>
          <w:rFonts w:ascii="Arial" w:eastAsia="Times New Roman" w:hAnsi="Arial" w:cs="Arial"/>
          <w:lang w:eastAsia="sr-Latn-RS"/>
        </w:rPr>
        <w:t>eq)) i 52,4% kod izračunavanja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Količina zemljišta </w:t>
      </w:r>
      <w:r w:rsidRPr="00984859">
        <w:rPr>
          <w:rFonts w:ascii="Arial" w:eastAsia="Times New Roman" w:hAnsi="Arial" w:cs="Arial"/>
          <w:sz w:val="15"/>
          <w:szCs w:val="15"/>
          <w:vertAlign w:val="subscript"/>
          <w:lang w:eastAsia="sr-Latn-RS"/>
        </w:rPr>
        <w:t>mzemljišta =</w:t>
      </w:r>
      <w:r w:rsidRPr="00984859">
        <w:rPr>
          <w:rFonts w:ascii="Arial" w:eastAsia="Times New Roman" w:hAnsi="Arial" w:cs="Arial"/>
          <w:lang w:eastAsia="sr-Latn-RS"/>
        </w:rPr>
        <w:t xml:space="preserve"> 10 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Zapremina rastvora V</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100 cm</w:t>
      </w:r>
      <w:r w:rsidRPr="00984859">
        <w:rPr>
          <w:rFonts w:ascii="Arial" w:eastAsia="Times New Roman" w:hAnsi="Arial" w:cs="Arial"/>
          <w:sz w:val="15"/>
          <w:szCs w:val="15"/>
          <w:vertAlign w:val="superscript"/>
          <w:lang w:eastAsia="sr-Latn-RS"/>
        </w:rPr>
        <w:t>3</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08"/>
        <w:gridCol w:w="807"/>
        <w:gridCol w:w="935"/>
        <w:gridCol w:w="1240"/>
        <w:gridCol w:w="1006"/>
        <w:gridCol w:w="1005"/>
        <w:gridCol w:w="1240"/>
        <w:gridCol w:w="807"/>
        <w:gridCol w:w="684"/>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w:t>
            </w:r>
            <w:r w:rsidRPr="00984859">
              <w:rPr>
                <w:rFonts w:ascii="Arial" w:eastAsia="Times New Roman" w:hAnsi="Arial" w:cs="Arial"/>
                <w:lang w:eastAsia="sr-Latn-RS"/>
              </w:rPr>
              <w:br/>
              <w:t xml:space="preserve">(mg)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xml:space="preserve"> (eq)</w:t>
            </w:r>
            <w:r w:rsidRPr="00984859">
              <w:rPr>
                <w:rFonts w:ascii="Arial" w:eastAsia="Times New Roman" w:hAnsi="Arial" w:cs="Arial"/>
                <w:lang w:eastAsia="sr-Latn-RS"/>
              </w:rPr>
              <w:br/>
              <w:t>(mg/cm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w:t>
            </w:r>
            <w:r w:rsidRPr="00984859">
              <w:rPr>
                <w:rFonts w:ascii="Arial" w:eastAsia="Times New Roman" w:hAnsi="Arial" w:cs="Arial"/>
                <w:b/>
                <w:bCs/>
                <w:sz w:val="15"/>
                <w:szCs w:val="15"/>
                <w:vertAlign w:val="superscript"/>
                <w:lang w:eastAsia="sr-Latn-RS"/>
              </w:rPr>
              <w:t>XXI</w:t>
            </w:r>
            <w:r w:rsidRPr="00984859">
              <w:rPr>
                <w:rFonts w:ascii="Arial" w:eastAsia="Times New Roman" w:hAnsi="Arial" w:cs="Arial"/>
                <w:lang w:eastAsia="sr-Latn-RS"/>
              </w:rPr>
              <w:br/>
              <w:t xml:space="preserve">(mg)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 xml:space="preserve">ads </w:t>
            </w:r>
            <w:r w:rsidRPr="00984859">
              <w:rPr>
                <w:rFonts w:ascii="Arial" w:eastAsia="Times New Roman" w:hAnsi="Arial" w:cs="Arial"/>
                <w:lang w:eastAsia="sr-Latn-RS"/>
              </w:rPr>
              <w:t>(eq)</w:t>
            </w:r>
            <w:r w:rsidRPr="00984859">
              <w:rPr>
                <w:rFonts w:ascii="Arial" w:eastAsia="Times New Roman" w:hAnsi="Arial" w:cs="Arial"/>
                <w:b/>
                <w:bCs/>
                <w:sz w:val="15"/>
                <w:szCs w:val="15"/>
                <w:vertAlign w:val="superscript"/>
                <w:lang w:eastAsia="sr-Latn-RS"/>
              </w:rPr>
              <w:t>XXI</w:t>
            </w:r>
            <w:r w:rsidRPr="00984859">
              <w:rPr>
                <w:rFonts w:ascii="Arial" w:eastAsia="Times New Roman" w:hAnsi="Arial" w:cs="Arial"/>
                <w:lang w:eastAsia="sr-Latn-RS"/>
              </w:rPr>
              <w:br/>
              <w:t>(mg/cm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b/>
                <w:bCs/>
                <w:sz w:val="15"/>
                <w:szCs w:val="15"/>
                <w:vertAlign w:val="superscript"/>
                <w:lang w:eastAsia="sr-Latn-RS"/>
              </w:rPr>
              <w:t>XXI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Kd</w:t>
            </w:r>
            <w:r w:rsidRPr="00984859">
              <w:rPr>
                <w:rFonts w:ascii="Arial" w:eastAsia="Times New Roman" w:hAnsi="Arial" w:cs="Arial"/>
                <w:b/>
                <w:bCs/>
                <w:sz w:val="15"/>
                <w:szCs w:val="15"/>
                <w:vertAlign w:val="superscript"/>
                <w:lang w:eastAsia="sr-Latn-RS"/>
              </w:rPr>
              <w:t>XXIII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 </w:t>
            </w:r>
          </w:p>
        </w:tc>
      </w:tr>
      <w:tr w:rsidR="00984859" w:rsidRPr="00984859" w:rsidTr="00984859">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za A = 9% </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110 </w:t>
            </w: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r w:rsidRPr="00984859">
              <w:rPr>
                <w:rFonts w:ascii="Arial" w:eastAsia="Times New Roman" w:hAnsi="Arial" w:cs="Arial"/>
                <w:lang w:eastAsia="sr-Latn-RS"/>
              </w:rPr>
              <w:br/>
              <w:t>ili 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1,100 </w:t>
            </w:r>
            <w:r w:rsidRPr="00984859">
              <w:rPr>
                <w:rFonts w:ascii="Symbol" w:eastAsia="Times New Roman" w:hAnsi="Symbol" w:cs="Arial"/>
                <w:lang w:eastAsia="sr-Latn-RS"/>
              </w:rPr>
              <w:t></w:t>
            </w:r>
            <w:r w:rsidRPr="00984859">
              <w:rPr>
                <w:rFonts w:ascii="Arial" w:eastAsia="Times New Roman" w:hAnsi="Arial" w:cs="Arial"/>
                <w:lang w:eastAsia="sr-Latn-RS"/>
              </w:rPr>
              <w:t>g/ 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prava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prava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0,981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10,9%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0,476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52,4%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90,8% </w:t>
            </w:r>
          </w:p>
        </w:tc>
      </w:tr>
      <w:tr w:rsidR="00984859" w:rsidRPr="00984859" w:rsidTr="00984859">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za A = 55% </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110 </w:t>
            </w: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r w:rsidRPr="00984859">
              <w:rPr>
                <w:rFonts w:ascii="Arial" w:eastAsia="Times New Roman" w:hAnsi="Arial" w:cs="Arial"/>
                <w:lang w:eastAsia="sr-Latn-RS"/>
              </w:rPr>
              <w:br/>
              <w:t>ili 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1,100 </w:t>
            </w:r>
            <w:r w:rsidRPr="00984859">
              <w:rPr>
                <w:rFonts w:ascii="Symbol" w:eastAsia="Times New Roman" w:hAnsi="Symbol" w:cs="Arial"/>
                <w:lang w:eastAsia="sr-Latn-RS"/>
              </w:rPr>
              <w:t></w:t>
            </w:r>
            <w:r w:rsidRPr="00984859">
              <w:rPr>
                <w:rFonts w:ascii="Arial" w:eastAsia="Times New Roman" w:hAnsi="Arial" w:cs="Arial"/>
                <w:lang w:eastAsia="sr-Latn-RS"/>
              </w:rPr>
              <w:t>g/ 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prava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prava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11,78%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16,7% </w:t>
            </w:r>
          </w:p>
        </w:tc>
      </w:tr>
      <w:tr w:rsidR="00984859" w:rsidRPr="00984859" w:rsidTr="00984859">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za A = 99% </w:t>
            </w: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110 </w:t>
            </w: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r w:rsidRPr="00984859">
              <w:rPr>
                <w:rFonts w:ascii="Arial" w:eastAsia="Times New Roman" w:hAnsi="Arial" w:cs="Arial"/>
                <w:lang w:eastAsia="sr-Latn-RS"/>
              </w:rPr>
              <w:br/>
              <w:t>ili 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1,100 </w:t>
            </w:r>
            <w:r w:rsidRPr="00984859">
              <w:rPr>
                <w:rFonts w:ascii="Symbol" w:eastAsia="Times New Roman" w:hAnsi="Symbol" w:cs="Arial"/>
                <w:lang w:eastAsia="sr-Latn-RS"/>
              </w:rPr>
              <w:t></w:t>
            </w:r>
            <w:r w:rsidRPr="00984859">
              <w:rPr>
                <w:rFonts w:ascii="Arial" w:eastAsia="Times New Roman" w:hAnsi="Arial" w:cs="Arial"/>
                <w:lang w:eastAsia="sr-Latn-RS"/>
              </w:rPr>
              <w:t>g/ 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prava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prava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0,01111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108,889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10,8889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0,01155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108,845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10,8845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942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4,8%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0,0121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108,790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10,8790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899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9,2%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11"/>
        <w:gridCol w:w="104"/>
        <w:gridCol w:w="1645"/>
        <w:gridCol w:w="104"/>
        <w:gridCol w:w="270"/>
        <w:gridCol w:w="705"/>
        <w:gridCol w:w="867"/>
        <w:gridCol w:w="159"/>
        <w:gridCol w:w="687"/>
        <w:gridCol w:w="560"/>
      </w:tblGrid>
      <w:tr w:rsidR="00984859" w:rsidRPr="00984859" w:rsidTr="00984859">
        <w:trPr>
          <w:tblCellSpacing w:w="0" w:type="dxa"/>
        </w:trPr>
        <w:tc>
          <w:tcPr>
            <w:tcW w:w="400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b/>
                <w:bCs/>
                <w:sz w:val="15"/>
                <w:szCs w:val="15"/>
                <w:vertAlign w:val="superscript"/>
                <w:lang w:eastAsia="sr-Latn-RS"/>
              </w:rPr>
              <w:t>XXIII</w:t>
            </w:r>
            <w:r w:rsidRPr="00984859">
              <w:rPr>
                <w:rFonts w:ascii="Arial" w:eastAsia="Times New Roman" w:hAnsi="Arial" w:cs="Arial"/>
                <w:lang w:eastAsia="sr-Latn-RS"/>
              </w:rPr>
              <w:t xml:space="preserve"> 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 m</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 </w:t>
            </w:r>
          </w:p>
        </w:tc>
        <w:tc>
          <w:tcPr>
            <w:tcW w:w="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p>
        </w:tc>
        <w:tc>
          <w:tcPr>
            <w:tcW w:w="1635"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 xml:space="preserve">ads </w:t>
            </w:r>
            <w:r w:rsidRPr="00984859">
              <w:rPr>
                <w:rFonts w:ascii="Arial" w:eastAsia="Times New Roman" w:hAnsi="Arial" w:cs="Arial"/>
                <w:lang w:eastAsia="sr-Latn-RS"/>
              </w:rPr>
              <w:t xml:space="preserve">(eq) </w:t>
            </w:r>
          </w:p>
        </w:tc>
        <w:tc>
          <w:tcPr>
            <w:tcW w:w="10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p>
        </w:tc>
        <w:tc>
          <w:tcPr>
            <w:tcW w:w="585"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x V</w:t>
            </w:r>
            <w:r w:rsidRPr="00984859">
              <w:rPr>
                <w:rFonts w:ascii="Arial" w:eastAsia="Times New Roman" w:hAnsi="Arial" w:cs="Arial"/>
                <w:sz w:val="15"/>
                <w:szCs w:val="15"/>
                <w:vertAlign w:val="subscript"/>
                <w:lang w:eastAsia="sr-Latn-RS"/>
              </w:rPr>
              <w:t>0</w:t>
            </w:r>
          </w:p>
        </w:tc>
        <w:tc>
          <w:tcPr>
            <w:tcW w:w="70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x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w:t>
            </w:r>
          </w:p>
        </w:tc>
        <w:tc>
          <w:tcPr>
            <w:tcW w:w="121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315" w:type="dxa"/>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139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492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9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63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zemljišta</w:t>
            </w:r>
          </w:p>
        </w:tc>
        <w:tc>
          <w:tcPr>
            <w:tcW w:w="10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21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 xml:space="preserve">ads </w:t>
            </w:r>
            <w:r w:rsidRPr="00984859">
              <w:rPr>
                <w:rFonts w:ascii="Arial" w:eastAsia="Times New Roman" w:hAnsi="Arial" w:cs="Arial"/>
                <w:lang w:eastAsia="sr-Latn-RS"/>
              </w:rPr>
              <w:t xml:space="preserve">(cd)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39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zemljišta</w:t>
            </w:r>
          </w:p>
        </w:tc>
        <w:tc>
          <w:tcPr>
            <w:tcW w:w="492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jeste masa ispitivane supstance u zemljišnoj fazi u ravnotežnom stanju μg;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jeste masa ispitivane supstance u tečnoj fazi u ravnotežnom stanju μg;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jeste sadržaj ispitivane supstance u zemljišnoj fazi u ravnotežnom stanju μg/g;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jeste masena koncentracija ispitivane supstance u tečnoj fazi u ravnotežnom stanju μg/cm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 jeste analitička greška kod određivanja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 jeste izračunata greška zbog analitičke greške R.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četvrti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TEHNIKE PROCENE K</w:t>
      </w:r>
      <w:r w:rsidRPr="00984859">
        <w:rPr>
          <w:rFonts w:ascii="Arial" w:eastAsia="Times New Roman" w:hAnsi="Arial" w:cs="Arial"/>
          <w:b/>
          <w:bCs/>
          <w:sz w:val="15"/>
          <w:szCs w:val="15"/>
          <w:vertAlign w:val="subscript"/>
          <w:lang w:eastAsia="sr-Latn-RS"/>
        </w:rPr>
        <w:t>d</w:t>
      </w:r>
      <w:r w:rsidRPr="00984859">
        <w:rPr>
          <w:rFonts w:ascii="Arial" w:eastAsia="Times New Roman" w:hAnsi="Arial" w:cs="Arial"/>
          <w:b/>
          <w:bCs/>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Tehnike utvrđivanja omogućavaju predviđanje K</w:t>
      </w:r>
      <w:r w:rsidRPr="00984859">
        <w:rPr>
          <w:rFonts w:ascii="Arial" w:eastAsia="Times New Roman" w:hAnsi="Arial" w:cs="Arial"/>
          <w:sz w:val="15"/>
          <w:szCs w:val="15"/>
          <w:vertAlign w:val="subscript"/>
          <w:lang w:eastAsia="sr-Latn-RS"/>
        </w:rPr>
        <w:t xml:space="preserve">d </w:t>
      </w:r>
      <w:r w:rsidRPr="00984859">
        <w:rPr>
          <w:rFonts w:ascii="Arial" w:eastAsia="Times New Roman" w:hAnsi="Arial" w:cs="Arial"/>
          <w:lang w:eastAsia="sr-Latn-RS"/>
        </w:rPr>
        <w:t>bazirano na korelacijama sa npr. vrednostima K</w:t>
      </w:r>
      <w:r w:rsidRPr="00984859">
        <w:rPr>
          <w:rFonts w:ascii="Arial" w:eastAsia="Times New Roman" w:hAnsi="Arial" w:cs="Arial"/>
          <w:sz w:val="15"/>
          <w:szCs w:val="15"/>
          <w:vertAlign w:val="subscript"/>
          <w:lang w:eastAsia="sr-Latn-RS"/>
        </w:rPr>
        <w:t>ow</w:t>
      </w:r>
      <w:r w:rsidRPr="00984859">
        <w:rPr>
          <w:rFonts w:ascii="Arial" w:eastAsia="Times New Roman" w:hAnsi="Arial" w:cs="Arial"/>
          <w:b/>
          <w:bCs/>
          <w:sz w:val="15"/>
          <w:szCs w:val="15"/>
          <w:vertAlign w:val="superscript"/>
          <w:lang w:eastAsia="sr-Latn-RS"/>
        </w:rPr>
        <w:t xml:space="preserve">12,39,63-68, </w:t>
      </w:r>
      <w:r w:rsidRPr="00984859">
        <w:rPr>
          <w:rFonts w:ascii="Arial" w:eastAsia="Times New Roman" w:hAnsi="Arial" w:cs="Arial"/>
          <w:lang w:eastAsia="sr-Latn-RS"/>
        </w:rPr>
        <w:t>podacima o rastvorljivosti ispitivane supstance u vodi</w:t>
      </w:r>
      <w:r w:rsidRPr="00984859">
        <w:rPr>
          <w:rFonts w:ascii="Arial" w:eastAsia="Times New Roman" w:hAnsi="Arial" w:cs="Arial"/>
          <w:b/>
          <w:bCs/>
          <w:sz w:val="15"/>
          <w:szCs w:val="15"/>
          <w:vertAlign w:val="superscript"/>
          <w:lang w:eastAsia="sr-Latn-RS"/>
        </w:rPr>
        <w:t>12,19,21,39,68-73</w:t>
      </w:r>
      <w:r w:rsidRPr="00984859">
        <w:rPr>
          <w:rFonts w:ascii="Arial" w:eastAsia="Times New Roman" w:hAnsi="Arial" w:cs="Arial"/>
          <w:lang w:eastAsia="sr-Latn-RS"/>
        </w:rPr>
        <w:t>, odnosno podacima o polaritetu, izvedenim iz podataka dobijenih analizom reverzne faze pomoću HPLC</w:t>
      </w:r>
      <w:r w:rsidRPr="00984859">
        <w:rPr>
          <w:rFonts w:ascii="Arial" w:eastAsia="Times New Roman" w:hAnsi="Arial" w:cs="Arial"/>
          <w:b/>
          <w:bCs/>
          <w:sz w:val="15"/>
          <w:szCs w:val="15"/>
          <w:vertAlign w:val="superscript"/>
          <w:lang w:eastAsia="sr-Latn-RS"/>
        </w:rPr>
        <w:t>74-76</w:t>
      </w:r>
      <w:r w:rsidRPr="00984859">
        <w:rPr>
          <w:rFonts w:ascii="Arial" w:eastAsia="Times New Roman" w:hAnsi="Arial" w:cs="Arial"/>
          <w:lang w:eastAsia="sr-Latn-RS"/>
        </w:rPr>
        <w:t>. Kako je prikazano u Tabelama 1. i 2, iz ovih jednačina se izračunava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ili K</w:t>
      </w:r>
      <w:r w:rsidRPr="00984859">
        <w:rPr>
          <w:rFonts w:ascii="Arial" w:eastAsia="Times New Roman" w:hAnsi="Arial" w:cs="Arial"/>
          <w:sz w:val="15"/>
          <w:szCs w:val="15"/>
          <w:vertAlign w:val="subscript"/>
          <w:lang w:eastAsia="sr-Latn-RS"/>
        </w:rPr>
        <w:t>om</w:t>
      </w:r>
      <w:r w:rsidRPr="00984859">
        <w:rPr>
          <w:rFonts w:ascii="Arial" w:eastAsia="Times New Roman" w:hAnsi="Arial" w:cs="Arial"/>
          <w:lang w:eastAsia="sr-Latn-RS"/>
        </w:rPr>
        <w:t>, a potom, indirektno,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iz jednačina: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5"/>
        <w:gridCol w:w="354"/>
        <w:gridCol w:w="804"/>
        <w:gridCol w:w="763"/>
        <w:gridCol w:w="475"/>
        <w:gridCol w:w="942"/>
        <w:gridCol w:w="145"/>
        <w:gridCol w:w="770"/>
        <w:gridCol w:w="4414"/>
      </w:tblGrid>
      <w:tr w:rsidR="00984859" w:rsidRPr="00984859" w:rsidTr="00984859">
        <w:trPr>
          <w:tblCellSpacing w:w="0" w:type="dxa"/>
        </w:trPr>
        <w:tc>
          <w:tcPr>
            <w:tcW w:w="63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 </w:t>
            </w:r>
          </w:p>
        </w:tc>
        <w:tc>
          <w:tcPr>
            <w:tcW w:w="49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x </w:t>
            </w:r>
          </w:p>
        </w:tc>
        <w:tc>
          <w:tcPr>
            <w:tcW w:w="109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84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/g] </w:t>
            </w:r>
          </w:p>
        </w:tc>
        <w:tc>
          <w:tcPr>
            <w:tcW w:w="66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om</w:t>
            </w:r>
            <w:r w:rsidRPr="00984859">
              <w:rPr>
                <w:rFonts w:ascii="Arial" w:eastAsia="Times New Roman" w:hAnsi="Arial" w:cs="Arial"/>
                <w:lang w:eastAsia="sr-Latn-RS"/>
              </w:rPr>
              <w:t xml:space="preserve"> = </w:t>
            </w:r>
          </w:p>
        </w:tc>
        <w:tc>
          <w:tcPr>
            <w:tcW w:w="136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w:t>
            </w:r>
          </w:p>
        </w:tc>
        <w:tc>
          <w:tcPr>
            <w:tcW w:w="15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w:t>
            </w:r>
          </w:p>
        </w:tc>
        <w:tc>
          <w:tcPr>
            <w:tcW w:w="102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874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/g</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09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%OC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36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1.724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02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%OC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Koncept ovih korelacija se bazira na dve pretpostavke: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organska materija u zemljištu dominantno kontroliše adsorbciju supstance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interakcije su uglavnom nepolarne.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rezultat ove korelacije: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nisu ili su samo u manjoj meri primenljive na polarne supstance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 nisu primenljive u slučajevima kada je sadržaj organske materije u zemljištu veoma nizak</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Zadovoljavajuće korelacije pronađene su između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 adsorbcije</w:t>
      </w:r>
      <w:r w:rsidRPr="00984859">
        <w:rPr>
          <w:rFonts w:ascii="Arial" w:eastAsia="Times New Roman" w:hAnsi="Arial" w:cs="Arial"/>
          <w:b/>
          <w:bCs/>
          <w:sz w:val="15"/>
          <w:szCs w:val="15"/>
          <w:vertAlign w:val="superscript"/>
          <w:lang w:eastAsia="sr-Latn-RS"/>
        </w:rPr>
        <w:t>19</w:t>
      </w:r>
      <w:r w:rsidRPr="00984859">
        <w:rPr>
          <w:rFonts w:ascii="Arial" w:eastAsia="Times New Roman" w:hAnsi="Arial" w:cs="Arial"/>
          <w:lang w:eastAsia="sr-Latn-RS"/>
        </w:rPr>
        <w:t>, ali isto se ne može tvrditi za odnos između rastvorljivosti u vodi i adsorbcije</w:t>
      </w:r>
      <w:r w:rsidRPr="00984859">
        <w:rPr>
          <w:rFonts w:ascii="Arial" w:eastAsia="Times New Roman" w:hAnsi="Arial" w:cs="Arial"/>
          <w:b/>
          <w:bCs/>
          <w:sz w:val="15"/>
          <w:szCs w:val="15"/>
          <w:vertAlign w:val="superscript"/>
          <w:lang w:eastAsia="sr-Latn-RS"/>
        </w:rPr>
        <w:t>19,21</w:t>
      </w:r>
      <w:r w:rsidRPr="00984859">
        <w:rPr>
          <w:rFonts w:ascii="Arial" w:eastAsia="Times New Roman" w:hAnsi="Arial" w:cs="Arial"/>
          <w:lang w:eastAsia="sr-Latn-RS"/>
        </w:rPr>
        <w:t xml:space="preserve">. Studije su kontradiktorne.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Primeri korelacija između koeficijenta adsorbcije i koeficijenta raspodele u sistemu n-oktanol/voda, kao i rastvorljivosti u vodi dati su u Tabelama 1 i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Primeri korelacije između koeficijenta distribucije adsorbcije i koeficijenta raspodele u sistemu </w:t>
      </w:r>
      <w:r w:rsidRPr="00984859">
        <w:rPr>
          <w:rFonts w:ascii="Arial" w:eastAsia="Times New Roman" w:hAnsi="Arial" w:cs="Arial"/>
          <w:lang w:eastAsia="sr-Latn-RS"/>
        </w:rPr>
        <w:br/>
      </w:r>
      <w:r w:rsidRPr="00984859">
        <w:rPr>
          <w:rFonts w:ascii="Arial" w:eastAsia="Times New Roman" w:hAnsi="Arial" w:cs="Arial"/>
          <w:i/>
          <w:iCs/>
          <w:lang w:eastAsia="sr-Latn-RS"/>
        </w:rPr>
        <w:t>n</w:t>
      </w:r>
      <w:r w:rsidRPr="00984859">
        <w:rPr>
          <w:rFonts w:ascii="Arial" w:eastAsia="Times New Roman" w:hAnsi="Arial" w:cs="Arial"/>
          <w:lang w:eastAsia="sr-Latn-RS"/>
        </w:rPr>
        <w:t>-oktanol/voda (ostali primeri dati su u literaturi</w:t>
      </w:r>
      <w:r w:rsidRPr="00984859">
        <w:rPr>
          <w:rFonts w:ascii="Arial" w:eastAsia="Times New Roman" w:hAnsi="Arial" w:cs="Arial"/>
          <w:b/>
          <w:bCs/>
          <w:sz w:val="15"/>
          <w:szCs w:val="15"/>
          <w:vertAlign w:val="superscript"/>
          <w:lang w:eastAsia="sr-Latn-RS"/>
        </w:rPr>
        <w:t>12,68</w:t>
      </w:r>
      <w:r w:rsidRPr="00984859">
        <w:rPr>
          <w:rFonts w:ascii="Arial" w:eastAsia="Times New Roman" w:hAnsi="Arial" w:cs="Arial"/>
          <w:lang w:eastAsia="sr-Latn-R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88"/>
        <w:gridCol w:w="3196"/>
        <w:gridCol w:w="2648"/>
      </w:tblGrid>
      <w:tr w:rsidR="00984859" w:rsidRPr="00984859" w:rsidTr="00984859">
        <w:trPr>
          <w:tblCellSpacing w:w="0" w:type="dxa"/>
        </w:trPr>
        <w:tc>
          <w:tcPr>
            <w:tcW w:w="18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17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Korelacija </w:t>
            </w:r>
          </w:p>
        </w:tc>
        <w:tc>
          <w:tcPr>
            <w:tcW w:w="14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Autori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Supstituisane uree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om</w:t>
            </w:r>
            <w:r w:rsidRPr="00984859">
              <w:rPr>
                <w:rFonts w:ascii="Arial" w:eastAsia="Times New Roman" w:hAnsi="Arial" w:cs="Arial"/>
                <w:lang w:eastAsia="sr-Latn-RS"/>
              </w:rPr>
              <w:t xml:space="preserve"> = 0,69 + 0,52 log P</w:t>
            </w:r>
            <w:r w:rsidRPr="00984859">
              <w:rPr>
                <w:rFonts w:ascii="Arial" w:eastAsia="Times New Roman" w:hAnsi="Arial" w:cs="Arial"/>
                <w:sz w:val="15"/>
                <w:szCs w:val="15"/>
                <w:vertAlign w:val="subscript"/>
                <w:lang w:eastAsia="sr-Latn-RS"/>
              </w:rPr>
              <w:t>ow</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Briggs (1981)</w:t>
            </w:r>
            <w:r w:rsidRPr="00984859">
              <w:rPr>
                <w:rFonts w:ascii="Arial" w:eastAsia="Times New Roman" w:hAnsi="Arial" w:cs="Arial"/>
                <w:b/>
                <w:bCs/>
                <w:sz w:val="15"/>
                <w:szCs w:val="15"/>
                <w:vertAlign w:val="superscript"/>
                <w:lang w:eastAsia="sr-Latn-RS"/>
              </w:rPr>
              <w:t>39</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Aromatična hlorovane supstance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 xml:space="preserve">oc </w:t>
            </w:r>
            <w:r w:rsidRPr="00984859">
              <w:rPr>
                <w:rFonts w:ascii="Arial" w:eastAsia="Times New Roman" w:hAnsi="Arial" w:cs="Arial"/>
                <w:lang w:eastAsia="sr-Latn-RS"/>
              </w:rPr>
              <w:t>= -0,779 + 0,904 log P</w:t>
            </w:r>
            <w:r w:rsidRPr="00984859">
              <w:rPr>
                <w:rFonts w:ascii="Arial" w:eastAsia="Times New Roman" w:hAnsi="Arial" w:cs="Arial"/>
                <w:sz w:val="15"/>
                <w:szCs w:val="15"/>
                <w:vertAlign w:val="subscript"/>
                <w:lang w:eastAsia="sr-Latn-RS"/>
              </w:rPr>
              <w:t>ow</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Chiou et al. (1983)</w:t>
            </w:r>
            <w:r w:rsidRPr="00984859">
              <w:rPr>
                <w:rFonts w:ascii="Arial" w:eastAsia="Times New Roman" w:hAnsi="Arial" w:cs="Arial"/>
                <w:b/>
                <w:bCs/>
                <w:sz w:val="15"/>
                <w:szCs w:val="15"/>
                <w:vertAlign w:val="superscript"/>
                <w:lang w:eastAsia="sr-Latn-RS"/>
              </w:rPr>
              <w:t>65</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Različiti pesticidi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om</w:t>
            </w:r>
            <w:r w:rsidRPr="00984859">
              <w:rPr>
                <w:rFonts w:ascii="Arial" w:eastAsia="Times New Roman" w:hAnsi="Arial" w:cs="Arial"/>
                <w:lang w:eastAsia="sr-Latn-RS"/>
              </w:rPr>
              <w:t xml:space="preserve"> = 4,4 + 0,72 log P</w:t>
            </w:r>
            <w:r w:rsidRPr="00984859">
              <w:rPr>
                <w:rFonts w:ascii="Arial" w:eastAsia="Times New Roman" w:hAnsi="Arial" w:cs="Arial"/>
                <w:sz w:val="15"/>
                <w:szCs w:val="15"/>
                <w:vertAlign w:val="subscript"/>
                <w:lang w:eastAsia="sr-Latn-RS"/>
              </w:rPr>
              <w:t>ow</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Gerstl i Mingelgrin (1984)</w:t>
            </w:r>
            <w:r w:rsidRPr="00984859">
              <w:rPr>
                <w:rFonts w:ascii="Arial" w:eastAsia="Times New Roman" w:hAnsi="Arial" w:cs="Arial"/>
                <w:b/>
                <w:bCs/>
                <w:sz w:val="15"/>
                <w:szCs w:val="15"/>
                <w:vertAlign w:val="superscript"/>
                <w:lang w:eastAsia="sr-Latn-RS"/>
              </w:rPr>
              <w:t>66</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Aromatični ugljovodonici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 - 2,53 + 1,15 log P</w:t>
            </w:r>
            <w:r w:rsidRPr="00984859">
              <w:rPr>
                <w:rFonts w:ascii="Arial" w:eastAsia="Times New Roman" w:hAnsi="Arial" w:cs="Arial"/>
                <w:sz w:val="15"/>
                <w:szCs w:val="15"/>
                <w:vertAlign w:val="subscript"/>
                <w:lang w:eastAsia="sr-Latn-RS"/>
              </w:rPr>
              <w:t>ow</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Vowles i Mantoura (1987)</w:t>
            </w:r>
            <w:r w:rsidRPr="00984859">
              <w:rPr>
                <w:rFonts w:ascii="Arial" w:eastAsia="Times New Roman" w:hAnsi="Arial" w:cs="Arial"/>
                <w:b/>
                <w:bCs/>
                <w:sz w:val="15"/>
                <w:szCs w:val="15"/>
                <w:vertAlign w:val="superscript"/>
                <w:lang w:eastAsia="sr-Latn-RS"/>
              </w:rPr>
              <w:t>67</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Tabela 2: Primeri korelacije između koeficijenta distribucije adsorbcije i rastvorljivosti u vodi (ostali primeri dati su u literaturi)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88"/>
        <w:gridCol w:w="3196"/>
        <w:gridCol w:w="2648"/>
      </w:tblGrid>
      <w:tr w:rsidR="00984859" w:rsidRPr="00984859" w:rsidTr="00984859">
        <w:trPr>
          <w:tblCellSpacing w:w="0" w:type="dxa"/>
        </w:trPr>
        <w:tc>
          <w:tcPr>
            <w:tcW w:w="18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17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Korelacija </w:t>
            </w:r>
          </w:p>
        </w:tc>
        <w:tc>
          <w:tcPr>
            <w:tcW w:w="145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Autori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Različiti pesticidi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om</w:t>
            </w:r>
            <w:r w:rsidRPr="00984859">
              <w:rPr>
                <w:rFonts w:ascii="Arial" w:eastAsia="Times New Roman" w:hAnsi="Arial" w:cs="Arial"/>
                <w:lang w:eastAsia="sr-Latn-RS"/>
              </w:rPr>
              <w:t xml:space="preserve"> = 3,8 - 0,561 log Sw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Gerstl i Mingelgrin (1984)</w:t>
            </w:r>
            <w:r w:rsidRPr="00984859">
              <w:rPr>
                <w:rFonts w:ascii="Arial" w:eastAsia="Times New Roman" w:hAnsi="Arial" w:cs="Arial"/>
                <w:b/>
                <w:bCs/>
                <w:sz w:val="15"/>
                <w:szCs w:val="15"/>
                <w:vertAlign w:val="superscript"/>
                <w:lang w:eastAsia="sr-Latn-RS"/>
              </w:rPr>
              <w:t>66</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Alifatične, aromatične hlorovane supstance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om</w:t>
            </w:r>
            <w:r w:rsidRPr="00984859">
              <w:rPr>
                <w:rFonts w:ascii="Arial" w:eastAsia="Times New Roman" w:hAnsi="Arial" w:cs="Arial"/>
                <w:lang w:eastAsia="sr-Latn-RS"/>
              </w:rPr>
              <w:t xml:space="preserve"> = (4,040 +/- 0,038) - (0,557 +/- 0,012) log S</w:t>
            </w:r>
            <w:r w:rsidRPr="00984859">
              <w:rPr>
                <w:rFonts w:ascii="Arial" w:eastAsia="Times New Roman" w:hAnsi="Arial" w:cs="Arial"/>
                <w:sz w:val="15"/>
                <w:szCs w:val="15"/>
                <w:vertAlign w:val="subscript"/>
                <w:lang w:eastAsia="sr-Latn-RS"/>
              </w:rPr>
              <w:t>w</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Chiou et al. (1979)</w:t>
            </w:r>
            <w:r w:rsidRPr="00984859">
              <w:rPr>
                <w:rFonts w:ascii="Arial" w:eastAsia="Times New Roman" w:hAnsi="Arial" w:cs="Arial"/>
                <w:b/>
                <w:bCs/>
                <w:sz w:val="15"/>
                <w:szCs w:val="15"/>
                <w:vertAlign w:val="superscript"/>
                <w:lang w:eastAsia="sr-Latn-RS"/>
              </w:rPr>
              <w:t>70</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α-naftol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 4,273 - 0,686 log S</w:t>
            </w:r>
            <w:r w:rsidRPr="00984859">
              <w:rPr>
                <w:rFonts w:ascii="Arial" w:eastAsia="Times New Roman" w:hAnsi="Arial" w:cs="Arial"/>
                <w:sz w:val="15"/>
                <w:szCs w:val="15"/>
                <w:vertAlign w:val="subscript"/>
                <w:lang w:eastAsia="sr-Latn-RS"/>
              </w:rPr>
              <w:t>w</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Hasset et al. (1981)</w:t>
            </w:r>
            <w:r w:rsidRPr="00984859">
              <w:rPr>
                <w:rFonts w:ascii="Arial" w:eastAsia="Times New Roman" w:hAnsi="Arial" w:cs="Arial"/>
                <w:b/>
                <w:bCs/>
                <w:sz w:val="15"/>
                <w:szCs w:val="15"/>
                <w:vertAlign w:val="superscript"/>
                <w:lang w:eastAsia="sr-Latn-RS"/>
              </w:rPr>
              <w:t>71</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Ciklične, aromatične, alifatične supstance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 - 1,405 - 0,921 log S</w:t>
            </w:r>
            <w:r w:rsidRPr="00984859">
              <w:rPr>
                <w:rFonts w:ascii="Arial" w:eastAsia="Times New Roman" w:hAnsi="Arial" w:cs="Arial"/>
                <w:sz w:val="15"/>
                <w:szCs w:val="15"/>
                <w:vertAlign w:val="subscript"/>
                <w:lang w:eastAsia="sr-Latn-RS"/>
              </w:rPr>
              <w:t>w</w:t>
            </w:r>
            <w:r w:rsidRPr="00984859">
              <w:rPr>
                <w:rFonts w:ascii="Arial" w:eastAsia="Times New Roman" w:hAnsi="Arial" w:cs="Arial"/>
                <w:sz w:val="15"/>
                <w:szCs w:val="15"/>
                <w:vertAlign w:val="subscript"/>
                <w:lang w:eastAsia="sr-Latn-RS"/>
              </w:rPr>
              <w:br/>
            </w:r>
            <w:r w:rsidRPr="00984859">
              <w:rPr>
                <w:rFonts w:ascii="Arial" w:eastAsia="Times New Roman" w:hAnsi="Arial" w:cs="Arial"/>
                <w:lang w:eastAsia="sr-Latn-RS"/>
              </w:rPr>
              <w:t xml:space="preserve">- 0,00953 (mp - 25)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Karickhoff (1981)</w:t>
            </w:r>
            <w:r w:rsidRPr="00984859">
              <w:rPr>
                <w:rFonts w:ascii="Arial" w:eastAsia="Times New Roman" w:hAnsi="Arial" w:cs="Arial"/>
                <w:b/>
                <w:bCs/>
                <w:sz w:val="15"/>
                <w:szCs w:val="15"/>
                <w:vertAlign w:val="superscript"/>
                <w:lang w:eastAsia="sr-Latn-RS"/>
              </w:rPr>
              <w:t>72</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Različita jedinjenja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om</w:t>
            </w:r>
            <w:r w:rsidRPr="00984859">
              <w:rPr>
                <w:rFonts w:ascii="Arial" w:eastAsia="Times New Roman" w:hAnsi="Arial" w:cs="Arial"/>
                <w:lang w:eastAsia="sr-Latn-RS"/>
              </w:rPr>
              <w:t xml:space="preserve"> = 2,75 - 0,45 log S</w:t>
            </w:r>
            <w:r w:rsidRPr="00984859">
              <w:rPr>
                <w:rFonts w:ascii="Arial" w:eastAsia="Times New Roman" w:hAnsi="Arial" w:cs="Arial"/>
                <w:sz w:val="15"/>
                <w:szCs w:val="15"/>
                <w:vertAlign w:val="subscript"/>
                <w:lang w:eastAsia="sr-Latn-RS"/>
              </w:rPr>
              <w:t>w</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Moreale van Blade (1982)</w:t>
            </w:r>
            <w:r w:rsidRPr="00984859">
              <w:rPr>
                <w:rFonts w:ascii="Arial" w:eastAsia="Times New Roman" w:hAnsi="Arial" w:cs="Arial"/>
                <w:b/>
                <w:bCs/>
                <w:sz w:val="15"/>
                <w:szCs w:val="15"/>
                <w:vertAlign w:val="superscript"/>
                <w:lang w:eastAsia="sr-Latn-RS"/>
              </w:rPr>
              <w:t>73</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peti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IZRAČUNAVANJA ZA DEFINISANJE USLOVA CENTRIFUGIRANJA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Trajanje centrifugiranja dato je sledećom formulom, uz pretpostavku o sfernim česticama: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95"/>
        <w:gridCol w:w="225"/>
        <w:gridCol w:w="210"/>
        <w:gridCol w:w="1530"/>
        <w:gridCol w:w="210"/>
        <w:gridCol w:w="295"/>
        <w:gridCol w:w="338"/>
        <w:gridCol w:w="441"/>
        <w:gridCol w:w="5668"/>
      </w:tblGrid>
      <w:tr w:rsidR="00984859" w:rsidRPr="00984859" w:rsidTr="00984859">
        <w:trPr>
          <w:tblCellSpacing w:w="0" w:type="dxa"/>
        </w:trPr>
        <w:tc>
          <w:tcPr>
            <w:tcW w:w="22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 </w:t>
            </w:r>
          </w:p>
        </w:tc>
        <w:tc>
          <w:tcPr>
            <w:tcW w:w="28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6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104775" cy="695325"/>
                  <wp:effectExtent l="0" t="0" r="9525" b="9525"/>
                  <wp:docPr id="147" name="Picture 147" descr="C:\Program Files (x86)\ParagrafLex\browser\Files\Old\t\t2013_12\t12_0570_s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Program Files (x86)\ParagrafLex\browser\Files\Old\t\t2013_12\t12_0570_s157.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695325"/>
                          </a:xfrm>
                          <a:prstGeom prst="rect">
                            <a:avLst/>
                          </a:prstGeom>
                          <a:noFill/>
                          <a:ln>
                            <a:noFill/>
                          </a:ln>
                        </pic:spPr>
                      </pic:pic>
                    </a:graphicData>
                  </a:graphic>
                </wp:inline>
              </w:drawing>
            </w:r>
          </w:p>
        </w:tc>
        <w:tc>
          <w:tcPr>
            <w:tcW w:w="153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6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104775" cy="695325"/>
                  <wp:effectExtent l="0" t="0" r="9525" b="9525"/>
                  <wp:docPr id="146" name="Picture 146" descr="C:\Program Files (x86)\ParagrafLex\browser\Files\Old\t\t2013_12\t12_0570_s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Program Files (x86)\ParagrafLex\browser\Files\Old\t\t2013_12\t12_0570_s156.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4775" cy="695325"/>
                          </a:xfrm>
                          <a:prstGeom prst="rect">
                            <a:avLst/>
                          </a:prstGeom>
                          <a:noFill/>
                          <a:ln>
                            <a:noFill/>
                          </a:ln>
                        </pic:spPr>
                      </pic:pic>
                    </a:graphicData>
                  </a:graphic>
                </wp:inline>
              </w:drawing>
            </w:r>
          </w:p>
        </w:tc>
        <w:tc>
          <w:tcPr>
            <w:tcW w:w="31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1n </w:t>
            </w:r>
          </w:p>
        </w:tc>
        <w:tc>
          <w:tcPr>
            <w:tcW w:w="42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96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28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53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2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b</w:t>
            </w:r>
          </w:p>
        </w:tc>
        <w:tc>
          <w:tcPr>
            <w:tcW w:w="840" w:type="dxa"/>
            <w:vMerge w:val="restart"/>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96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28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530" w:type="dxa"/>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rp</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w:t>
            </w:r>
            <w:r w:rsidRPr="00984859">
              <w:rPr>
                <w:rFonts w:ascii="Symbol" w:eastAsia="Times New Roman" w:hAnsi="Symbol" w:cs="Arial"/>
                <w:lang w:eastAsia="sr-Latn-RS"/>
              </w:rPr>
              <w:t></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xml:space="preserve"> - </w:t>
            </w:r>
            <w:r w:rsidRPr="00984859">
              <w:rPr>
                <w:rFonts w:ascii="Symbol" w:eastAsia="Times New Roman" w:hAnsi="Symbol" w:cs="Arial"/>
                <w:lang w:eastAsia="sr-Latn-RS"/>
              </w:rPr>
              <w:t></w:t>
            </w:r>
            <w:r w:rsidRPr="00984859">
              <w:rPr>
                <w:rFonts w:ascii="Arial" w:eastAsia="Times New Roman" w:hAnsi="Arial" w:cs="Arial"/>
                <w:sz w:val="15"/>
                <w:szCs w:val="15"/>
                <w:vertAlign w:val="subscript"/>
                <w:lang w:eastAsia="sr-Latn-RS"/>
              </w:rPr>
              <w:t>aq</w:t>
            </w:r>
            <w:r w:rsidRPr="00984859">
              <w:rPr>
                <w:rFonts w:ascii="Arial" w:eastAsia="Times New Roman" w:hAnsi="Arial" w:cs="Arial"/>
                <w:lang w:eastAsia="sr-Latn-RS"/>
              </w:rPr>
              <w:t xml:space="preserve">)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2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t</w:t>
            </w: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53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2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ω jeste rotaciona brzina (= 2 </w:t>
      </w:r>
      <w:r w:rsidRPr="00984859">
        <w:rPr>
          <w:rFonts w:ascii="Arial" w:eastAsia="Times New Roman" w:hAnsi="Arial" w:cs="Arial"/>
          <w:i/>
          <w:iCs/>
          <w:lang w:eastAsia="sr-Latn-RS"/>
        </w:rPr>
        <w:t>π</w:t>
      </w:r>
      <w:r w:rsidRPr="00984859">
        <w:rPr>
          <w:rFonts w:ascii="Arial" w:eastAsia="Times New Roman" w:hAnsi="Arial" w:cs="Arial"/>
          <w:lang w:eastAsia="sr-Latn-RS"/>
        </w:rPr>
        <w:t xml:space="preserve"> rpm/60), (rad/s);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rpm jesu obrtaji u minuti;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η jeste viskozitet rastvora, (g/s cm</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p</w:t>
      </w:r>
      <w:r w:rsidRPr="00984859">
        <w:rPr>
          <w:rFonts w:ascii="Arial" w:eastAsia="Times New Roman" w:hAnsi="Arial" w:cs="Arial"/>
          <w:lang w:eastAsia="sr-Latn-RS"/>
        </w:rPr>
        <w:t xml:space="preserve"> jeste prečnik čestice,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ρ</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xml:space="preserve"> jeste gustina zemljišta, (g/cm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ρ</w:t>
      </w:r>
      <w:r w:rsidRPr="00984859">
        <w:rPr>
          <w:rFonts w:ascii="Arial" w:eastAsia="Times New Roman" w:hAnsi="Arial" w:cs="Arial"/>
          <w:sz w:val="15"/>
          <w:szCs w:val="15"/>
          <w:vertAlign w:val="subscript"/>
          <w:lang w:eastAsia="sr-Latn-RS"/>
        </w:rPr>
        <w:t>aq</w:t>
      </w:r>
      <w:r w:rsidRPr="00984859">
        <w:rPr>
          <w:rFonts w:ascii="Arial" w:eastAsia="Times New Roman" w:hAnsi="Arial" w:cs="Arial"/>
          <w:lang w:eastAsia="sr-Latn-RS"/>
        </w:rPr>
        <w:t xml:space="preserve"> jeste gustina rastvora, (g/cm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jeste udaljenost od centra rotora centrifuge do vrha rastvora u kiveti,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 xml:space="preserve">b </w:t>
      </w:r>
      <w:r w:rsidRPr="00984859">
        <w:rPr>
          <w:rFonts w:ascii="Arial" w:eastAsia="Times New Roman" w:hAnsi="Arial" w:cs="Arial"/>
          <w:lang w:eastAsia="sr-Latn-RS"/>
        </w:rPr>
        <w:t xml:space="preserve">jeste udaljenost od centra rotora centrifuge do dna rastvora u kiveti,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R</w:t>
      </w:r>
      <w:r w:rsidRPr="00984859">
        <w:rPr>
          <w:rFonts w:ascii="Arial" w:eastAsia="Times New Roman" w:hAnsi="Arial" w:cs="Arial"/>
          <w:sz w:val="15"/>
          <w:szCs w:val="15"/>
          <w:vertAlign w:val="subscript"/>
          <w:lang w:eastAsia="sr-Latn-RS"/>
        </w:rPr>
        <w:t xml:space="preserve">t </w:t>
      </w:r>
      <w:r w:rsidRPr="00984859">
        <w:rPr>
          <w:rFonts w:ascii="Arial" w:eastAsia="Times New Roman" w:hAnsi="Arial" w:cs="Arial"/>
          <w:lang w:eastAsia="sr-Latn-RS"/>
        </w:rPr>
        <w:t xml:space="preserve">jeste visina stuba smeše zemljište/rastvor u kiveti,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Zbog pojednostavljenja parametri su opisani u jedinicama koje nisu SI jedinice (g,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Opšteprihvaćeno je da se izračunato vreme duplira da bi se obezbedilo kompletno razdvajanje.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2. Jednačina [1] može se pojednostaviti ako se uzme u obzir da su viskozitet (η) i gustina (ρaq) rastvora jednake viskozitetu i gustini vode na 25°C; sledi η = 8,95 Í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g/scm</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i ρaq = 1,0 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cetrifugiranja 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95"/>
        <w:gridCol w:w="1965"/>
        <w:gridCol w:w="355"/>
        <w:gridCol w:w="487"/>
        <w:gridCol w:w="824"/>
        <w:gridCol w:w="5086"/>
      </w:tblGrid>
      <w:tr w:rsidR="00984859" w:rsidRPr="00984859" w:rsidTr="00984859">
        <w:trPr>
          <w:tblCellSpacing w:w="0" w:type="dxa"/>
        </w:trPr>
        <w:tc>
          <w:tcPr>
            <w:tcW w:w="39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 </w:t>
            </w:r>
          </w:p>
        </w:tc>
        <w:tc>
          <w:tcPr>
            <w:tcW w:w="196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 </w:t>
            </w:r>
          </w:p>
        </w:tc>
        <w:tc>
          <w:tcPr>
            <w:tcW w:w="435" w:type="dxa"/>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1n </w:t>
            </w:r>
          </w:p>
        </w:tc>
        <w:tc>
          <w:tcPr>
            <w:tcW w:w="72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b</w:t>
            </w:r>
          </w:p>
        </w:tc>
        <w:tc>
          <w:tcPr>
            <w:tcW w:w="0" w:type="auto"/>
            <w:gridSpan w:val="2"/>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965" w:type="dxa"/>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(rpm)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x r</w:t>
            </w:r>
            <w:r w:rsidRPr="00984859">
              <w:rPr>
                <w:rFonts w:ascii="Arial" w:eastAsia="Times New Roman" w:hAnsi="Arial" w:cs="Arial"/>
                <w:sz w:val="15"/>
                <w:szCs w:val="15"/>
                <w:vertAlign w:val="subscript"/>
                <w:lang w:eastAsia="sr-Latn-RS"/>
              </w:rPr>
              <w:t>p</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(ρ</w:t>
            </w:r>
            <w:r w:rsidRPr="00984859">
              <w:rPr>
                <w:rFonts w:ascii="Arial" w:eastAsia="Times New Roman" w:hAnsi="Arial" w:cs="Arial"/>
                <w:sz w:val="15"/>
                <w:szCs w:val="15"/>
                <w:vertAlign w:val="subscript"/>
                <w:lang w:eastAsia="sr-Latn-RS"/>
              </w:rPr>
              <w:t xml:space="preserve">s </w:t>
            </w:r>
            <w:r w:rsidRPr="00984859">
              <w:rPr>
                <w:rFonts w:ascii="Arial" w:eastAsia="Times New Roman" w:hAnsi="Arial" w:cs="Arial"/>
                <w:lang w:eastAsia="sr-Latn-RS"/>
              </w:rPr>
              <w:t xml:space="preserve">-1)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72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w:t>
            </w:r>
            <w:r w:rsidRPr="00984859">
              <w:rPr>
                <w:rFonts w:ascii="Arial" w:eastAsia="Times New Roman" w:hAnsi="Arial" w:cs="Arial"/>
                <w:sz w:val="15"/>
                <w:szCs w:val="15"/>
                <w:vertAlign w:val="subscript"/>
                <w:lang w:eastAsia="sr-Latn-RS"/>
              </w:rPr>
              <w:t>t</w:t>
            </w:r>
          </w:p>
        </w:tc>
        <w:tc>
          <w:tcPr>
            <w:tcW w:w="1350"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2</w:t>
            </w:r>
            <w:r w:rsidRPr="00984859">
              <w:rPr>
                <w:rFonts w:ascii="Symbol" w:eastAsia="Times New Roman" w:hAnsi="Symbol" w:cs="Arial"/>
                <w:lang w:eastAsia="sr-Latn-RS"/>
              </w:rPr>
              <w:t></w:t>
            </w:r>
          </w:p>
        </w:tc>
        <w:tc>
          <w:tcPr>
            <w:tcW w:w="1014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Iz jednačine [2] postaje jasno da su za definisanje uslova centrifugiranja, tj. njenog trajanja (t) i brzine (rpm), potrebnih za razdvajanje čestica specifične veličine (u našem slučaju prečnika 0,1 μm), važna dva parametra: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gustina zemljišta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visina stuba smeše u kiveti za centrifugiranje (R</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R</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tj. udaljenost od vrha nivoa rastvora do dna kivete na kojoj se čestica proteže; ako je zapremina fiksna, visina stuba smeše u kiveti će očigledno zavisiti od kvadrata njenog prečnika.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Slika 1 prikazuje varijacije u dužini trajanja centrifugiranja (t) u odnosu na brzinu centrifugiranja (rpm), pri različitim gustinama zemljišta (ρ</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(Slika 1a) i različitim visinama stuba smeše u kivetama za centrifugiranje (Slika 1b). Iz Slike 1a sledi da je uticaj gustine zemljišta očigledan. Na primer, pri klasičnom centrifugiranju uzorka zemljišta gustine 1,2 g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brzinom od 3.000 obrtaja u minuti, centrifugiranje traje približno 240 minuta, dok centrifugiranje zemljišta gustine 2,0 g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traje svega 50 minuta. Na sličan način, iz Slike 1b sledi da ako visina stuba smeše u kiveti iznosi 10 cm, klasično centrifugiranje brzinom od 3.000 obrtaja u minuti traje približno 50 minuta, a ako ta visina iznosi 1 cm, samo 7 minuta. Važno je naći optimalan odnos između centrifugiranja koje iziskuje najmanju moguću visinu stuba smeše u kiveti i jednostavne laboratorijske obrade u trenutku kada lice koje izvodi ispitivanja, nakon centrifugiranja, razdeli faze.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Kada se definišu ispitivani uslovi pod kojima će se razdeliti čvrsta faza (zemljište) od tečne faze (rastvor), važno je uzeti u obzir mogućnost postojanja treće, "pseudo - faze", koloida. Ove čestice, manje od 0,2 μm, mogu imati važan uticaj na celokupni mehanizam adsorpcije supstance u suspenziji zemljišta. Ako se centrifugira na opisani način, koloidi se zadržavaju u tečnoj fazi i analizirani zajedno sa njom. Ovim se podaci o njihovom uticaju gube.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laboratorija koja izvodi studiju raspolaže opremom koja omogućuje ultracentrifugiranje ili ultrafiltraciju, adsorpcija/desorpcija se može proučavati detaljnije, što uključuje i mogućnost dobijanja podataka o adsorpciji ispitivane supstance na koloide. U ovom slučaju, u cilju razdeljivanja tri faze (zemljišta, koloida i rastvora) potrebno je izvršiti ultracentrifugiranje brzinom od 60.000 okretaja/min, odnosno ultrafiltraciju filtrom poroznosti od 100.000 Daltona. U skladu sa tim, da bi se analizi na prisustvo supstance podvrgle sve tri faze, potrebno je adekvatno promeniti i protokol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5476875" cy="2581275"/>
            <wp:effectExtent l="0" t="0" r="9525" b="9525"/>
            <wp:docPr id="145" name="Picture 145" descr="C:\Program Files (x86)\ParagrafLex\browser\Files\Old\t\t2013_12\t12_0570_s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Program Files (x86)\ParagrafLex\browser\Files\Old\t\t2013_12\t12_0570_s110.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76875" cy="25812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Brzina centrifugiranja (rpm)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Varijacije vremena centrifugiranja (t) u odnosu na brzinu centrifuge (rpm) za zemljišta različite gustine (ρ</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R</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10 cm, R</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R</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10 cm, η = 8,95 ×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g/scm</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i ρ</w:t>
      </w:r>
      <w:r w:rsidRPr="00984859">
        <w:rPr>
          <w:rFonts w:ascii="Arial" w:eastAsia="Times New Roman" w:hAnsi="Arial" w:cs="Arial"/>
          <w:sz w:val="15"/>
          <w:szCs w:val="15"/>
          <w:vertAlign w:val="subscript"/>
          <w:lang w:eastAsia="sr-Latn-RS"/>
        </w:rPr>
        <w:t>aq</w:t>
      </w:r>
      <w:r w:rsidRPr="00984859">
        <w:rPr>
          <w:rFonts w:ascii="Arial" w:eastAsia="Times New Roman" w:hAnsi="Arial" w:cs="Arial"/>
          <w:lang w:eastAsia="sr-Latn-RS"/>
        </w:rPr>
        <w:t xml:space="preserve"> = 1,0 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na 25°C.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1b.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591175" cy="2619375"/>
            <wp:effectExtent l="0" t="0" r="9525" b="9525"/>
            <wp:docPr id="144" name="Picture 144" descr="C:\Program Files (x86)\ParagrafLex\browser\Files\Old\t\t2013_12\t12_0570_s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Program Files (x86)\ParagrafLex\browser\Files\Old\t\t2013_12\t12_0570_s111.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91175" cy="26193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Brzina centrifugiranja (rpm)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Varijacije vremena centrifugiranja (t) u odnosu na brzinu centrifuge (rpm) za različite visine stuba smeše u kiveti (R</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 R</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 L; R</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10 cm, η = 8,95 × 10-3 g/s cm</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ρ</w:t>
      </w:r>
      <w:r w:rsidRPr="00984859">
        <w:rPr>
          <w:rFonts w:ascii="Arial" w:eastAsia="Times New Roman" w:hAnsi="Arial" w:cs="Arial"/>
          <w:sz w:val="15"/>
          <w:szCs w:val="15"/>
          <w:vertAlign w:val="subscript"/>
          <w:lang w:eastAsia="sr-Latn-RS"/>
        </w:rPr>
        <w:t>aq</w:t>
      </w:r>
      <w:r w:rsidRPr="00984859">
        <w:rPr>
          <w:rFonts w:ascii="Arial" w:eastAsia="Times New Roman" w:hAnsi="Arial" w:cs="Arial"/>
          <w:lang w:eastAsia="sr-Latn-RS"/>
        </w:rPr>
        <w:t xml:space="preserve"> = 1,0 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na 25°C i ρ</w:t>
      </w:r>
      <w:r w:rsidRPr="00984859">
        <w:rPr>
          <w:rFonts w:ascii="Arial" w:eastAsia="Times New Roman" w:hAnsi="Arial" w:cs="Arial"/>
          <w:sz w:val="15"/>
          <w:szCs w:val="15"/>
          <w:vertAlign w:val="subscript"/>
          <w:lang w:eastAsia="sr-Latn-RS"/>
        </w:rPr>
        <w:t xml:space="preserve">s </w:t>
      </w:r>
      <w:r w:rsidRPr="00984859">
        <w:rPr>
          <w:rFonts w:ascii="Arial" w:eastAsia="Times New Roman" w:hAnsi="Arial" w:cs="Arial"/>
          <w:lang w:eastAsia="sr-Latn-RS"/>
        </w:rPr>
        <w:t>= 2,0 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šesti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IZRAČUNAVANJE ADSORPCIJE A (%) I DESORPCIJE D (%)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Vremenska skala postupka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5743575" cy="857250"/>
            <wp:effectExtent l="0" t="0" r="9525" b="0"/>
            <wp:docPr id="143" name="Picture 143" descr="C:\Program Files (x86)\ParagrafLex\browser\Files\Old\t\t2013_12\t12_0570_s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Program Files (x86)\ParagrafLex\browser\Files\Old\t\t2013_12\t12_0570_s112.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43575" cy="8572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 izračunavanja podrazumeva se da je ispitivana supstanca stabilna i da se ne adsorbuje značajno na zidove posude.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ADSORPCIJA A (%)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Paralelna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adsorpcije računa se za svaku ispitivanu posudu u kojoj se nalazi ispitivani uzorak (i), i to u svakoj od vremenskih tačaka (ti), prema jednačini: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70"/>
        <w:gridCol w:w="1182"/>
        <w:gridCol w:w="953"/>
        <w:gridCol w:w="6607"/>
      </w:tblGrid>
      <w:tr w:rsidR="00984859" w:rsidRPr="00984859" w:rsidTr="00984859">
        <w:trPr>
          <w:tblCellSpacing w:w="0" w:type="dxa"/>
        </w:trPr>
        <w:tc>
          <w:tcPr>
            <w:tcW w:w="48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 xml:space="preserve">ti </w:t>
            </w:r>
            <w:r w:rsidRPr="00984859">
              <w:rPr>
                <w:rFonts w:ascii="Arial" w:eastAsia="Times New Roman" w:hAnsi="Arial" w:cs="Arial"/>
                <w:lang w:eastAsia="sr-Latn-RS"/>
              </w:rPr>
              <w:t xml:space="preserve">= </w:t>
            </w:r>
          </w:p>
        </w:tc>
        <w:tc>
          <w:tcPr>
            <w:tcW w:w="159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x 100 </w:t>
            </w:r>
          </w:p>
        </w:tc>
        <w:tc>
          <w:tcPr>
            <w:tcW w:w="141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w:t>
            </w:r>
            <w:r w:rsidRPr="00984859">
              <w:rPr>
                <w:rFonts w:ascii="Symbol" w:eastAsia="Times New Roman" w:hAnsi="Symbol" w:cs="Arial"/>
                <w:lang w:eastAsia="sr-Latn-RS"/>
              </w:rPr>
              <w:t></w:t>
            </w:r>
          </w:p>
        </w:tc>
        <w:tc>
          <w:tcPr>
            <w:tcW w:w="11580"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1</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59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Uslovi iz ove jednačine mogu se izračunati na sledeći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x V</w:t>
      </w:r>
      <w:r w:rsidRPr="00984859">
        <w:rPr>
          <w:rFonts w:ascii="Arial" w:eastAsia="Times New Roman" w:hAnsi="Arial" w:cs="Arial"/>
          <w:sz w:val="15"/>
          <w:szCs w:val="15"/>
          <w:vertAlign w:val="subscript"/>
          <w:lang w:eastAsia="sr-Latn-RS"/>
        </w:rPr>
        <w:t>0</w:t>
      </w:r>
      <w:r w:rsidRPr="00984859">
        <w:rPr>
          <w:rFonts w:ascii="Symbol" w:eastAsia="Times New Roman" w:hAnsi="Symbol" w:cs="Arial"/>
          <w:lang w:eastAsia="sr-Latn-RS"/>
        </w:rPr>
        <w:t></w:t>
      </w:r>
      <w:r w:rsidRPr="00984859">
        <w:rPr>
          <w:rFonts w:ascii="Symbol" w:eastAsia="Times New Roman" w:hAnsi="Symbol" w:cs="Arial"/>
          <w:lang w:eastAsia="sr-Latn-RS"/>
        </w:rPr>
        <w:t></w:t>
      </w:r>
      <w:r w:rsidRPr="00984859">
        <w:rPr>
          <w:rFonts w:ascii="Arial" w:eastAsia="Times New Roman" w:hAnsi="Arial" w:cs="Arial"/>
          <w:lang w:eastAsia="sr-Latn-RS"/>
        </w:rPr>
        <w:t>g</w:t>
      </w:r>
      <w:r w:rsidRPr="00984859">
        <w:rPr>
          <w:rFonts w:ascii="Symbol" w:eastAsia="Times New Roman" w:hAnsi="Symbol" w:cs="Arial"/>
          <w:lang w:eastAsia="sr-Latn-RS"/>
        </w:rPr>
        <w:t></w:t>
      </w:r>
      <w:r w:rsidRPr="00984859">
        <w:rPr>
          <w:rFonts w:ascii="Arial" w:eastAsia="Times New Roman" w:hAnsi="Arial" w:cs="Arial"/>
          <w:lang w:eastAsia="sr-Latn-RS"/>
        </w:rPr>
        <w:t xml:space="preserve"> </w:t>
      </w:r>
      <w:r w:rsidRPr="00984859">
        <w:rPr>
          <w:rFonts w:ascii="Symbol" w:eastAsia="Times New Roman" w:hAnsi="Symbol" w:cs="Arial"/>
          <w:lang w:eastAsia="sr-Latn-RS"/>
        </w:rPr>
        <w:t></w:t>
      </w:r>
      <w:r w:rsidRPr="00984859">
        <w:rPr>
          <w:rFonts w:ascii="Arial" w:eastAsia="Times New Roman" w:hAnsi="Arial" w:cs="Arial"/>
          <w:lang w:eastAsia="sr-Latn-RS"/>
        </w:rPr>
        <w:t>2</w:t>
      </w:r>
      <w:r w:rsidRPr="00984859">
        <w:rPr>
          <w:rFonts w:ascii="Symbol" w:eastAsia="Times New Roman" w:hAnsi="Symbol" w:cs="Arial"/>
          <w:lang w:eastAsia="sr-Latn-RS"/>
        </w:rPr>
        <w:t></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 m</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 V</w:t>
      </w:r>
      <w:r w:rsidRPr="00984859">
        <w:rPr>
          <w:rFonts w:ascii="Arial" w:eastAsia="Times New Roman" w:hAnsi="Arial" w:cs="Arial"/>
          <w:sz w:val="15"/>
          <w:szCs w:val="15"/>
          <w:vertAlign w:val="subscript"/>
          <w:lang w:eastAsia="sr-Latn-RS"/>
        </w:rPr>
        <w:t>0</w:t>
      </w:r>
      <w:r w:rsidRPr="00984859">
        <w:rPr>
          <w:rFonts w:ascii="Symbol" w:eastAsia="Times New Roman" w:hAnsi="Symbol" w:cs="Arial"/>
          <w:lang w:eastAsia="sr-Latn-RS"/>
        </w:rPr>
        <w:t></w:t>
      </w:r>
      <w:r w:rsidRPr="00984859">
        <w:rPr>
          <w:rFonts w:ascii="Symbol" w:eastAsia="Times New Roman" w:hAnsi="Symbol" w:cs="Arial"/>
          <w:lang w:eastAsia="sr-Latn-RS"/>
        </w:rPr>
        <w:t></w:t>
      </w:r>
      <w:r w:rsidRPr="00984859">
        <w:rPr>
          <w:rFonts w:ascii="Arial" w:eastAsia="Times New Roman" w:hAnsi="Arial" w:cs="Arial"/>
          <w:lang w:eastAsia="sr-Latn-RS"/>
        </w:rPr>
        <w:t>g</w:t>
      </w:r>
      <w:r w:rsidRPr="00984859">
        <w:rPr>
          <w:rFonts w:ascii="Symbol" w:eastAsia="Times New Roman" w:hAnsi="Symbol" w:cs="Arial"/>
          <w:lang w:eastAsia="sr-Latn-RS"/>
        </w:rPr>
        <w:t></w:t>
      </w:r>
      <w:r w:rsidRPr="00984859">
        <w:rPr>
          <w:rFonts w:ascii="Arial" w:eastAsia="Times New Roman" w:hAnsi="Arial" w:cs="Arial"/>
          <w:lang w:eastAsia="sr-Latn-RS"/>
        </w:rPr>
        <w:t xml:space="preserve"> </w:t>
      </w:r>
      <w:r w:rsidRPr="00984859">
        <w:rPr>
          <w:rFonts w:ascii="Symbol" w:eastAsia="Times New Roman" w:hAnsi="Symbol" w:cs="Arial"/>
          <w:lang w:eastAsia="sr-Latn-RS"/>
        </w:rPr>
        <w:t></w:t>
      </w:r>
      <w:r w:rsidRPr="00984859">
        <w:rPr>
          <w:rFonts w:ascii="Arial" w:eastAsia="Times New Roman" w:hAnsi="Arial" w:cs="Arial"/>
          <w:lang w:eastAsia="sr-Latn-RS"/>
        </w:rPr>
        <w:t>2</w:t>
      </w:r>
      <w:r w:rsidRPr="00984859">
        <w:rPr>
          <w:rFonts w:ascii="Symbol" w:eastAsia="Times New Roman" w:hAnsi="Symbol" w:cs="Arial"/>
          <w:lang w:eastAsia="sr-Latn-RS"/>
        </w:rPr>
        <w:t></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procenat adsorpcije (%) u tački vremena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jeste masa (mg) ispitivane supstance u zemljištu u vremenu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kada je analiza obavljena;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masa (mg) ispitivane supstance u ispitivanoj posudi sa ispitivanom uzorkom,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početna masena koncentracija (mg/cm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ispitivanog rastvora koja se nalazi u dodiru sa zemljištem;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jeste masena koncentracija ispitivane supstance u tečnoj fazi u vremenu ti u kom je rađena analiza (mg/cm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ova koncentracija određena je analitički uzimajući u obzir vrednosti dobijene u slepim probama;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početna zapremina ispitivanom rastvora koji se nalazi u dodiru sa zemljištem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Vrednosti procenta adsorpcije At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ili 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grafički su prikazani u funkciji vremena, pa se određuje vreme potrebno da se dostigne ravnotežno stanje adsorpcije. Primeri krivih dati su na Slici 1, odnosno Slici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 Grafički prikaz ravnotežnog stanja adsorbcije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4752975" cy="2809875"/>
            <wp:effectExtent l="0" t="0" r="9525" b="9525"/>
            <wp:docPr id="142" name="Picture 142" descr="C:\Program Files (x86)\ParagrafLex\browser\Files\Old\t\t2013_12\t12_0570_s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Program Files (x86)\ParagrafLex\browser\Files\Old\t\t2013_12\t12_0570_s113.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52975" cy="28098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Ravnotežno vreme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Slika 2. Masene koncentracije ispitivane supstanci u tečnoj fazi (C</w:t>
      </w:r>
      <w:r w:rsidRPr="00984859">
        <w:rPr>
          <w:rFonts w:ascii="Arial" w:eastAsia="Times New Roman" w:hAnsi="Arial" w:cs="Arial"/>
          <w:sz w:val="15"/>
          <w:szCs w:val="15"/>
          <w:vertAlign w:val="subscript"/>
          <w:lang w:eastAsia="sr-Latn-RS"/>
        </w:rPr>
        <w:t>aq</w:t>
      </w:r>
      <w:r w:rsidRPr="00984859">
        <w:rPr>
          <w:rFonts w:ascii="Arial" w:eastAsia="Times New Roman" w:hAnsi="Arial" w:cs="Arial"/>
          <w:lang w:eastAsia="sr-Latn-RS"/>
        </w:rPr>
        <w:t xml:space="preserve">) u funkciji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257675" cy="2028825"/>
            <wp:effectExtent l="0" t="0" r="9525" b="9525"/>
            <wp:docPr id="141" name="Picture 141" descr="C:\Program Files (x86)\ParagrafLex\browser\Files\Old\t\t2013_12\t12_0570_s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Program Files (x86)\ParagrafLex\browser\Files\Old\t\t2013_12\t12_0570_s114.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57675" cy="20288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Ravnotežno vreme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(h)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Redna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Sledeće jednačine uzimaju u obzir da se adsorbcija prati merenjem ispitivane supstance u malim alikvotima tečne faze u definisanim vremenskim intervalima.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svakog vremenskog intervala količina supstance koja se adsorbuje na zemljište računa se kao: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za prvi interval vremena Δt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 xml:space="preserve">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105275" cy="847725"/>
            <wp:effectExtent l="0" t="0" r="9525" b="9525"/>
            <wp:docPr id="140" name="Picture 140" descr="C:\Program Files (x86)\ParagrafLex\browser\Files\Old\t\t2013_12\t12_0570_s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Program Files (x86)\ParagrafLex\browser\Files\Old\t\t2013_12\t12_0570_s115.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05275" cy="8477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za drugi vremenski interval Δt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1</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629275" cy="857250"/>
            <wp:effectExtent l="0" t="0" r="9525" b="0"/>
            <wp:docPr id="139" name="Picture 139" descr="C:\Program Files (x86)\ParagrafLex\browser\Files\Old\t\t2013_12\t12_0570_s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Program Files (x86)\ParagrafLex\browser\Files\Old\t\t2013_12\t12_0570_s116.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29275" cy="8572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za treći vremenski interval Δt</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2</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743575" cy="762000"/>
            <wp:effectExtent l="0" t="0" r="9525" b="0"/>
            <wp:docPr id="138" name="Picture 138" descr="C:\Program Files (x86)\ParagrafLex\browser\Files\Old\t\t2013_12\t12_0570_s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Program Files (x86)\ParagrafLex\browser\Files\Old\t\t2013_12\t12_0570_s117.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43575" cy="7620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 </w:t>
      </w:r>
      <w:r w:rsidRPr="00984859">
        <w:rPr>
          <w:rFonts w:ascii="Arial" w:eastAsia="Times New Roman" w:hAnsi="Arial" w:cs="Arial"/>
          <w:i/>
          <w:iCs/>
          <w:lang w:eastAsia="sr-Latn-RS"/>
        </w:rPr>
        <w:t>n</w:t>
      </w:r>
      <w:r w:rsidRPr="00984859">
        <w:rPr>
          <w:rFonts w:ascii="Arial" w:eastAsia="Times New Roman" w:hAnsi="Arial" w:cs="Arial"/>
          <w:lang w:eastAsia="sr-Latn-RS"/>
        </w:rPr>
        <w:t>-ti interval Δtn = 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n - 1</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743575" cy="628650"/>
            <wp:effectExtent l="0" t="0" r="9525" b="0"/>
            <wp:docPr id="137" name="Picture 137" descr="C:\Program Files (x86)\ParagrafLex\browser\Files\Old\t\t2013_12\t12_0570_s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Program Files (x86)\ParagrafLex\browser\Files\Old\t\t2013_12\t12_0570_s118.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43575" cy="6286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adsorpcije u svakom vremenskom intervalu A</w:t>
      </w:r>
      <w:r w:rsidRPr="00984859">
        <w:rPr>
          <w:rFonts w:ascii="Arial" w:eastAsia="Times New Roman" w:hAnsi="Arial" w:cs="Arial"/>
          <w:sz w:val="15"/>
          <w:szCs w:val="15"/>
          <w:vertAlign w:val="subscript"/>
          <w:lang w:eastAsia="sr-Latn-RS"/>
        </w:rPr>
        <w:t>Δ</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računa se prema formuli: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3419475" cy="857250"/>
            <wp:effectExtent l="0" t="0" r="9525" b="0"/>
            <wp:docPr id="136" name="Picture 136" descr="C:\Program Files (x86)\ParagrafLex\browser\Files\Old\t\t2013_12\t12_0570_s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Program Files (x86)\ParagrafLex\browser\Files\Old\t\t2013_12\t12_0570_s119.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19475" cy="8572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Dok se procenat adsorpcije (At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u tački vremena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računa formulom: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3381375" cy="1152525"/>
            <wp:effectExtent l="0" t="0" r="9525" b="9525"/>
            <wp:docPr id="135" name="Picture 135" descr="C:\Program Files (x86)\ParagrafLex\browser\Files\Old\t\t2013_12\t12_0570_s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Program Files (x86)\ParagrafLex\browser\Files\Old\t\t2013_12\t12_0570_s120.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81375" cy="11525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Vrednosti adsorpcije At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ili A</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(u zavisnosti od potreba studije) grafički se prikazuju u funkciji vremena, a određuje se vreme nakon dostizanja ravnotežnog stanja adsorbcije.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trenutku dostizanja ravnotežnog stanja t</w:t>
      </w:r>
      <w:r w:rsidRPr="00984859">
        <w:rPr>
          <w:rFonts w:ascii="Arial" w:eastAsia="Times New Roman" w:hAnsi="Arial" w:cs="Arial"/>
          <w:sz w:val="15"/>
          <w:szCs w:val="15"/>
          <w:vertAlign w:val="subscript"/>
          <w:lang w:eastAsia="sr-Latn-RS"/>
        </w:rPr>
        <w:t>eq</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masa ispitivane supstance adsorbovana na zemljište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3571875" cy="828675"/>
            <wp:effectExtent l="0" t="0" r="9525" b="9525"/>
            <wp:docPr id="134" name="Picture 134" descr="C:\Program Files (x86)\ParagrafLex\browser\Files\Old\t\t2013_12\t12_0570_s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Program Files (x86)\ParagrafLex\browser\Files\Old\t\t2013_12\t12_0570_s121.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71875" cy="8286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masa ispitivane supstance u rastvoru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019675" cy="809625"/>
            <wp:effectExtent l="0" t="0" r="9525" b="9525"/>
            <wp:docPr id="133" name="Picture 133" descr="C:\Program Files (x86)\ParagrafLex\browser\Files\Old\t\t2013_12\t12_0570_s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Program Files (x86)\ParagrafLex\browser\Files\Old\t\t2013_12\t12_0570_s122.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19675" cy="8096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procenat adsorbcije u ravnotežnom stanju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3495675" cy="857250"/>
            <wp:effectExtent l="0" t="0" r="9525" b="0"/>
            <wp:docPr id="132" name="Picture 132" descr="C:\Program Files (x86)\ParagrafLex\browser\Files\Old\t\t2013_12\t12_0570_s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Program Files (x86)\ParagrafLex\browser\Files\Old\t\t2013_12\t12_0570_s123.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95675" cy="8572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navedeni parametri: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jesu masa (μg) supstance adsorbovane na zemljište u toku vremenskih intervala Δt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Δt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Δt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jesu masa (μg) supstance izmerena u alikvotu V</w:t>
      </w:r>
      <w:r w:rsidRPr="00984859">
        <w:rPr>
          <w:rFonts w:ascii="Arial" w:eastAsia="Times New Roman" w:hAnsi="Arial" w:cs="Arial"/>
          <w:sz w:val="15"/>
          <w:szCs w:val="15"/>
          <w:vertAlign w:val="subscript"/>
          <w:lang w:eastAsia="sr-Latn-RS"/>
        </w:rPr>
        <w:t>a</w:t>
      </w:r>
      <w:r w:rsidRPr="00984859">
        <w:rPr>
          <w:rFonts w:ascii="Arial" w:eastAsia="Times New Roman" w:hAnsi="Arial" w:cs="Arial"/>
          <w:sz w:val="15"/>
          <w:szCs w:val="15"/>
          <w:vertAlign w:val="superscript"/>
          <w:lang w:eastAsia="sr-Latn-RS"/>
        </w:rPr>
        <w:t>A</w:t>
      </w:r>
      <w:r w:rsidRPr="00984859">
        <w:rPr>
          <w:rFonts w:ascii="Arial" w:eastAsia="Times New Roman" w:hAnsi="Arial" w:cs="Arial"/>
          <w:lang w:eastAsia="sr-Latn-RS"/>
        </w:rPr>
        <w:t xml:space="preserve"> u tačkama vremena 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w:t>
      </w:r>
      <w:r w:rsidRPr="00984859">
        <w:rPr>
          <w:rFonts w:ascii="Arial" w:eastAsia="Times New Roman" w:hAnsi="Arial" w:cs="Arial"/>
          <w:lang w:eastAsia="sr-Latn-RS"/>
        </w:rPr>
        <w:t xml:space="preserve">s (eq) jeste masa supstance adsorbovana na zemljište u ravnotežnom stanju adsorbcije (μg);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(eq) jeste masa supstance u rastvoru u ravnotežnom stanju adsorbcije (μg);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a</w:t>
      </w:r>
      <w:r w:rsidRPr="00984859">
        <w:rPr>
          <w:rFonts w:ascii="Arial" w:eastAsia="Times New Roman" w:hAnsi="Arial" w:cs="Arial"/>
          <w:sz w:val="15"/>
          <w:szCs w:val="15"/>
          <w:vertAlign w:val="superscript"/>
          <w:lang w:eastAsia="sr-Latn-RS"/>
        </w:rPr>
        <w:t>A</w:t>
      </w:r>
      <w:r w:rsidRPr="00984859">
        <w:rPr>
          <w:rFonts w:ascii="Arial" w:eastAsia="Times New Roman" w:hAnsi="Arial" w:cs="Arial"/>
          <w:lang w:eastAsia="sr-Latn-RS"/>
        </w:rPr>
        <w:t xml:space="preserve"> jeste zapremina alikvota u kome je merena ispitivane supstanca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Δti</w:t>
      </w:r>
      <w:r w:rsidRPr="00984859">
        <w:rPr>
          <w:rFonts w:ascii="Arial" w:eastAsia="Times New Roman" w:hAnsi="Arial" w:cs="Arial"/>
          <w:lang w:eastAsia="sr-Latn-RS"/>
        </w:rPr>
        <w:t xml:space="preserve"> jeste procenat adsorpcije u vremenskom intervalu Δt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w:t>
      </w:r>
      <w:r w:rsidRPr="00984859">
        <w:rPr>
          <w:rFonts w:ascii="Arial" w:eastAsia="Times New Roman" w:hAnsi="Arial" w:cs="Arial"/>
          <w:sz w:val="15"/>
          <w:szCs w:val="15"/>
          <w:vertAlign w:val="subscript"/>
          <w:lang w:eastAsia="sr-Latn-RS"/>
        </w:rPr>
        <w:t>eq</w:t>
      </w:r>
      <w:r w:rsidRPr="00984859">
        <w:rPr>
          <w:rFonts w:ascii="Arial" w:eastAsia="Times New Roman" w:hAnsi="Arial" w:cs="Arial"/>
          <w:lang w:eastAsia="sr-Latn-RS"/>
        </w:rPr>
        <w:t xml:space="preserve"> jeste procenat adsorpcije u ravnotežnom stanju adsorbcije(%).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DESORPCIJA D (%)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Početno vreme (t</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ispitivanja kinetike desorpcije, smatra se za trenutak (nakon postizanja ravnotežnog stanja adsorpcije) u kom je najveća zapremina rastvora ispitivane supstance zamenjena jednakom zapreminom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Paralelna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vremenu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masa ispitivane supstance u tečnoj fazi meri se iz </w:t>
      </w:r>
      <w:r w:rsidRPr="00984859">
        <w:rPr>
          <w:rFonts w:ascii="Arial" w:eastAsia="Times New Roman" w:hAnsi="Arial" w:cs="Arial"/>
          <w:i/>
          <w:iCs/>
          <w:lang w:eastAsia="sr-Latn-RS"/>
        </w:rPr>
        <w:t>i</w:t>
      </w:r>
      <w:r w:rsidRPr="00984859">
        <w:rPr>
          <w:rFonts w:ascii="Arial" w:eastAsia="Times New Roman" w:hAnsi="Arial" w:cs="Arial"/>
          <w:lang w:eastAsia="sr-Latn-RS"/>
        </w:rPr>
        <w:t>-te kivete v</w:t>
      </w:r>
      <w:r w:rsidRPr="00984859">
        <w:rPr>
          <w:rFonts w:ascii="Arial" w:eastAsia="Times New Roman" w:hAnsi="Arial" w:cs="Arial"/>
          <w:sz w:val="15"/>
          <w:szCs w:val="15"/>
          <w:vertAlign w:val="subscript"/>
          <w:lang w:eastAsia="sr-Latn-RS"/>
        </w:rPr>
        <w:t>r</w:t>
      </w:r>
      <w:r w:rsidRPr="00984859">
        <w:rPr>
          <w:rFonts w:ascii="Arial" w:eastAsia="Times New Roman" w:hAnsi="Arial" w:cs="Arial"/>
          <w:sz w:val="15"/>
          <w:szCs w:val="15"/>
          <w:vertAlign w:val="superscript"/>
          <w:lang w:eastAsia="sr-Latn-RS"/>
        </w:rPr>
        <w:t>i</w:t>
      </w:r>
      <w:r w:rsidRPr="00984859">
        <w:rPr>
          <w:rFonts w:ascii="Arial" w:eastAsia="Times New Roman" w:hAnsi="Arial" w:cs="Arial"/>
          <w:lang w:eastAsia="sr-Latn-RS"/>
        </w:rPr>
        <w:t xml:space="preserve"> a desorbovana masa računa se formulom: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257675" cy="923925"/>
            <wp:effectExtent l="0" t="0" r="9525" b="9525"/>
            <wp:docPr id="131" name="Picture 131" descr="C:\Program Files (x86)\ParagrafLex\browser\Files\Old\t\t2013_12\t12_0570_s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Program Files (x86)\ParagrafLex\browser\Files\Old\t\t2013_12\t12_0570_s124.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7675" cy="9239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U trenutku dostizanja ravnotežnog stanja desorpcije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t</w:t>
      </w:r>
      <w:r w:rsidRPr="00984859">
        <w:rPr>
          <w:rFonts w:ascii="Arial" w:eastAsia="Times New Roman" w:hAnsi="Arial" w:cs="Arial"/>
          <w:sz w:val="15"/>
          <w:szCs w:val="15"/>
          <w:vertAlign w:val="subscript"/>
          <w:lang w:eastAsia="sr-Latn-RS"/>
        </w:rPr>
        <w:t>eq</w:t>
      </w:r>
      <w:r w:rsidRPr="00984859">
        <w:rPr>
          <w:rFonts w:ascii="Arial" w:eastAsia="Times New Roman" w:hAnsi="Arial" w:cs="Arial"/>
          <w:lang w:eastAsia="sr-Latn-RS"/>
        </w:rPr>
        <w:t>, pa je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(eq).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Masa ispitivane supstance desorbovana u toku vremenskog intervala (Δt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257675" cy="876300"/>
            <wp:effectExtent l="0" t="0" r="9525" b="0"/>
            <wp:docPr id="130" name="Picture 130" descr="C:\Program Files (x86)\ParagrafLex\browser\Files\Old\t\t2013_12\t12_0570_s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Program Files (x86)\ParagrafLex\browser\Files\Old\t\t2013_12\t12_0570_s125.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57675" cy="8763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Procenat desorpcije se računa: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u tački vremena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iz formule: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3495675" cy="876300"/>
            <wp:effectExtent l="0" t="0" r="9525" b="0"/>
            <wp:docPr id="129" name="Picture 129" descr="C:\Program Files (x86)\ParagrafLex\browser\Files\Old\t\t2013_12\t12_0570_s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Program Files (x86)\ParagrafLex\browser\Files\Old\t\t2013_12\t12_0570_s126.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95675" cy="8763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u toku vremenskog intervala (Dt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iz formule: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3457575" cy="876300"/>
            <wp:effectExtent l="0" t="0" r="9525" b="0"/>
            <wp:docPr id="128" name="Picture 128" descr="C:\Program Files (x86)\ParagrafLex\browser\Files\Old\t\t2013_12\t12_0570_s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Program Files (x86)\ParagrafLex\browser\Files\Old\t\t2013_12\t12_0570_s127.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57575" cy="8763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procenat (%) desorpcije u tački vremena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DΔt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procenat (%) desorpcije koji odgovara vremenskom intervalu Dt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jeste masa (mg) ispitivane supstance desorbovana u tački vremena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jeste masa (mg) ispitivane supstance desorbovana u toku vremenskog intervala Δt</w:t>
      </w:r>
      <w:r w:rsidRPr="00984859">
        <w:rPr>
          <w:rFonts w:ascii="Arial" w:eastAsia="Times New Roman" w:hAnsi="Arial" w:cs="Arial"/>
          <w:sz w:val="15"/>
          <w:szCs w:val="15"/>
          <w:vertAlign w:val="subscript"/>
          <w:lang w:eastAsia="sr-Latn-RS"/>
        </w:rPr>
        <w:t>i</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jeste masa (mg) ispitivane supstance analitički izmerena u tački vremena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u rastvoru zapremine v</w:t>
      </w:r>
      <w:r w:rsidRPr="00984859">
        <w:rPr>
          <w:rFonts w:ascii="Arial" w:eastAsia="Times New Roman" w:hAnsi="Arial" w:cs="Arial"/>
          <w:sz w:val="15"/>
          <w:szCs w:val="15"/>
          <w:vertAlign w:val="subscript"/>
          <w:lang w:eastAsia="sr-Latn-RS"/>
        </w:rPr>
        <w:t>r</w:t>
      </w:r>
      <w:r w:rsidRPr="00984859">
        <w:rPr>
          <w:rFonts w:ascii="Arial" w:eastAsia="Times New Roman" w:hAnsi="Arial" w:cs="Arial"/>
          <w:sz w:val="15"/>
          <w:szCs w:val="15"/>
          <w:vertAlign w:val="superscript"/>
          <w:lang w:eastAsia="sr-Latn-RS"/>
        </w:rPr>
        <w:t>i</w:t>
      </w:r>
      <w:r w:rsidRPr="00984859">
        <w:rPr>
          <w:rFonts w:ascii="Arial" w:eastAsia="Times New Roman" w:hAnsi="Arial" w:cs="Arial"/>
          <w:lang w:eastAsia="sr-Latn-RS"/>
        </w:rPr>
        <w:t xml:space="preserve"> koja je uzeta za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w:t>
      </w:r>
      <w:r w:rsidRPr="00984859">
        <w:rPr>
          <w:rFonts w:ascii="Arial" w:eastAsia="Times New Roman" w:hAnsi="Arial" w:cs="Arial"/>
          <w:lang w:eastAsia="sr-Latn-RS"/>
        </w:rPr>
        <w:t xml:space="preserve"> jeste masa (mg) ispitivane supstance koja preostaje nakon dostizanja ravnotežnog stanja adsorbcije zbog nekompletne izmene zapremine;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3533775" cy="895350"/>
            <wp:effectExtent l="0" t="0" r="9525" b="0"/>
            <wp:docPr id="127" name="Picture 127" descr="C:\Program Files (x86)\ParagrafLex\browser\Files\Old\t\t2013_12\t12_0570_s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Program Files (x86)\ParagrafLex\browser\Files\Old\t\t2013_12\t12_0570_s128.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33775" cy="8953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 xml:space="preserve">ads </w:t>
      </w:r>
      <w:r w:rsidRPr="00984859">
        <w:rPr>
          <w:rFonts w:ascii="Arial" w:eastAsia="Times New Roman" w:hAnsi="Arial" w:cs="Arial"/>
          <w:lang w:eastAsia="sr-Latn-RS"/>
        </w:rPr>
        <w:t xml:space="preserve">(eq) jeste masa (mg) ispitivane supstance u rastvoru u trenutku dostizanja ravnotežnog stanja adsorbcije;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jeste zapremina supernatanta uklonjena nakon postizanja ravnotežnog stanja adsorbcije i zamenjena istom zapreminom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w:t>
      </w:r>
      <w:r w:rsidRPr="00984859">
        <w:rPr>
          <w:rFonts w:ascii="Arial" w:eastAsia="Times New Roman" w:hAnsi="Arial" w:cs="Arial"/>
          <w:sz w:val="15"/>
          <w:szCs w:val="15"/>
          <w:vertAlign w:val="superscript"/>
          <w:lang w:eastAsia="sr-Latn-RS"/>
        </w:rPr>
        <w:t>i</w:t>
      </w:r>
      <w:r w:rsidRPr="00984859">
        <w:rPr>
          <w:rFonts w:ascii="Arial" w:eastAsia="Times New Roman" w:hAnsi="Arial" w:cs="Arial"/>
          <w:lang w:eastAsia="sr-Latn-RS"/>
        </w:rPr>
        <w:t xml:space="preserve"> jeste zapremina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rastvora uzetog iz </w:t>
      </w:r>
      <w:r w:rsidRPr="00984859">
        <w:rPr>
          <w:rFonts w:ascii="Arial" w:eastAsia="Times New Roman" w:hAnsi="Arial" w:cs="Arial"/>
          <w:i/>
          <w:iCs/>
          <w:lang w:eastAsia="sr-Latn-RS"/>
        </w:rPr>
        <w:t>i</w:t>
      </w:r>
      <w:r w:rsidRPr="00984859">
        <w:rPr>
          <w:rFonts w:ascii="Arial" w:eastAsia="Times New Roman" w:hAnsi="Arial" w:cs="Arial"/>
          <w:lang w:eastAsia="sr-Latn-RS"/>
        </w:rPr>
        <w:t xml:space="preserve">-tekivete za merenje ispitivane supstance, u eksperimentu kinetike desorpcije.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Vrednosti desorpcije Dt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i DDt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(u skladu sa potrebama studije) grafički se prikazuju u funkciji vremena i određuje se vreme nakon kojeg se dostiže ravnotežno stanje desorpcije.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Redna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Jednačine date u ovom odeljku uzimaju u obzir da je protokol ispitivanja adsorbcije koji je prethodio ovome, podrazumevao merenje ispitivane supstance u malim alikvotima (v</w:t>
      </w:r>
      <w:r w:rsidRPr="00984859">
        <w:rPr>
          <w:rFonts w:ascii="Arial" w:eastAsia="Times New Roman" w:hAnsi="Arial" w:cs="Arial"/>
          <w:sz w:val="15"/>
          <w:szCs w:val="15"/>
          <w:vertAlign w:val="subscript"/>
          <w:lang w:eastAsia="sr-Latn-RS"/>
        </w:rPr>
        <w:t>r</w:t>
      </w:r>
      <w:r w:rsidRPr="00984859">
        <w:rPr>
          <w:rFonts w:ascii="Arial" w:eastAsia="Times New Roman" w:hAnsi="Arial" w:cs="Arial"/>
          <w:sz w:val="15"/>
          <w:szCs w:val="15"/>
          <w:vertAlign w:val="superscript"/>
          <w:lang w:eastAsia="sr-Latn-RS"/>
        </w:rPr>
        <w:t>i</w:t>
      </w:r>
      <w:r w:rsidRPr="00984859">
        <w:rPr>
          <w:rFonts w:ascii="Arial" w:eastAsia="Times New Roman" w:hAnsi="Arial" w:cs="Arial"/>
          <w:lang w:eastAsia="sr-Latn-RS"/>
        </w:rPr>
        <w:t xml:space="preserve">) tečne faze (videti u odeljku 1.9. ove metode). Podrazumeva se da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 zapremina supernatanta, uklonjenog iz epruvete nakon ispitivanja kojim se proučavala kinetika adsorpcije, zamenjen jednakom zapreminom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(V</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i da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 ukupna zapremina tečne faze koja je u dodiru sa zemljištem (V</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u toku ispitivanja kojim se proučava kinetika desorpcije ostala nepromenjena i data formulom: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2771775" cy="809625"/>
            <wp:effectExtent l="0" t="0" r="9525" b="9525"/>
            <wp:docPr id="126" name="Picture 126" descr="C:\Program Files (x86)\ParagrafLex\browser\Files\Old\t\t2013_12\t12_0570_s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Program Files (x86)\ParagrafLex\browser\Files\Old\t\t2013_12\t12_0570_s129.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71775" cy="8096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trenutku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masa ispitivane supstance meri se u malim alikvotima (v</w:t>
      </w:r>
      <w:r w:rsidRPr="00984859">
        <w:rPr>
          <w:rFonts w:ascii="Arial" w:eastAsia="Times New Roman" w:hAnsi="Arial" w:cs="Arial"/>
          <w:sz w:val="15"/>
          <w:szCs w:val="15"/>
          <w:vertAlign w:val="subscript"/>
          <w:lang w:eastAsia="sr-Latn-RS"/>
        </w:rPr>
        <w:t>a</w:t>
      </w:r>
      <w:r w:rsidRPr="00984859">
        <w:rPr>
          <w:rFonts w:ascii="Arial" w:eastAsia="Times New Roman" w:hAnsi="Arial" w:cs="Arial"/>
          <w:sz w:val="15"/>
          <w:szCs w:val="15"/>
          <w:vertAlign w:val="superscript"/>
          <w:lang w:eastAsia="sr-Latn-RS"/>
        </w:rPr>
        <w:t>D</w:t>
      </w:r>
      <w:r w:rsidRPr="00984859">
        <w:rPr>
          <w:rFonts w:ascii="Arial" w:eastAsia="Times New Roman" w:hAnsi="Arial" w:cs="Arial"/>
          <w:lang w:eastAsia="sr-Latn-RS"/>
        </w:rPr>
        <w:t xml:space="preserve">), a desorbovana masa se računa primenom formule: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743575" cy="695325"/>
            <wp:effectExtent l="0" t="0" r="9525" b="9525"/>
            <wp:docPr id="125" name="Picture 125" descr="C:\Program Files (x86)\ParagrafLex\browser\Files\Old\t\t2013_12\t12_0570_s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Program Files (x86)\ParagrafLex\browser\Files\Old\t\t2013_12\t12_0570_s130.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43575" cy="6953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u momentu dostizanja ravnotežnog stanja desorpcije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eq</w:t>
      </w:r>
      <w:r w:rsidRPr="00984859">
        <w:rPr>
          <w:rFonts w:ascii="Arial" w:eastAsia="Times New Roman" w:hAnsi="Arial" w:cs="Arial"/>
          <w:lang w:eastAsia="sr-Latn-RS"/>
        </w:rPr>
        <w:t>, pa je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(eq);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procenat desorpcije D</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računa se iz sledeće formule: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3495675" cy="876300"/>
            <wp:effectExtent l="0" t="0" r="9525" b="0"/>
            <wp:docPr id="124" name="Picture 124" descr="C:\Program Files (x86)\ParagrafLex\browser\Files\Old\t\t2013_12\t12_0570_s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Program Files (x86)\ParagrafLex\browser\Files\Old\t\t2013_12\t12_0570_s131.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95675" cy="8763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vremenskom intervalu (Δt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za prvi vremenski interval Δt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količina desorbovane supstance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743575" cy="581025"/>
            <wp:effectExtent l="0" t="0" r="9525" b="9525"/>
            <wp:docPr id="123" name="Picture 123" descr="C:\Program Files (x86)\ParagrafLex\browser\Files\Old\t\t2013_12\t12_0570_s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Program Files (x86)\ParagrafLex\browser\Files\Old\t\t2013_12\t12_0570_s132.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43575" cy="5810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za drugi vremenski interval Δt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količina desorbovane supstance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553075" cy="666750"/>
            <wp:effectExtent l="0" t="0" r="9525" b="0"/>
            <wp:docPr id="122" name="Picture 122" descr="C:\Program Files (x86)\ParagrafLex\browser\Files\Old\t\t2013_12\t12_0570_s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Program Files (x86)\ParagrafLex\browser\Files\Old\t\t2013_12\t12_0570_s13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53075" cy="666750"/>
                    </a:xfrm>
                    <a:prstGeom prst="rect">
                      <a:avLst/>
                    </a:prstGeom>
                    <a:noFill/>
                    <a:ln>
                      <a:noFill/>
                    </a:ln>
                  </pic:spPr>
                </pic:pic>
              </a:graphicData>
            </a:graphic>
          </wp:inline>
        </w:drawing>
      </w:r>
      <w:r w:rsidRPr="00984859">
        <w:rPr>
          <w:rFonts w:ascii="Arial" w:eastAsia="Times New Roman" w:hAnsi="Arial" w:cs="Arial"/>
          <w:lang w:eastAsia="sr-Latn-RS"/>
        </w:rPr>
        <w:t xml:space="preserve">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181475" cy="419100"/>
            <wp:effectExtent l="0" t="0" r="9525" b="0"/>
            <wp:docPr id="121" name="Picture 121" descr="C:\Program Files (x86)\ParagrafLex\browser\Files\Old\t\t2013_12\t12_0570_s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Program Files (x86)\ParagrafLex\browser\Files\Old\t\t2013_12\t12_0570_s134.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81475" cy="4191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 </w:t>
      </w:r>
      <w:r w:rsidRPr="00984859">
        <w:rPr>
          <w:rFonts w:ascii="Arial" w:eastAsia="Times New Roman" w:hAnsi="Arial" w:cs="Arial"/>
          <w:i/>
          <w:iCs/>
          <w:lang w:eastAsia="sr-Latn-RS"/>
        </w:rPr>
        <w:t>n</w:t>
      </w:r>
      <w:r w:rsidRPr="00984859">
        <w:rPr>
          <w:rFonts w:ascii="Arial" w:eastAsia="Times New Roman" w:hAnsi="Arial" w:cs="Arial"/>
          <w:lang w:eastAsia="sr-Latn-RS"/>
        </w:rPr>
        <w:t>-ti vremenski interval Δt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t</w:t>
      </w:r>
      <w:r w:rsidRPr="00984859">
        <w:rPr>
          <w:rFonts w:ascii="Arial" w:eastAsia="Times New Roman" w:hAnsi="Arial" w:cs="Arial"/>
          <w:sz w:val="15"/>
          <w:szCs w:val="15"/>
          <w:vertAlign w:val="subscript"/>
          <w:lang w:eastAsia="sr-Latn-RS"/>
        </w:rPr>
        <w:t>n-1</w:t>
      </w:r>
      <w:r w:rsidRPr="00984859">
        <w:rPr>
          <w:rFonts w:ascii="Arial" w:eastAsia="Times New Roman" w:hAnsi="Arial" w:cs="Arial"/>
          <w:lang w:eastAsia="sr-Latn-RS"/>
        </w:rPr>
        <w:t xml:space="preserve">, količina desorbovane supstance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5553075" cy="647700"/>
            <wp:effectExtent l="0" t="0" r="9525" b="0"/>
            <wp:docPr id="120" name="Picture 120" descr="C:\Program Files (x86)\ParagrafLex\browser\Files\Old\t\t2013_12\t12_0570_s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Program Files (x86)\ParagrafLex\browser\Files\Old\t\t2013_12\t12_0570_s13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53075" cy="647700"/>
                    </a:xfrm>
                    <a:prstGeom prst="rect">
                      <a:avLst/>
                    </a:prstGeom>
                    <a:noFill/>
                    <a:ln>
                      <a:noFill/>
                    </a:ln>
                  </pic:spPr>
                </pic:pic>
              </a:graphicData>
            </a:graphic>
          </wp:inline>
        </w:drawing>
      </w:r>
      <w:r w:rsidRPr="00984859">
        <w:rPr>
          <w:rFonts w:ascii="Arial" w:eastAsia="Times New Roman" w:hAnsi="Arial" w:cs="Arial"/>
          <w:lang w:eastAsia="sr-Latn-RS"/>
        </w:rPr>
        <w:t xml:space="preserve">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2771775" cy="485775"/>
            <wp:effectExtent l="0" t="0" r="9525" b="9525"/>
            <wp:docPr id="119" name="Picture 119" descr="C:\Program Files (x86)\ParagrafLex\browser\Files\Old\t\t2013_12\t12_0570_s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Program Files (x86)\ParagrafLex\browser\Files\Old\t\t2013_12\t12_0570_s136.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71775" cy="4857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kraju, procenat desorpcije u svakom vremenskom intervalu D</w:t>
      </w:r>
      <w:r w:rsidRPr="00984859">
        <w:rPr>
          <w:rFonts w:ascii="Arial" w:eastAsia="Times New Roman" w:hAnsi="Arial" w:cs="Arial"/>
          <w:sz w:val="15"/>
          <w:szCs w:val="15"/>
          <w:vertAlign w:val="subscript"/>
          <w:lang w:eastAsia="sr-Latn-RS"/>
        </w:rPr>
        <w:t xml:space="preserve">Δti </w:t>
      </w:r>
      <w:r w:rsidRPr="00984859">
        <w:rPr>
          <w:rFonts w:ascii="Arial" w:eastAsia="Times New Roman" w:hAnsi="Arial" w:cs="Arial"/>
          <w:lang w:eastAsia="sr-Latn-RS"/>
        </w:rPr>
        <w:t xml:space="preserve">se računa pomoću sledeće formule: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3533775" cy="781050"/>
            <wp:effectExtent l="0" t="0" r="9525" b="0"/>
            <wp:docPr id="118" name="Picture 118" descr="C:\Program Files (x86)\ParagrafLex\browser\Files\Old\t\t2013_12\t12_0570_s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Program Files (x86)\ParagrafLex\browser\Files\Old\t\t2013_12\t12_0570_s137.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33775" cy="7810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desorpcije u vremenu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981575" cy="1200150"/>
            <wp:effectExtent l="0" t="0" r="9525" b="0"/>
            <wp:docPr id="117" name="Picture 117" descr="C:\Program Files (x86)\ParagrafLex\browser\Files\Old\t\t2013_12\t12_0570_s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Program Files (x86)\ParagrafLex\browser\Files\Old\t\t2013_12\t12_0570_s138.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81575" cy="120015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navedeni parametri: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jesu masa (mg)supstance koja ostaje adsorbovana na zemljištu nakon vremenskih intervala Δt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Δt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Δt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jesu masa(mg) ispitivane supstance desorbovana u toku vremenskih intervala Δt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Δt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Δt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 xml:space="preserve"> (Δt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jesu masa (mg) supstance izmerena u alikvotima u tačkama vremena t</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t</w:t>
      </w:r>
      <w:r w:rsidRPr="00984859">
        <w:rPr>
          <w:rFonts w:ascii="Arial" w:eastAsia="Times New Roman" w:hAnsi="Arial" w:cs="Arial"/>
          <w:sz w:val="15"/>
          <w:szCs w:val="15"/>
          <w:vertAlign w:val="subscript"/>
          <w:lang w:eastAsia="sr-Latn-RS"/>
        </w:rPr>
        <w:t>n</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jeste ukupna zapremina tečne faze u kontaktu sa zemljištem u toku ispitivanja kinetike desorpcije izvedenog rednom metodom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w:t>
      </w:r>
      <w:r w:rsidRPr="00984859">
        <w:rPr>
          <w:rFonts w:ascii="Arial" w:eastAsia="Times New Roman" w:hAnsi="Arial" w:cs="Arial"/>
          <w:lang w:eastAsia="sr-Latn-RS"/>
        </w:rPr>
        <w:t xml:space="preserve"> jeste masa (mg) ispitivane supstance koja ostaje nakon dostizanja ravnotežnog stanja adsorbcije zbog nekompletne izmene zapremine;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981575" cy="1647825"/>
            <wp:effectExtent l="0" t="0" r="9525" b="9525"/>
            <wp:docPr id="116" name="Picture 116" descr="C:\Program Files (x86)\ParagrafLex\browser\Files\Old\t\t2013_12\t12_0570_s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Program Files (x86)\ParagrafLex\browser\Files\Old\t\t2013_12\t12_0570_s139.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81575" cy="16478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jeste zapremina supernatanta uklonjena iz epruvete nakon postizanja ravnotežnog stanja adsorbcije i zamenjena istom zapreminom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a</w:t>
      </w:r>
      <w:r w:rsidRPr="00984859">
        <w:rPr>
          <w:rFonts w:ascii="Arial" w:eastAsia="Times New Roman" w:hAnsi="Arial" w:cs="Arial"/>
          <w:sz w:val="15"/>
          <w:szCs w:val="15"/>
          <w:vertAlign w:val="superscript"/>
          <w:lang w:eastAsia="sr-Latn-RS"/>
        </w:rPr>
        <w:t>D</w:t>
      </w:r>
      <w:r w:rsidRPr="00984859">
        <w:rPr>
          <w:rFonts w:ascii="Arial" w:eastAsia="Times New Roman" w:hAnsi="Arial" w:cs="Arial"/>
          <w:lang w:eastAsia="sr-Latn-RS"/>
        </w:rPr>
        <w:t xml:space="preserve"> jeste zapremina (cm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alikvota uzetog iz i-te epruvete za analizu u toku ispitivanja kinetike desorpcije izvedenog rednom metodom;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1933575" cy="428625"/>
            <wp:effectExtent l="0" t="0" r="9525" b="9525"/>
            <wp:docPr id="115" name="Picture 115" descr="C:\Program Files (x86)\ParagrafLex\browser\Files\Old\t\t2013_12\t12_0570_s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Program Files (x86)\ParagrafLex\browser\Files\Old\t\t2013_12\t12_0570_s140.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b/>
          <w:bCs/>
          <w:lang w:eastAsia="sr-Latn-RS"/>
        </w:rPr>
        <w:t xml:space="preserve">Deo sedmi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b/>
          <w:bCs/>
          <w:lang w:eastAsia="sr-Latn-RS"/>
        </w:rPr>
        <w:t xml:space="preserve">ADSORPCIJA - DESORPCIJA U ZEMLJIŠTU: FORMULARI ZA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Ispitivano zemljište: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198"/>
        <w:gridCol w:w="1914"/>
      </w:tblGrid>
      <w:tr w:rsidR="00984859" w:rsidRPr="00984859" w:rsidTr="00984859">
        <w:trPr>
          <w:tblCellSpacing w:w="0" w:type="dxa"/>
        </w:trPr>
        <w:tc>
          <w:tcPr>
            <w:tcW w:w="3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suve mase zemljišta (105° C, 12 sati): </w:t>
            </w:r>
          </w:p>
        </w:tc>
        <w:tc>
          <w:tcPr>
            <w:tcW w:w="1050" w:type="pct"/>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198"/>
        <w:gridCol w:w="1914"/>
      </w:tblGrid>
      <w:tr w:rsidR="00984859" w:rsidRPr="00984859" w:rsidTr="00984859">
        <w:trPr>
          <w:tblCellSpacing w:w="0" w:type="dxa"/>
        </w:trPr>
        <w:tc>
          <w:tcPr>
            <w:tcW w:w="3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w:t>
            </w:r>
          </w:p>
        </w:tc>
        <w:tc>
          <w:tcPr>
            <w:tcW w:w="1050" w:type="pct"/>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°C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PRIKLADNOST ANALITIČKE METODE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384"/>
        <w:gridCol w:w="2374"/>
        <w:gridCol w:w="2374"/>
      </w:tblGrid>
      <w:tr w:rsidR="00984859" w:rsidRPr="00984859" w:rsidTr="00984859">
        <w:trPr>
          <w:tblCellSpacing w:w="0" w:type="dxa"/>
        </w:trPr>
        <w:tc>
          <w:tcPr>
            <w:tcW w:w="24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Težina zemljišta </w:t>
            </w:r>
          </w:p>
        </w:tc>
        <w:tc>
          <w:tcPr>
            <w:tcW w:w="13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 </w:t>
            </w:r>
          </w:p>
        </w:tc>
        <w:tc>
          <w:tcPr>
            <w:tcW w:w="1300" w:type="pc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suva masa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Zapremina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sol.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Nominalna koncentracija finalnog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Analitička koncentracija finalnog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Princip korišćene analitičke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Kalibracija analitičke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Ispitivano zemljište: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290"/>
        <w:gridCol w:w="1822"/>
      </w:tblGrid>
      <w:tr w:rsidR="00984859" w:rsidRPr="00984859" w:rsidTr="00984859">
        <w:trPr>
          <w:tblCellSpacing w:w="0" w:type="dxa"/>
        </w:trPr>
        <w:tc>
          <w:tcPr>
            <w:tcW w:w="400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suve mase zemljišta (105°C, 12 sati): </w:t>
            </w:r>
          </w:p>
        </w:tc>
        <w:tc>
          <w:tcPr>
            <w:tcW w:w="1000" w:type="pct"/>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543"/>
        <w:gridCol w:w="1569"/>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w:t>
            </w:r>
          </w:p>
        </w:tc>
        <w:tc>
          <w:tcPr>
            <w:tcW w:w="0" w:type="auto"/>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°C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99"/>
        <w:gridCol w:w="4613"/>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Praćena analitička metodologija: </w:t>
            </w: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Indirektna □ Paralelna □ Redna □ </w:t>
            </w:r>
          </w:p>
        </w:tc>
      </w:tr>
      <w:tr w:rsidR="00984859" w:rsidRPr="00984859" w:rsidTr="00984859">
        <w:trPr>
          <w:tblCellSpacing w:w="0" w:type="dxa"/>
        </w:trPr>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Direktna □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ispitivanja adsorpcije: ispitivani uzorci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73"/>
        <w:gridCol w:w="733"/>
        <w:gridCol w:w="910"/>
        <w:gridCol w:w="727"/>
        <w:gridCol w:w="727"/>
        <w:gridCol w:w="727"/>
        <w:gridCol w:w="727"/>
        <w:gridCol w:w="727"/>
        <w:gridCol w:w="727"/>
        <w:gridCol w:w="727"/>
        <w:gridCol w:w="727"/>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Simbol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Jedinica mere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dostizanja ravnotežnog stanja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dostizanja ravnotežnog stanja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dostizanja ravnotežnog stanja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 dostizanja ravnotežnog stanja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Epruveta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Težina zemljišta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suva masa </w:t>
            </w:r>
          </w:p>
        </w:tc>
        <w:tc>
          <w:tcPr>
            <w:tcW w:w="0" w:type="auto"/>
            <w:tcBorders>
              <w:top w:val="outset" w:sz="6" w:space="0" w:color="auto"/>
              <w:left w:val="outset" w:sz="6" w:space="0" w:color="auto"/>
              <w:bottom w:val="outset" w:sz="6" w:space="0" w:color="auto"/>
              <w:right w:val="outset" w:sz="6" w:space="0" w:color="auto"/>
            </w:tcBorders>
            <w:vAlign w:val="bottom"/>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zemljišta</w:t>
            </w:r>
          </w:p>
        </w:tc>
        <w:tc>
          <w:tcPr>
            <w:tcW w:w="0" w:type="auto"/>
            <w:tcBorders>
              <w:top w:val="outset" w:sz="6" w:space="0" w:color="auto"/>
              <w:left w:val="outset" w:sz="6" w:space="0" w:color="auto"/>
              <w:bottom w:val="outset" w:sz="6" w:space="0" w:color="auto"/>
              <w:right w:val="outset" w:sz="6" w:space="0" w:color="auto"/>
            </w:tcBorders>
            <w:vAlign w:val="bottom"/>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vode u izvaganom zemljištu (izračunata)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WS</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Zapremina 0,01 M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rastvora za ravnotežu zemljišta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osnovnog rastvora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zapremina tečne faze u dodiru sa zemljištem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koncentracija ispitivanog rastvora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ispitivane supstance na početku ispitivanja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68"/>
        <w:gridCol w:w="897"/>
        <w:gridCol w:w="908"/>
        <w:gridCol w:w="497"/>
        <w:gridCol w:w="603"/>
        <w:gridCol w:w="497"/>
        <w:gridCol w:w="509"/>
        <w:gridCol w:w="497"/>
        <w:gridCol w:w="509"/>
        <w:gridCol w:w="497"/>
        <w:gridCol w:w="450"/>
      </w:tblGrid>
      <w:tr w:rsidR="00984859" w:rsidRPr="00984859" w:rsidTr="00984859">
        <w:trPr>
          <w:tblCellSpacing w:w="0" w:type="dxa"/>
        </w:trPr>
        <w:tc>
          <w:tcPr>
            <w:tcW w:w="10710" w:type="dxa"/>
            <w:gridSpan w:val="11"/>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Nakon mešanja i centrifugiranja </w:t>
            </w:r>
          </w:p>
        </w:tc>
      </w:tr>
      <w:tr w:rsidR="00984859" w:rsidRPr="00984859" w:rsidTr="00984859">
        <w:trPr>
          <w:tblCellSpacing w:w="0" w:type="dxa"/>
        </w:trPr>
        <w:tc>
          <w:tcPr>
            <w:tcW w:w="10710" w:type="dxa"/>
            <w:gridSpan w:val="11"/>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INDIREKTNA METODA </w:t>
            </w:r>
          </w:p>
        </w:tc>
      </w:tr>
      <w:tr w:rsidR="00984859" w:rsidRPr="00984859" w:rsidTr="00984859">
        <w:trPr>
          <w:tblCellSpacing w:w="0" w:type="dxa"/>
        </w:trPr>
        <w:tc>
          <w:tcPr>
            <w:tcW w:w="10710" w:type="dxa"/>
            <w:gridSpan w:val="11"/>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Paralelna metoda </w:t>
            </w:r>
          </w:p>
        </w:tc>
      </w:tr>
      <w:tr w:rsidR="00984859" w:rsidRPr="00984859" w:rsidTr="00984859">
        <w:trPr>
          <w:tblCellSpacing w:w="0" w:type="dxa"/>
        </w:trPr>
        <w:tc>
          <w:tcPr>
            <w:tcW w:w="37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ispitivane supstance u tečnoj fazi (uključujući i slepu probu) </w:t>
            </w:r>
          </w:p>
        </w:tc>
        <w:tc>
          <w:tcPr>
            <w:tcW w:w="94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9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5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710" w:type="dxa"/>
            <w:gridSpan w:val="11"/>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Redna metoda </w:t>
            </w:r>
          </w:p>
        </w:tc>
      </w:tr>
      <w:tr w:rsidR="00984859" w:rsidRPr="00984859" w:rsidTr="00984859">
        <w:trPr>
          <w:tblCellSpacing w:w="0" w:type="dxa"/>
        </w:trPr>
        <w:tc>
          <w:tcPr>
            <w:tcW w:w="37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Izmerena masa ispitivane V</w:t>
            </w:r>
            <w:r w:rsidRPr="00984859">
              <w:rPr>
                <w:rFonts w:ascii="Arial" w:eastAsia="Times New Roman" w:hAnsi="Arial" w:cs="Arial"/>
                <w:sz w:val="15"/>
                <w:szCs w:val="15"/>
                <w:vertAlign w:val="subscript"/>
                <w:lang w:eastAsia="sr-Latn-RS"/>
              </w:rPr>
              <w:t>a</w:t>
            </w:r>
            <w:r w:rsidRPr="00984859">
              <w:rPr>
                <w:rFonts w:ascii="Arial" w:eastAsia="Times New Roman" w:hAnsi="Arial" w:cs="Arial"/>
                <w:sz w:val="15"/>
                <w:szCs w:val="15"/>
                <w:vertAlign w:val="superscript"/>
                <w:lang w:eastAsia="sr-Latn-RS"/>
              </w:rPr>
              <w:t>A</w:t>
            </w:r>
            <w:r w:rsidRPr="00984859">
              <w:rPr>
                <w:rFonts w:ascii="Arial" w:eastAsia="Times New Roman" w:hAnsi="Arial" w:cs="Arial"/>
                <w:lang w:eastAsia="sr-Latn-RS"/>
              </w:rPr>
              <w:t xml:space="preserve"> supstance u alikvotima </w:t>
            </w:r>
          </w:p>
        </w:tc>
        <w:tc>
          <w:tcPr>
            <w:tcW w:w="94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9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5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710" w:type="dxa"/>
            <w:gridSpan w:val="11"/>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DIREKTNA METODA </w:t>
            </w:r>
          </w:p>
        </w:tc>
      </w:tr>
      <w:tr w:rsidR="00984859" w:rsidRPr="00984859" w:rsidTr="00984859">
        <w:trPr>
          <w:tblCellSpacing w:w="0" w:type="dxa"/>
        </w:trPr>
        <w:tc>
          <w:tcPr>
            <w:tcW w:w="37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ispitivane supstance adsorbovane na zemljište </w:t>
            </w:r>
          </w:p>
        </w:tc>
        <w:tc>
          <w:tcPr>
            <w:tcW w:w="94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9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5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710" w:type="dxa"/>
            <w:gridSpan w:val="11"/>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Izračunavanje adsorpcije </w:t>
            </w:r>
          </w:p>
        </w:tc>
      </w:tr>
      <w:tr w:rsidR="00984859" w:rsidRPr="00984859" w:rsidTr="00984859">
        <w:trPr>
          <w:tblCellSpacing w:w="0" w:type="dxa"/>
        </w:trPr>
        <w:tc>
          <w:tcPr>
            <w:tcW w:w="37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Adsorpcija </w:t>
            </w:r>
          </w:p>
        </w:tc>
        <w:tc>
          <w:tcPr>
            <w:tcW w:w="94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At</w:t>
            </w:r>
            <w:r w:rsidRPr="00984859">
              <w:rPr>
                <w:rFonts w:ascii="Arial" w:eastAsia="Times New Roman" w:hAnsi="Arial" w:cs="Arial"/>
                <w:sz w:val="15"/>
                <w:szCs w:val="15"/>
                <w:vertAlign w:val="subscript"/>
                <w:lang w:eastAsia="sr-Latn-RS"/>
              </w:rPr>
              <w:t>i</w:t>
            </w:r>
          </w:p>
        </w:tc>
        <w:tc>
          <w:tcPr>
            <w:tcW w:w="9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5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7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4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A∆t</w:t>
            </w:r>
            <w:r w:rsidRPr="00984859">
              <w:rPr>
                <w:rFonts w:ascii="Arial" w:eastAsia="Times New Roman" w:hAnsi="Arial" w:cs="Arial"/>
                <w:sz w:val="15"/>
                <w:szCs w:val="15"/>
                <w:vertAlign w:val="subscript"/>
                <w:lang w:eastAsia="sr-Latn-RS"/>
              </w:rPr>
              <w:t>i</w:t>
            </w:r>
          </w:p>
        </w:tc>
        <w:tc>
          <w:tcPr>
            <w:tcW w:w="9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5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7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vrednost </w:t>
            </w:r>
          </w:p>
        </w:tc>
        <w:tc>
          <w:tcPr>
            <w:tcW w:w="190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36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4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4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170"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7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Konstanta adsorpcije </w:t>
            </w:r>
          </w:p>
        </w:tc>
        <w:tc>
          <w:tcPr>
            <w:tcW w:w="94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w:t>
            </w:r>
          </w:p>
        </w:tc>
        <w:tc>
          <w:tcPr>
            <w:tcW w:w="9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/g </w:t>
            </w: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5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7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vrednost </w:t>
            </w:r>
          </w:p>
        </w:tc>
        <w:tc>
          <w:tcPr>
            <w:tcW w:w="94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36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4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4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170"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7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Konstanta adsorpcije </w:t>
            </w:r>
          </w:p>
        </w:tc>
        <w:tc>
          <w:tcPr>
            <w:tcW w:w="94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os</w:t>
            </w:r>
          </w:p>
        </w:tc>
        <w:tc>
          <w:tcPr>
            <w:tcW w:w="9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/g </w:t>
            </w: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5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7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Srednja vrednost </w:t>
            </w:r>
          </w:p>
        </w:tc>
        <w:tc>
          <w:tcPr>
            <w:tcW w:w="94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75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1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5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Ispitivano zemljište: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290"/>
        <w:gridCol w:w="1822"/>
      </w:tblGrid>
      <w:tr w:rsidR="00984859" w:rsidRPr="00984859" w:rsidTr="00984859">
        <w:trPr>
          <w:tblCellSpacing w:w="0" w:type="dxa"/>
        </w:trPr>
        <w:tc>
          <w:tcPr>
            <w:tcW w:w="400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suve mase zemljišta (105°C, 12 sati): </w:t>
            </w:r>
          </w:p>
        </w:tc>
        <w:tc>
          <w:tcPr>
            <w:tcW w:w="1000" w:type="pct"/>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543"/>
        <w:gridCol w:w="1569"/>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w:t>
            </w:r>
          </w:p>
        </w:tc>
        <w:tc>
          <w:tcPr>
            <w:tcW w:w="0" w:type="auto"/>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°C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Metoda ispitivanja adsorpcije: slepe probe i kontrolni uzorci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231"/>
        <w:gridCol w:w="733"/>
        <w:gridCol w:w="1232"/>
        <w:gridCol w:w="514"/>
        <w:gridCol w:w="514"/>
        <w:gridCol w:w="514"/>
        <w:gridCol w:w="514"/>
        <w:gridCol w:w="440"/>
        <w:gridCol w:w="440"/>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Simbol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Jedinica mere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Slepa proba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Slepa proba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Kontrola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Epruveta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Težina zemljišta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vode u izmerenom zemljištu (izračunato)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Dodata zapremina 0,01 M rastvora CaCl2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Dodata zapremina osnovnog rastvora ispitivane supstance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zapremina tečne faze (izračunato)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koncentracija ispitivane supstance u tečnoj fazi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mešanja i centrifugiranja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u tečnoj fazi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g</w:t>
            </w:r>
            <w:r w:rsidRPr="00984859">
              <w:rPr>
                <w:rFonts w:ascii="Symbol" w:eastAsia="Times New Roman" w:hAnsi="Symbol" w:cs="Arial"/>
                <w:lang w:eastAsia="sr-Latn-RS"/>
              </w:rPr>
              <w:t></w:t>
            </w: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Ako je potrebno dodati kolone.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Ispitivano zemljište: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290"/>
        <w:gridCol w:w="1822"/>
      </w:tblGrid>
      <w:tr w:rsidR="00984859" w:rsidRPr="00984859" w:rsidTr="00984859">
        <w:trPr>
          <w:tblCellSpacing w:w="0" w:type="dxa"/>
        </w:trPr>
        <w:tc>
          <w:tcPr>
            <w:tcW w:w="400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Sadržaj suve mase zemljišta (105° C, 12 sati): </w:t>
            </w:r>
          </w:p>
        </w:tc>
        <w:tc>
          <w:tcPr>
            <w:tcW w:w="1000" w:type="pct"/>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543"/>
        <w:gridCol w:w="1569"/>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w:t>
            </w:r>
          </w:p>
        </w:tc>
        <w:tc>
          <w:tcPr>
            <w:tcW w:w="0" w:type="auto"/>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°C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Maseni balans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135"/>
        <w:gridCol w:w="1042"/>
        <w:gridCol w:w="1051"/>
        <w:gridCol w:w="726"/>
        <w:gridCol w:w="726"/>
        <w:gridCol w:w="726"/>
        <w:gridCol w:w="726"/>
      </w:tblGrid>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Simbol </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Jedinica mere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Epruveta br.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Težina zemljišta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suva masa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zemljišta</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vode u odmerenom zemljištu (izračunato)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WS</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ml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Zapremina 0,01 M rastvora 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za uravnoteženje zemljišta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ml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osnovnog rastvora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zapremina tečne faze u kontaktu sa zemljištem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Početna koncentracija ispitivanog rastvora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dostizanja ravnotežnog stanja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500" w:type="dxa"/>
            <w:gridSpan w:val="7"/>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Nakon mešanja i centrifugiranja </w:t>
            </w: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ispitivane supstance u tečnoj fazi u trenutku dostizanja ravnotežnog stanja uključujući korekciju za slepu probu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dostizanja ravnotežnog stanja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eq</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500" w:type="dxa"/>
            <w:gridSpan w:val="7"/>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Prvo razblaživanje sa rastvaračem </w:t>
            </w: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Uklonjena zapremina tečne faze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rec</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Dodata zapremina rastvarača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 </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049"/>
        <w:gridCol w:w="1119"/>
        <w:gridCol w:w="1014"/>
        <w:gridCol w:w="707"/>
        <w:gridCol w:w="707"/>
        <w:gridCol w:w="707"/>
        <w:gridCol w:w="742"/>
        <w:gridCol w:w="36"/>
        <w:gridCol w:w="51"/>
      </w:tblGrid>
      <w:tr w:rsidR="00984859" w:rsidRPr="00984859" w:rsidTr="00984859">
        <w:trPr>
          <w:tblCellSpacing w:w="0" w:type="dxa"/>
        </w:trPr>
        <w:tc>
          <w:tcPr>
            <w:tcW w:w="10785" w:type="dxa"/>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Prva ekstrakcija rastvaračem </w:t>
            </w: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Signal analiziran u rastvaraču </w:t>
            </w: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E1</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var.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ispitivane supstance u rastvaraču </w:t>
            </w: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E1</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supstance ekstrahovane iz zemljišta i sa zidova Ispitivanja posuda </w:t>
            </w: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E1</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r w:rsidR="00984859" w:rsidRPr="00984859" w:rsidTr="00984859">
        <w:trPr>
          <w:tblCellSpacing w:w="0" w:type="dxa"/>
        </w:trPr>
        <w:tc>
          <w:tcPr>
            <w:tcW w:w="10785" w:type="dxa"/>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Drugo razblaživanje sa rastvaračem </w:t>
            </w: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Uklonjena zapremina tečne faze </w:t>
            </w: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s</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Dodata zapremina rastvarača </w:t>
            </w: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 </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r w:rsidR="00984859" w:rsidRPr="00984859" w:rsidTr="00984859">
        <w:trPr>
          <w:tblCellSpacing w:w="0" w:type="dxa"/>
        </w:trPr>
        <w:tc>
          <w:tcPr>
            <w:tcW w:w="10785" w:type="dxa"/>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Druga ekstrakcija rastvaračem </w:t>
            </w: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Signal analiziran u rastvaraču </w:t>
            </w: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w:t>
            </w:r>
            <w:r w:rsidRPr="00984859">
              <w:rPr>
                <w:rFonts w:ascii="Arial" w:eastAsia="Times New Roman" w:hAnsi="Arial" w:cs="Arial"/>
                <w:sz w:val="15"/>
                <w:szCs w:val="15"/>
                <w:vertAlign w:val="subscript"/>
                <w:lang w:eastAsia="sr-Latn-RS"/>
              </w:rPr>
              <w:t>E2</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var.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ispitivane supstance u rastvaraču </w:t>
            </w: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E2</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supstance ekstrahovane iz zemljišta i sa zidova Ispitivanja posuda </w:t>
            </w: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E2</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masa ispitivane supstance ekstrahovana u dva koraka </w:t>
            </w: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E</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Maseni balans </w:t>
            </w: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MB </w:t>
            </w: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r w:rsidR="00984859" w:rsidRPr="00984859" w:rsidTr="00984859">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32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09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9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c>
          <w:tcPr>
            <w:tcW w:w="0" w:type="auto"/>
            <w:vAlign w:val="center"/>
            <w:hideMark/>
          </w:tcPr>
          <w:p w:rsidR="00984859" w:rsidRPr="00984859" w:rsidRDefault="00984859" w:rsidP="00984859">
            <w:pPr>
              <w:spacing w:after="0" w:line="240" w:lineRule="auto"/>
              <w:rPr>
                <w:rFonts w:ascii="Times New Roman" w:eastAsia="Times New Roman" w:hAnsi="Times New Roman" w:cs="Times New Roman"/>
                <w:sz w:val="20"/>
                <w:szCs w:val="20"/>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Ispitivano zemljište: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671"/>
        <w:gridCol w:w="441"/>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suve mase zemljišta (105° C, 12 sati): </w:t>
            </w:r>
          </w:p>
        </w:tc>
        <w:tc>
          <w:tcPr>
            <w:tcW w:w="0" w:type="auto"/>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198"/>
        <w:gridCol w:w="1914"/>
      </w:tblGrid>
      <w:tr w:rsidR="00984859" w:rsidRPr="00984859" w:rsidTr="00984859">
        <w:trPr>
          <w:tblCellSpacing w:w="0" w:type="dxa"/>
        </w:trPr>
        <w:tc>
          <w:tcPr>
            <w:tcW w:w="3950" w:type="pct"/>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w:t>
            </w:r>
          </w:p>
        </w:tc>
        <w:tc>
          <w:tcPr>
            <w:tcW w:w="1050" w:type="pct"/>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°C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Adsorpcione izoterme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033"/>
        <w:gridCol w:w="1496"/>
        <w:gridCol w:w="1331"/>
        <w:gridCol w:w="677"/>
        <w:gridCol w:w="677"/>
        <w:gridCol w:w="465"/>
        <w:gridCol w:w="465"/>
        <w:gridCol w:w="465"/>
        <w:gridCol w:w="523"/>
      </w:tblGrid>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Simbol </w:t>
            </w: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Jedinica mere </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Epruveta br.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Težina zemljišta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 </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suva masa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 </w:t>
            </w: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 </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vode u izmerenom zemljištu (izračunato)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WS</w:t>
            </w: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Dodata zapremina 0,01 M rastvora CaCl</w:t>
            </w:r>
            <w:r w:rsidRPr="00984859">
              <w:rPr>
                <w:rFonts w:ascii="Arial" w:eastAsia="Times New Roman" w:hAnsi="Arial" w:cs="Arial"/>
                <w:sz w:val="15"/>
                <w:szCs w:val="15"/>
                <w:vertAlign w:val="subscript"/>
                <w:lang w:eastAsia="sr-Latn-RS"/>
              </w:rPr>
              <w:t>2</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Dodata zapremina osnovnog rastvora ispitivane supstance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zapremina tečne faze (izračunato)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rastvora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0</w:t>
            </w: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 za dostizanje ravnotežnog stanja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 </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740" w:type="dxa"/>
            <w:gridSpan w:val="9"/>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Nakon mešanja i centrifugiranja </w:t>
            </w: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supstance u tečnoj fazi uključujući i korekciju na slepu probu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 </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Adsorbovana masa po jedinici zemljišta </w:t>
            </w:r>
          </w:p>
        </w:tc>
        <w:tc>
          <w:tcPr>
            <w:tcW w:w="16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147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g/cm</w:t>
            </w:r>
            <w:r w:rsidRPr="00984859">
              <w:rPr>
                <w:rFonts w:ascii="Arial" w:eastAsia="Times New Roman" w:hAnsi="Arial" w:cs="Arial"/>
                <w:sz w:val="15"/>
                <w:szCs w:val="15"/>
                <w:vertAlign w:val="superscript"/>
                <w:lang w:eastAsia="sr-Latn-RS"/>
              </w:rPr>
              <w:t>3</w:t>
            </w: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82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585"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63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Regresiona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Vrednost K</w:t>
      </w:r>
      <w:r w:rsidRPr="00984859">
        <w:rPr>
          <w:rFonts w:ascii="Arial" w:eastAsia="Times New Roman" w:hAnsi="Arial" w:cs="Arial"/>
          <w:sz w:val="15"/>
          <w:szCs w:val="15"/>
          <w:vertAlign w:val="subscript"/>
          <w:lang w:eastAsia="sr-Latn-RS"/>
        </w:rPr>
        <w:t>F</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1/n: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Regresioni koeficijent r</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Ispitivano zemljište: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671"/>
        <w:gridCol w:w="441"/>
      </w:tblGrid>
      <w:tr w:rsidR="00984859" w:rsidRPr="00984859" w:rsidTr="00984859">
        <w:trPr>
          <w:trHeight w:val="270"/>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suve mase zemljišta (105 °C, 12 sati): </w:t>
            </w:r>
          </w:p>
        </w:tc>
        <w:tc>
          <w:tcPr>
            <w:tcW w:w="0" w:type="auto"/>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543"/>
        <w:gridCol w:w="1569"/>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w:t>
            </w:r>
          </w:p>
        </w:tc>
        <w:tc>
          <w:tcPr>
            <w:tcW w:w="0" w:type="auto"/>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Arial" w:eastAsia="Times New Roman" w:hAnsi="Arial" w:cs="Arial"/>
                <w:lang w:eastAsia="sr-Latn-RS"/>
              </w:rPr>
              <w:t xml:space="preserve">°C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93"/>
        <w:gridCol w:w="4519"/>
      </w:tblGrid>
      <w:tr w:rsidR="00984859" w:rsidRPr="00984859" w:rsidTr="00984859">
        <w:trPr>
          <w:tblCellSpacing w:w="0" w:type="dxa"/>
        </w:trPr>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Praćena analitička metodologija: </w:t>
            </w:r>
          </w:p>
        </w:tc>
        <w:tc>
          <w:tcPr>
            <w:tcW w:w="5490" w:type="dxa"/>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Indirektna □ Paralelna □ Redna □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Ispitivanje desorpcije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80"/>
        <w:gridCol w:w="821"/>
        <w:gridCol w:w="949"/>
        <w:gridCol w:w="970"/>
        <w:gridCol w:w="1128"/>
        <w:gridCol w:w="1128"/>
        <w:gridCol w:w="1128"/>
        <w:gridCol w:w="1128"/>
      </w:tblGrid>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Simbol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Jedinica mere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Vremenski interval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Vremenski interval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Vremenski interval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Vremenski interval </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Epruveta br. (iz adsorpcionog koraka)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supstance adsorbovana na zemljište u trenutku dostizanja ravnotežnog stanja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s</w:t>
            </w:r>
            <w:r w:rsidRPr="00984859">
              <w:rPr>
                <w:rFonts w:ascii="Arial" w:eastAsia="Times New Roman" w:hAnsi="Arial" w:cs="Arial"/>
                <w:sz w:val="15"/>
                <w:szCs w:val="15"/>
                <w:vertAlign w:val="superscript"/>
                <w:lang w:eastAsia="sr-Latn-RS"/>
              </w:rPr>
              <w:t>ads</w:t>
            </w:r>
            <w:r w:rsidRPr="00984859">
              <w:rPr>
                <w:rFonts w:ascii="Arial" w:eastAsia="Times New Roman" w:hAnsi="Arial" w:cs="Arial"/>
                <w:lang w:eastAsia="sr-Latn-RS"/>
              </w:rPr>
              <w:t xml:space="preserve">(eq)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Uklonjena zapremina tečne faze, zamenjena 0,01 M rastvorom CaCl</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R</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zapremina tečne faze u kontaktu sa zemljištem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PM</w:t>
            </w:r>
            <w:r w:rsidRPr="00984859">
              <w:rPr>
                <w:rFonts w:ascii="Arial" w:eastAsia="Times New Roman" w:hAnsi="Arial" w:cs="Arial"/>
                <w:lang w:eastAsia="sr-Latn-RS"/>
              </w:rPr>
              <w:br/>
              <w:t xml:space="preserve">SM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br/>
              <w:t>V</w:t>
            </w:r>
            <w:r w:rsidRPr="00984859">
              <w:rPr>
                <w:rFonts w:ascii="Arial" w:eastAsia="Times New Roman" w:hAnsi="Arial" w:cs="Arial"/>
                <w:sz w:val="15"/>
                <w:szCs w:val="15"/>
                <w:vertAlign w:val="subscript"/>
                <w:lang w:eastAsia="sr-Latn-RS"/>
              </w:rPr>
              <w:t>T</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sz w:val="15"/>
                <w:szCs w:val="15"/>
                <w:vertAlign w:val="superscript"/>
                <w:lang w:eastAsia="sr-Latn-RS"/>
              </w:rPr>
              <w:br/>
            </w: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16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ispitivane supstance zaostala nakon dostizanja ravnotežnog stanja adsorbcije usled nekompletne izmene zapremine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A</w:t>
            </w:r>
          </w:p>
        </w:tc>
        <w:tc>
          <w:tcPr>
            <w:tcW w:w="144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905" w:type="dxa"/>
            <w:gridSpan w:val="8"/>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Kinetika desorpcije </w:t>
            </w:r>
          </w:p>
        </w:tc>
      </w:tr>
      <w:tr w:rsidR="00984859" w:rsidRPr="00984859" w:rsidTr="00984859">
        <w:trPr>
          <w:tblCellSpacing w:w="0" w:type="dxa"/>
        </w:trPr>
        <w:tc>
          <w:tcPr>
            <w:tcW w:w="316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Izmerena masa supstance desorbovana u vremenu 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m</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144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2085" w:type="dxa"/>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rastvora uzetog iz kivete (i) za merenje ispitivane supstance </w:t>
            </w: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PM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perscript"/>
                <w:lang w:eastAsia="sr-Latn-RS"/>
              </w:rPr>
              <w:t>i</w:t>
            </w:r>
            <w:r w:rsidRPr="00984859">
              <w:rPr>
                <w:rFonts w:ascii="Arial" w:eastAsia="Times New Roman" w:hAnsi="Arial" w:cs="Arial"/>
                <w:sz w:val="15"/>
                <w:szCs w:val="15"/>
                <w:vertAlign w:val="subscript"/>
                <w:lang w:eastAsia="sr-Latn-RS"/>
              </w:rPr>
              <w:t>r</w:t>
            </w:r>
          </w:p>
        </w:tc>
        <w:tc>
          <w:tcPr>
            <w:tcW w:w="144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08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SM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V</w:t>
            </w:r>
            <w:r w:rsidRPr="00984859">
              <w:rPr>
                <w:rFonts w:ascii="Arial" w:eastAsia="Times New Roman" w:hAnsi="Arial" w:cs="Arial"/>
                <w:sz w:val="15"/>
                <w:szCs w:val="15"/>
                <w:vertAlign w:val="subscript"/>
                <w:lang w:eastAsia="sr-Latn-RS"/>
              </w:rPr>
              <w:t>a</w:t>
            </w:r>
            <w:r w:rsidRPr="00984859">
              <w:rPr>
                <w:rFonts w:ascii="Arial" w:eastAsia="Times New Roman" w:hAnsi="Arial" w:cs="Arial"/>
                <w:sz w:val="15"/>
                <w:szCs w:val="15"/>
                <w:vertAlign w:val="superscript"/>
                <w:lang w:eastAsia="sr-Latn-RS"/>
              </w:rPr>
              <w:t>D</w:t>
            </w:r>
          </w:p>
        </w:tc>
        <w:tc>
          <w:tcPr>
            <w:tcW w:w="144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cm</w:t>
            </w:r>
            <w:r w:rsidRPr="00984859">
              <w:rPr>
                <w:rFonts w:ascii="Arial" w:eastAsia="Times New Roman" w:hAnsi="Arial" w:cs="Arial"/>
                <w:sz w:val="15"/>
                <w:szCs w:val="15"/>
                <w:vertAlign w:val="superscript"/>
                <w:lang w:eastAsia="sr-Latn-RS"/>
              </w:rPr>
              <w:t>3</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16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supstance desorbovane sa zemljišta u vremenu ti (izračunato)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144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16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Masa supstance desorbovane sa zemljišta u vremenskom intervalu ∆ti (izračunato)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w:t>
            </w:r>
            <w:r w:rsidRPr="00984859">
              <w:rPr>
                <w:rFonts w:ascii="Arial" w:eastAsia="Times New Roman" w:hAnsi="Arial" w:cs="Arial"/>
                <w:sz w:val="15"/>
                <w:szCs w:val="15"/>
                <w:vertAlign w:val="subscript"/>
                <w:lang w:eastAsia="sr-Latn-RS"/>
              </w:rPr>
              <w:t>aq</w:t>
            </w:r>
            <w:r w:rsidRPr="00984859">
              <w:rPr>
                <w:rFonts w:ascii="Arial" w:eastAsia="Times New Roman" w:hAnsi="Arial" w:cs="Arial"/>
                <w:sz w:val="15"/>
                <w:szCs w:val="15"/>
                <w:vertAlign w:val="superscript"/>
                <w:lang w:eastAsia="sr-Latn-RS"/>
              </w:rPr>
              <w:t>des</w:t>
            </w: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w:t>
            </w:r>
          </w:p>
        </w:tc>
        <w:tc>
          <w:tcPr>
            <w:tcW w:w="144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 xml:space="preserve">g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10905" w:type="dxa"/>
            <w:gridSpan w:val="8"/>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Procenat desorpcije </w:t>
            </w:r>
          </w:p>
        </w:tc>
      </w:tr>
      <w:tr w:rsidR="00984859" w:rsidRPr="00984859" w:rsidTr="00984859">
        <w:trPr>
          <w:tblCellSpacing w:w="0" w:type="dxa"/>
        </w:trPr>
        <w:tc>
          <w:tcPr>
            <w:tcW w:w="316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Desorpcija u vremenu t</w:t>
            </w:r>
            <w:r w:rsidRPr="00984859">
              <w:rPr>
                <w:rFonts w:ascii="Arial" w:eastAsia="Times New Roman" w:hAnsi="Arial" w:cs="Arial"/>
                <w:sz w:val="15"/>
                <w:szCs w:val="15"/>
                <w:vertAlign w:val="subscript"/>
                <w:lang w:eastAsia="sr-Latn-RS"/>
              </w:rPr>
              <w:t>i</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DT</w:t>
            </w:r>
            <w:r w:rsidRPr="00984859">
              <w:rPr>
                <w:rFonts w:ascii="Arial" w:eastAsia="Times New Roman" w:hAnsi="Arial" w:cs="Arial"/>
                <w:sz w:val="15"/>
                <w:szCs w:val="15"/>
                <w:vertAlign w:val="subscript"/>
                <w:lang w:eastAsia="sr-Latn-RS"/>
              </w:rPr>
              <w:t>i</w:t>
            </w:r>
          </w:p>
        </w:tc>
        <w:tc>
          <w:tcPr>
            <w:tcW w:w="144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16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Desorpcija u vremenskom intervalu ∆T</w:t>
            </w:r>
            <w:r w:rsidRPr="00984859">
              <w:rPr>
                <w:rFonts w:ascii="Arial" w:eastAsia="Times New Roman" w:hAnsi="Arial" w:cs="Arial"/>
                <w:sz w:val="15"/>
                <w:szCs w:val="15"/>
                <w:vertAlign w:val="subscript"/>
                <w:lang w:eastAsia="sr-Latn-RS"/>
              </w:rPr>
              <w:t>i</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D∆T</w:t>
            </w:r>
            <w:r w:rsidRPr="00984859">
              <w:rPr>
                <w:rFonts w:ascii="Arial" w:eastAsia="Times New Roman" w:hAnsi="Arial" w:cs="Arial"/>
                <w:sz w:val="15"/>
                <w:szCs w:val="15"/>
                <w:vertAlign w:val="subscript"/>
                <w:lang w:eastAsia="sr-Latn-RS"/>
              </w:rPr>
              <w:t>i</w:t>
            </w:r>
          </w:p>
        </w:tc>
        <w:tc>
          <w:tcPr>
            <w:tcW w:w="144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3165" w:type="dxa"/>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Prividni koeficijent desorpcije </w:t>
            </w: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des</w:t>
            </w:r>
          </w:p>
        </w:tc>
        <w:tc>
          <w:tcPr>
            <w:tcW w:w="144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1260" w:type="dxa"/>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PM: paralelna metoda </w:t>
      </w:r>
      <w:r w:rsidRPr="00984859">
        <w:rPr>
          <w:rFonts w:ascii="Arial" w:eastAsia="Times New Roman" w:hAnsi="Arial" w:cs="Arial"/>
          <w:lang w:eastAsia="sr-Latn-RS"/>
        </w:rPr>
        <w:br/>
        <w:t xml:space="preserve">SM: redna metoda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C.19. ODREĐIVANJE KOEFICIJENTA ADSORPCIJE (K</w:t>
      </w:r>
      <w:r w:rsidRPr="00984859">
        <w:rPr>
          <w:rFonts w:ascii="Arial" w:eastAsia="Times New Roman" w:hAnsi="Arial" w:cs="Arial"/>
          <w:b/>
          <w:bCs/>
          <w:sz w:val="15"/>
          <w:szCs w:val="15"/>
          <w:vertAlign w:val="subscript"/>
          <w:lang w:eastAsia="sr-Latn-RS"/>
        </w:rPr>
        <w:t>oc</w:t>
      </w:r>
      <w:r w:rsidRPr="00984859">
        <w:rPr>
          <w:rFonts w:ascii="Arial" w:eastAsia="Times New Roman" w:hAnsi="Arial" w:cs="Arial"/>
          <w:b/>
          <w:bCs/>
          <w:lang w:eastAsia="sr-Latn-RS"/>
        </w:rPr>
        <w:t xml:space="preserve">) NA ZEMLJIŠTU I OTPADNOM MULJU UPOTREBOM TEČNE HROMATOGRAFIJE VISOKIH PERFORMANSI (HPLC)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121 (2000).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Adsorpciono ponašanje supstanci u zemljištu, odnosno otpadnim muljevima, opisuju parametri koji se određuju metodom ispitivanja C.18. koja je data u ovom prilogu. Važan parametar je adsorpcioni koeficijent koji se definiše kao odnos između koncentracije supstance u zemljištu/mulju i koncentracije supstance u vodenoj fazi u ravnotežnom stanju adsorpcije. Koeficijent adsorpcije normalizovan na sadržaj organskog ugljenika u zemljištu (u daljem tekstu: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koristan je pokazatelj kapaciteta vezivanja hemikalije za organsku materiju zemljišta odnosno otpadnog mulja i omogućuje međusobno poređenje različitih hemikalija. Ovaj parametar se može utvrditi putem korelacija sa rastvorljivošću supstance u vodi i njenim koeficijentom raspodele u sistemu n-oktanol/voda</w:t>
      </w:r>
      <w:r w:rsidRPr="00984859">
        <w:rPr>
          <w:rFonts w:ascii="Arial" w:eastAsia="Times New Roman" w:hAnsi="Arial" w:cs="Arial"/>
          <w:b/>
          <w:bCs/>
          <w:sz w:val="15"/>
          <w:szCs w:val="15"/>
          <w:vertAlign w:val="superscript"/>
          <w:lang w:eastAsia="sr-Latn-RS"/>
        </w:rPr>
        <w:t>1,2,3,4,5,6,7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utvrđivanje koeficijenta adsorpcije u zemljištu i otpadnom mulju, koristi se tečna hromatografija visokih performansi (u daljem tekstu: HPLC</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Ove procene su pouzdanije od onih dobijenih QSAR izračunavanjima</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Kao metoda koja služi za procenu, ona ne može u potpunosti da zameni studije ravnotežnog stanja iz metode C.18. koja je data u ovom prilogu. Utvrđeni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može biti od koristi pri izboru adekvatnih parametara za ispitivanje adsorpcije/desorpcije prema metodi C.18. Primenom jednačine [3] (videti odeljak 1.2. ove metode) izračunava se koeficijent raspodele, odnosno Frojndlihova konstanta adsorpcije.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Koeficijent raspodele (u daljem tekstu: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jeste odnos između ravnotežnih koncentracija (C) ispitivane supstance, rastvorene u dvofaznom sistemu koji se sastoji od sorbensa (zemljište ili otpadni mulj) i vodene faze. Ukoliko se koncentracije u obe faze iskažu kao težinski odnos, ova vrednost je broj bez jedinice mere. Ako se koncentracija u vodenoj fazi iskazuje kao odnos težine i zapremine, jedinice u kojima će biti iskazan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su ml/g.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može varirati u zavisnosti od sorpcijskih svojstava i zavisi od koncentracije.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15"/>
        <w:gridCol w:w="769"/>
        <w:gridCol w:w="328"/>
        <w:gridCol w:w="944"/>
        <w:gridCol w:w="1256"/>
        <w:gridCol w:w="5400"/>
      </w:tblGrid>
      <w:tr w:rsidR="00984859" w:rsidRPr="00984859" w:rsidTr="00984859">
        <w:trPr>
          <w:tblCellSpacing w:w="0" w:type="dxa"/>
        </w:trPr>
        <w:tc>
          <w:tcPr>
            <w:tcW w:w="55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w:t>
            </w:r>
          </w:p>
        </w:tc>
        <w:tc>
          <w:tcPr>
            <w:tcW w:w="91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zemljišta</w:t>
            </w:r>
          </w:p>
        </w:tc>
        <w:tc>
          <w:tcPr>
            <w:tcW w:w="450" w:type="dxa"/>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ili </w:t>
            </w:r>
          </w:p>
        </w:tc>
        <w:tc>
          <w:tcPr>
            <w:tcW w:w="135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mulja</w:t>
            </w:r>
          </w:p>
        </w:tc>
        <w:tc>
          <w:tcPr>
            <w:tcW w:w="0" w:type="auto"/>
            <w:gridSpan w:val="2"/>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91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35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p>
        </w:tc>
        <w:tc>
          <w:tcPr>
            <w:tcW w:w="2025" w:type="dxa"/>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1</w:t>
            </w:r>
            <w:r w:rsidRPr="00984859">
              <w:rPr>
                <w:rFonts w:ascii="Symbol" w:eastAsia="Times New Roman" w:hAnsi="Symbol" w:cs="Arial"/>
                <w:lang w:eastAsia="sr-Latn-RS"/>
              </w:rPr>
              <w:t></w:t>
            </w:r>
          </w:p>
        </w:tc>
        <w:tc>
          <w:tcPr>
            <w:tcW w:w="970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zemljišta</w:t>
      </w:r>
      <w:r w:rsidRPr="00984859">
        <w:rPr>
          <w:rFonts w:ascii="Arial" w:eastAsia="Times New Roman" w:hAnsi="Arial" w:cs="Arial"/>
          <w:lang w:eastAsia="sr-Latn-RS"/>
        </w:rPr>
        <w:t xml:space="preserve"> jeste koncentracija (mg/g) ispitivane supstance u zemljištu u trenutku dostizanja ravnotežnog stanja;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mulja</w:t>
      </w:r>
      <w:r w:rsidRPr="00984859">
        <w:rPr>
          <w:rFonts w:ascii="Arial" w:eastAsia="Times New Roman" w:hAnsi="Arial" w:cs="Arial"/>
          <w:lang w:eastAsia="sr-Latn-RS"/>
        </w:rPr>
        <w:t xml:space="preserve"> jeste koncentracija (mg/g) ispitivane supstance u mulju u trenutku dostizanja ravnotežnog stanja;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lang w:eastAsia="sr-Latn-RS"/>
        </w:rPr>
        <w:t xml:space="preserve"> jeste koncentracija (mg/g, mg/ml) ispitivane supstance u vodenoj fazi u trenutku dostizanja ravnotežnog stanja.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Frojndlihova konstanta adsorpcije (u daljem tekstu: K</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jeste koncentracija ispitivane supstance u zemljištu, odnosno otpadnom mulju (x/m) u trenutku kada ravnotežna koncentracija C</w:t>
      </w:r>
      <w:r w:rsidRPr="00984859">
        <w:rPr>
          <w:rFonts w:ascii="Arial" w:eastAsia="Times New Roman" w:hAnsi="Arial" w:cs="Arial"/>
          <w:sz w:val="15"/>
          <w:szCs w:val="15"/>
          <w:vertAlign w:val="subscript"/>
          <w:lang w:eastAsia="sr-Latn-RS"/>
        </w:rPr>
        <w:t>aq</w:t>
      </w:r>
      <w:r w:rsidRPr="00984859">
        <w:rPr>
          <w:rFonts w:ascii="Arial" w:eastAsia="Times New Roman" w:hAnsi="Arial" w:cs="Arial"/>
          <w:lang w:eastAsia="sr-Latn-RS"/>
        </w:rPr>
        <w:t xml:space="preserve"> u vodenoj fazi iznosi jedan. K</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se izražava u mg/g sorbensa. U zavisnosti od svojstava sorbensa, njegova vrednost može varirati.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54"/>
        <w:gridCol w:w="354"/>
        <w:gridCol w:w="945"/>
        <w:gridCol w:w="381"/>
        <w:gridCol w:w="3034"/>
        <w:gridCol w:w="4044"/>
      </w:tblGrid>
      <w:tr w:rsidR="00984859" w:rsidRPr="00984859" w:rsidTr="00984859">
        <w:trPr>
          <w:tblCellSpacing w:w="0" w:type="dxa"/>
        </w:trPr>
        <w:tc>
          <w:tcPr>
            <w:tcW w:w="37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log </w:t>
            </w:r>
          </w:p>
        </w:tc>
        <w:tc>
          <w:tcPr>
            <w:tcW w:w="48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945" w:type="dxa"/>
            <w:vMerge w:val="restart"/>
            <w:noWrap/>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log K</w:t>
            </w:r>
            <w:r w:rsidRPr="00984859">
              <w:rPr>
                <w:rFonts w:ascii="Arial" w:eastAsia="Times New Roman" w:hAnsi="Arial" w:cs="Arial"/>
                <w:sz w:val="15"/>
                <w:szCs w:val="15"/>
                <w:vertAlign w:val="subscript"/>
                <w:lang w:eastAsia="sr-Latn-RS"/>
              </w:rPr>
              <w:t xml:space="preserve">f </w:t>
            </w:r>
            <w:r w:rsidRPr="00984859">
              <w:rPr>
                <w:rFonts w:ascii="Arial" w:eastAsia="Times New Roman" w:hAnsi="Arial" w:cs="Arial"/>
                <w:lang w:eastAsia="sr-Latn-RS"/>
              </w:rPr>
              <w:t xml:space="preserve">+ </w:t>
            </w:r>
          </w:p>
        </w:tc>
        <w:tc>
          <w:tcPr>
            <w:tcW w:w="58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w:t>
            </w:r>
          </w:p>
        </w:tc>
        <w:tc>
          <w:tcPr>
            <w:tcW w:w="5220"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logC</w:t>
            </w:r>
            <w:r w:rsidRPr="00984859">
              <w:rPr>
                <w:rFonts w:ascii="Arial" w:eastAsia="Times New Roman" w:hAnsi="Arial" w:cs="Arial"/>
                <w:sz w:val="15"/>
                <w:szCs w:val="15"/>
                <w:vertAlign w:val="subscript"/>
                <w:lang w:eastAsia="sr-Latn-RS"/>
              </w:rPr>
              <w:t>aq</w:t>
            </w:r>
          </w:p>
        </w:tc>
        <w:tc>
          <w:tcPr>
            <w:tcW w:w="7395" w:type="dxa"/>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2</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48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58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x/m jeste količina ispitivane supstance x (μg), adsorbovane na količinu sorbensa m (g) u trenutku dostizanja ravnotežnog stanja;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l/n jeste nagib Frojndlihove adsorpcione izoterme;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r w:rsidRPr="00984859">
        <w:rPr>
          <w:rFonts w:ascii="Arial" w:eastAsia="Times New Roman" w:hAnsi="Arial" w:cs="Arial"/>
          <w:lang w:eastAsia="sr-Latn-RS"/>
        </w:rPr>
        <w:t xml:space="preserve"> jeste koncentracija (mg/g) ispitivane supstance u vodenoj fazi u trenutku dostizanja ravnotežnog stanja.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00"/>
        <w:gridCol w:w="1125"/>
        <w:gridCol w:w="675"/>
        <w:gridCol w:w="6212"/>
      </w:tblGrid>
      <w:tr w:rsidR="00984859" w:rsidRPr="00984859" w:rsidTr="00984859">
        <w:trPr>
          <w:tblCellSpacing w:w="0" w:type="dxa"/>
        </w:trPr>
        <w:tc>
          <w:tcPr>
            <w:tcW w:w="109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AtCaq = 1; </w:t>
            </w:r>
          </w:p>
        </w:tc>
        <w:tc>
          <w:tcPr>
            <w:tcW w:w="112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 log </w:t>
            </w:r>
          </w:p>
        </w:tc>
        <w:tc>
          <w:tcPr>
            <w:tcW w:w="109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118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09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 </w:t>
            </w:r>
          </w:p>
        </w:tc>
        <w:tc>
          <w:tcPr>
            <w:tcW w:w="11835"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Koeficijent adsorpcije (u daljem tekstu: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jeste normalizovan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odnosno K</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na sadržaj organskog ugljenika (f</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u sorbensu. Koc jeposebno u slučaju nejonizovanih hemikalija, približni pokazatelj obima adsorpcije između supstance i sorbensa i omogućava međusobno poređenje različitih hemikalija. U zavisnosti od veličine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i K</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K</w:t>
      </w:r>
      <w:r w:rsidRPr="00984859">
        <w:rPr>
          <w:rFonts w:ascii="Arial" w:eastAsia="Times New Roman" w:hAnsi="Arial" w:cs="Arial"/>
          <w:sz w:val="15"/>
          <w:szCs w:val="15"/>
          <w:vertAlign w:val="subscript"/>
          <w:lang w:eastAsia="sr-Latn-RS"/>
        </w:rPr>
        <w:t xml:space="preserve">oc </w:t>
      </w:r>
      <w:r w:rsidRPr="00984859">
        <w:rPr>
          <w:rFonts w:ascii="Arial" w:eastAsia="Times New Roman" w:hAnsi="Arial" w:cs="Arial"/>
          <w:lang w:eastAsia="sr-Latn-RS"/>
        </w:rPr>
        <w:t xml:space="preserve">može biti broj bez jedinice mere ili može biti iskazan u ml/g ili u mg/g organske materije.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77"/>
        <w:gridCol w:w="243"/>
        <w:gridCol w:w="4300"/>
        <w:gridCol w:w="221"/>
        <w:gridCol w:w="610"/>
        <w:gridCol w:w="3261"/>
      </w:tblGrid>
      <w:tr w:rsidR="00984859" w:rsidRPr="00984859" w:rsidTr="00984859">
        <w:trPr>
          <w:tblCellSpacing w:w="0" w:type="dxa"/>
        </w:trPr>
        <w:tc>
          <w:tcPr>
            <w:tcW w:w="2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 </w:t>
            </w:r>
          </w:p>
        </w:tc>
        <w:tc>
          <w:tcPr>
            <w:tcW w:w="2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d</w:t>
            </w:r>
          </w:p>
        </w:tc>
        <w:tc>
          <w:tcPr>
            <w:tcW w:w="14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bez jedinice mere ili u ml/g</w:t>
            </w:r>
            <w:r w:rsidRPr="00984859">
              <w:rPr>
                <w:rFonts w:ascii="Symbol" w:eastAsia="Times New Roman" w:hAnsi="Symbol" w:cs="Arial"/>
                <w:lang w:eastAsia="sr-Latn-RS"/>
              </w:rPr>
              <w:t></w:t>
            </w:r>
            <w:r w:rsidRPr="00984859">
              <w:rPr>
                <w:rFonts w:ascii="Arial" w:eastAsia="Times New Roman" w:hAnsi="Arial" w:cs="Arial"/>
                <w:lang w:eastAsia="sr-Latn-RS"/>
              </w:rPr>
              <w:t>, odnosno,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 </w:t>
            </w:r>
          </w:p>
        </w:tc>
        <w:tc>
          <w:tcPr>
            <w:tcW w:w="3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r</w:t>
            </w:r>
          </w:p>
        </w:tc>
        <w:tc>
          <w:tcPr>
            <w:tcW w:w="6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Symbol" w:eastAsia="Times New Roman" w:hAnsi="Symbol" w:cs="Arial"/>
                <w:lang w:eastAsia="sr-Latn-RS"/>
              </w:rPr>
              <w:t></w:t>
            </w:r>
            <w:r w:rsidRPr="00984859">
              <w:rPr>
                <w:rFonts w:ascii="Arial" w:eastAsia="Times New Roman" w:hAnsi="Arial" w:cs="Arial"/>
                <w:lang w:eastAsia="sr-Latn-RS"/>
              </w:rPr>
              <w:t>g/g</w:t>
            </w:r>
            <w:r w:rsidRPr="00984859">
              <w:rPr>
                <w:rFonts w:ascii="Symbol" w:eastAsia="Times New Roman" w:hAnsi="Symbol" w:cs="Arial"/>
                <w:lang w:eastAsia="sr-Latn-RS"/>
              </w:rPr>
              <w:t></w:t>
            </w:r>
          </w:p>
        </w:tc>
        <w:tc>
          <w:tcPr>
            <w:tcW w:w="2300" w:type="pct"/>
            <w:vMerge w:val="restart"/>
            <w:vAlign w:val="bottom"/>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3</w:t>
            </w:r>
            <w:r w:rsidRPr="00984859">
              <w:rPr>
                <w:rFonts w:ascii="Symbol" w:eastAsia="Times New Roman" w:hAnsi="Symbol" w:cs="Arial"/>
                <w:lang w:eastAsia="sr-Latn-RS"/>
              </w:rPr>
              <w:t></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f</w:t>
            </w:r>
            <w:r w:rsidRPr="00984859">
              <w:rPr>
                <w:rFonts w:ascii="Arial" w:eastAsia="Times New Roman" w:hAnsi="Arial" w:cs="Arial"/>
                <w:sz w:val="15"/>
                <w:szCs w:val="15"/>
                <w:vertAlign w:val="subscript"/>
                <w:lang w:eastAsia="sr-Latn-RS"/>
              </w:rPr>
              <w:t>oc</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f</w:t>
            </w:r>
            <w:r w:rsidRPr="00984859">
              <w:rPr>
                <w:rFonts w:ascii="Arial" w:eastAsia="Times New Roman" w:hAnsi="Arial" w:cs="Arial"/>
                <w:sz w:val="15"/>
                <w:szCs w:val="15"/>
                <w:vertAlign w:val="subscript"/>
                <w:lang w:eastAsia="sr-Latn-RS"/>
              </w:rPr>
              <w:t>oc</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Odnos između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i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nije uvek linearan, pa vrednosti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mogu varirati od zemljišta do zemljišta, ali je njihova varijabilnost znatno manja u poređenju sa varijabilnošću vrednosti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odnosno K</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se izvodi dedukcijom iz faktora kapaciteta (k') upotrebom kalibracione krive u kojoj je log k' iskazan u odnosu na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izabranih referentnih jedinjenja.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95"/>
        <w:gridCol w:w="594"/>
        <w:gridCol w:w="4307"/>
        <w:gridCol w:w="3816"/>
      </w:tblGrid>
      <w:tr w:rsidR="00984859" w:rsidRPr="00984859" w:rsidTr="00984859">
        <w:trPr>
          <w:tblCellSpacing w:w="0" w:type="dxa"/>
        </w:trPr>
        <w:tc>
          <w:tcPr>
            <w:tcW w:w="390"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 = </w:t>
            </w:r>
          </w:p>
        </w:tc>
        <w:tc>
          <w:tcPr>
            <w:tcW w:w="900"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 t</w:t>
            </w:r>
            <w:r w:rsidRPr="00984859">
              <w:rPr>
                <w:rFonts w:ascii="Arial" w:eastAsia="Times New Roman" w:hAnsi="Arial" w:cs="Arial"/>
                <w:sz w:val="15"/>
                <w:szCs w:val="15"/>
                <w:vertAlign w:val="subscript"/>
                <w:lang w:eastAsia="sr-Latn-RS"/>
              </w:rPr>
              <w:t>0</w:t>
            </w:r>
          </w:p>
        </w:tc>
        <w:tc>
          <w:tcPr>
            <w:tcW w:w="7215" w:type="dxa"/>
            <w:vMerge w:val="restart"/>
            <w:vAlign w:val="bottom"/>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4</w:t>
            </w:r>
            <w:r w:rsidRPr="00984859">
              <w:rPr>
                <w:rFonts w:ascii="Symbol" w:eastAsia="Times New Roman" w:hAnsi="Symbol" w:cs="Arial"/>
                <w:lang w:eastAsia="sr-Latn-RS"/>
              </w:rPr>
              <w:t></w:t>
            </w:r>
          </w:p>
        </w:tc>
        <w:tc>
          <w:tcPr>
            <w:tcW w:w="6555" w:type="dxa"/>
            <w:vMerge w:val="restart"/>
            <w:vAlign w:val="bottom"/>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90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0</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jeste vreme (minuti) zadržavanja ili retenciono vreme ispitivane i referentne supstance, koje se beleži pri HPLC;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HPLC "mrtvo vreme"u minutima(videti odeljak 1.8.2.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jeste koeficijent raspodele u sistemu n-oktanol/voda, odnos između koncentracija supstance rastvorene </w:t>
      </w:r>
      <w:r w:rsidRPr="00984859">
        <w:rPr>
          <w:rFonts w:ascii="Arial" w:eastAsia="Times New Roman" w:hAnsi="Arial" w:cs="Arial"/>
          <w:i/>
          <w:iCs/>
          <w:lang w:eastAsia="sr-Latn-RS"/>
        </w:rPr>
        <w:t>un</w:t>
      </w:r>
      <w:r w:rsidRPr="00984859">
        <w:rPr>
          <w:rFonts w:ascii="Arial" w:eastAsia="Times New Roman" w:hAnsi="Arial" w:cs="Arial"/>
          <w:lang w:eastAsia="sr-Latn-RS"/>
        </w:rPr>
        <w:t xml:space="preserve">-oktanolu i one rastvorene u vodi. Ova vrednost iskazuje se kao broj bez jedinice mere.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51"/>
        <w:gridCol w:w="1270"/>
        <w:gridCol w:w="690"/>
        <w:gridCol w:w="3236"/>
        <w:gridCol w:w="3265"/>
      </w:tblGrid>
      <w:tr w:rsidR="00984859" w:rsidRPr="00984859" w:rsidTr="00984859">
        <w:trPr>
          <w:tblCellSpacing w:w="0" w:type="dxa"/>
        </w:trPr>
        <w:tc>
          <w:tcPr>
            <w:tcW w:w="64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w:t>
            </w:r>
            <w:r w:rsidRPr="00984859">
              <w:rPr>
                <w:rFonts w:ascii="Arial" w:eastAsia="Times New Roman" w:hAnsi="Arial" w:cs="Arial"/>
                <w:sz w:val="15"/>
                <w:szCs w:val="15"/>
                <w:vertAlign w:val="subscript"/>
                <w:lang w:eastAsia="sr-Latn-RS"/>
              </w:rPr>
              <w:t xml:space="preserve">ow </w:t>
            </w:r>
            <w:r w:rsidRPr="00984859">
              <w:rPr>
                <w:rFonts w:ascii="Arial" w:eastAsia="Times New Roman" w:hAnsi="Arial" w:cs="Arial"/>
                <w:lang w:eastAsia="sr-Latn-RS"/>
              </w:rPr>
              <w:t xml:space="preserve">= </w:t>
            </w:r>
          </w:p>
        </w:tc>
        <w:tc>
          <w:tcPr>
            <w:tcW w:w="1260" w:type="dxa"/>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oktanol</w:t>
            </w:r>
          </w:p>
        </w:tc>
        <w:tc>
          <w:tcPr>
            <w:tcW w:w="795" w:type="dxa"/>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w:t>
            </w:r>
          </w:p>
        </w:tc>
        <w:tc>
          <w:tcPr>
            <w:tcW w:w="6015" w:type="dxa"/>
            <w:vMerge w:val="restart"/>
            <w:vAlign w:val="bottom"/>
            <w:hideMark/>
          </w:tcPr>
          <w:p w:rsidR="00984859" w:rsidRPr="00984859" w:rsidRDefault="00984859" w:rsidP="00984859">
            <w:pPr>
              <w:spacing w:before="100" w:beforeAutospacing="1" w:after="100" w:afterAutospacing="1" w:line="240" w:lineRule="auto"/>
              <w:jc w:val="right"/>
              <w:rPr>
                <w:rFonts w:ascii="Arial" w:eastAsia="Times New Roman" w:hAnsi="Arial" w:cs="Arial"/>
                <w:lang w:eastAsia="sr-Latn-RS"/>
              </w:rPr>
            </w:pPr>
            <w:r w:rsidRPr="00984859">
              <w:rPr>
                <w:rFonts w:ascii="Symbol" w:eastAsia="Times New Roman" w:hAnsi="Symbol" w:cs="Arial"/>
                <w:lang w:eastAsia="sr-Latn-RS"/>
              </w:rPr>
              <w:t></w:t>
            </w:r>
            <w:r w:rsidRPr="00984859">
              <w:rPr>
                <w:rFonts w:ascii="Arial" w:eastAsia="Times New Roman" w:hAnsi="Arial" w:cs="Arial"/>
                <w:lang w:eastAsia="sr-Latn-RS"/>
              </w:rPr>
              <w:t>5</w:t>
            </w:r>
            <w:r w:rsidRPr="00984859">
              <w:rPr>
                <w:rFonts w:ascii="Symbol" w:eastAsia="Times New Roman" w:hAnsi="Symbol" w:cs="Arial"/>
                <w:lang w:eastAsia="sr-Latn-RS"/>
              </w:rPr>
              <w:t></w:t>
            </w:r>
          </w:p>
        </w:tc>
        <w:tc>
          <w:tcPr>
            <w:tcW w:w="6315" w:type="dxa"/>
            <w:vMerge w:val="restart"/>
            <w:vAlign w:val="bottom"/>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260"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aq</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upotrebe ove metode neophodno je poznavati strukturnu formulu, čistoću i konstantu disocijacije (ako je primereno) ispitivane supstance. Korisno je raspolagati i podacima o </w:t>
      </w:r>
      <w:r w:rsidRPr="00984859">
        <w:rPr>
          <w:rFonts w:ascii="Arial" w:eastAsia="Times New Roman" w:hAnsi="Arial" w:cs="Arial"/>
          <w:lang w:eastAsia="sr-Latn-RS"/>
        </w:rPr>
        <w:lastRenderedPageBreak/>
        <w:t xml:space="preserve">rastvorljivosti, podeonom koeficijentu oktanol-voda i svojstvima hidrolize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izmereni podaci o retencionom vremenu ispitivane supstance, dobijeni primenom HPLC, korelirali sa adsorpcionim koeficijentom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izraditi kalibracionu krivu u kojoj je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iskazan u odnosu na log k'. Potrebno je upotrebiti najmanje šest referentnih tačaka, od kojih najmanje jednu iznad i jednu ispod očekivane vrednosti ispitivane supstance. Tačnost metode značajno se povećava ukoliko se koristi referentna supstanca koja je po strukturi bliska ispitivanoj supstanci. Ako takvi podaci nisu dostupni, izbor primerenih kalibracionih supstanci predstavlja odgovornost lica koje izvodi ispitivanje. U tom slučaju je potrebno izabrati opšte primenljiv set supstanci. Supstance i vrednosti K</w:t>
      </w:r>
      <w:r w:rsidRPr="00984859">
        <w:rPr>
          <w:rFonts w:ascii="Arial" w:eastAsia="Times New Roman" w:hAnsi="Arial" w:cs="Arial"/>
          <w:sz w:val="15"/>
          <w:szCs w:val="15"/>
          <w:vertAlign w:val="subscript"/>
          <w:lang w:eastAsia="sr-Latn-RS"/>
        </w:rPr>
        <w:t xml:space="preserve">oc </w:t>
      </w:r>
      <w:r w:rsidRPr="00984859">
        <w:rPr>
          <w:rFonts w:ascii="Arial" w:eastAsia="Times New Roman" w:hAnsi="Arial" w:cs="Arial"/>
          <w:lang w:eastAsia="sr-Latn-RS"/>
        </w:rPr>
        <w:t xml:space="preserve">koje se ovom prilikom mogu upotrebiti koriste se i u ispitivanju otpadnog mulja, a date su u Tabeli 1. iz Dela prvog ove metode. Ostale, koje se koriste u ispitivanju zemljišta date su u Tabeli 3. iz Dela prvogove metode. Izbor drugih kalibracionih supstanci obrazložiti.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HPLC se izvodi na analitičkim kolonama koje se pakuju zajedno sa tržišno dostupnom cijanopropilnom čvrstom fazom, koja sadrži lipofilne i polarne grupe. Za ove namene koristi se umereno polarna stacionarna faza čiju osnovu čini silikagel: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18"/>
        <w:gridCol w:w="89"/>
        <w:gridCol w:w="4054"/>
        <w:gridCol w:w="89"/>
        <w:gridCol w:w="2761"/>
        <w:gridCol w:w="101"/>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O - Si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CH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CH</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CH</w:t>
            </w:r>
            <w:r w:rsidRPr="00984859">
              <w:rPr>
                <w:rFonts w:ascii="Arial" w:eastAsia="Times New Roman" w:hAnsi="Arial" w:cs="Arial"/>
                <w:sz w:val="15"/>
                <w:szCs w:val="15"/>
                <w:vertAlign w:val="subscript"/>
                <w:lang w:eastAsia="sr-Latn-RS"/>
              </w:rPr>
              <w:t>2</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CN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silikagel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nepolarni deo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polarni deo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Princip metode sličan je načelu na kom se zasniva i metoda ispitivanja A.8. koja je data u ovom pravilniku (podeoni koeficijent, HPLC metoda ispitivanja). Dok prolazi kroz kolonu zajedno sa mobilnom fazom, ispitivana supstanca ostvaruje interakciju sa stacionarnom fazom. Kao rezultat raspodele između mobilne i stacionarne faze, ispitivana supstanca se zadržava, tj. njen prolaz kroz kolonu se usporava. Dvojaki sastav stacionarne faze, tj. postojanje polarnih i nepolarnih grupa, omogućuje interakciju polarnih i nepolarnih grupa molekula, sličnu onoj koja se zbiva pri interakciji sa organskom materijom u okolnostima kada matriks čini zemljište, odnosno otpadni mulj. Ovo omogućava uspostavljanje odnosa između vremena retencije na koloni i koeficijenta adsorpcije na organsku materiju.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Vrednost pH ima značajan uticaj na adsorpciono ponašanje supstanci, naročito polarnih. Ako se radi o poljoprivrednim zemljištima, odnosno otpadnom mulju sa postrojenja za obradu komunalnih otpadnih voda, pH se najčešće kreće između 5,5 i 7,5 jedinica. Ako se radi o supstancama podložnim jonizaciji, neophodno je ispitati i njihov jonizovani i nejonizovani oblik u adekvatnim puferima, ali samo u slučaju kada će se pri pH 5,5 do 7,5 disosovati barem 10%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Kako se pri vrednovanju koristi isključivo odnos između retencije na HPLC koloni i koeficijenta adsorpcije, nije potrebno primeniti bilo kakvu kvantitativnu analitičku metodu, ali je potrebno odrediti retenciono vreme. Ukoliko je na raspolaganju prikladan set referentnih supstanci i ako se ispitivanje može izvesti u standardnim ispitivanim uslovima, ova metoda predstavlja brz i efikasan način određivanja koeficijenta adsorpcije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PRIMENLJIVOST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HPLC metoda je primenljiva na hemijske supstance (obeležene i neobeležene) za koje je dostupan adekvatan sistem detekcije (npr. spektrofotometar, detektor radioaktivnosti) i koje su u toku trajanja ispitivanja dovoljno stabilne. Metoda može biti korisna za ispitivanje hemikalija koje je teško proučavati u drugim ispitivanim sistemima (npr. isparljive supstance; supstance koje u vodi nisu rastvorljive u koncentraciji koja bi bila analitički merljiva; </w:t>
      </w:r>
      <w:r w:rsidRPr="00984859">
        <w:rPr>
          <w:rFonts w:ascii="Arial" w:eastAsia="Times New Roman" w:hAnsi="Arial" w:cs="Arial"/>
          <w:lang w:eastAsia="sr-Latn-RS"/>
        </w:rPr>
        <w:lastRenderedPageBreak/>
        <w:t>supstance koje imaju veliki afinitet za površine inkubacionih sistema). Metoda se može upotrebiti za ispitivanje smeša koje pri eluaciji stvaraju nerastvorne veze. U ovom slučaju je neophodno navesti gornje i donje granične vrednosti log K</w:t>
      </w:r>
      <w:r w:rsidRPr="00984859">
        <w:rPr>
          <w:rFonts w:ascii="Arial" w:eastAsia="Times New Roman" w:hAnsi="Arial" w:cs="Arial"/>
          <w:sz w:val="15"/>
          <w:szCs w:val="15"/>
          <w:vertAlign w:val="subscript"/>
          <w:lang w:eastAsia="sr-Latn-RS"/>
        </w:rPr>
        <w:t xml:space="preserve">oc </w:t>
      </w:r>
      <w:r w:rsidRPr="00984859">
        <w:rPr>
          <w:rFonts w:ascii="Arial" w:eastAsia="Times New Roman" w:hAnsi="Arial" w:cs="Arial"/>
          <w:lang w:eastAsia="sr-Latn-RS"/>
        </w:rPr>
        <w:t xml:space="preserve">jedinjenja koja čine ispitivanu smešu.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tumačenju rezultata dobijenih HPLC metodom, probleme mogu pričinjavati različite nečistoće, ali dokle god se ispitivana supstanca može jasno i nedvosmisleno analitički odrediti i od njih odvojiti, ovi problemi nisu od većeg značaja.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je vrednovana za supstance date u Delu drugom Tabela 1 ove metode, a bila je primenjena i pri ispitivanju niza drugih hemikalija, koje spadaju u sledeće hemijske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aromatični amini (npr. trifluralin, 4-kloroanilin, 3,5-dinitroanilin, 4-metilanilin,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-metilanilin,1-naftilamin);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aromatične estere karboksilne kiseline (npr. metilester benzoeve kiseline, etilester 3,5-dinitrobenzoeve kiseline);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aromatične ugljovodike (npr. toluen, ksilen, etilbenzen, nitrobenzen);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estre ariloksifenoksipropionske kiseline (npr. diklofop-metil, fenoksaprop-etil, fenoksaprop-P-etil);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fungicide iz grupa benzimidazola i imidazola (npr. karbendazim, fuberidazol, triazoksid);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amide karboksilne kiseline (npr. 2-hlorobenzamid, N,N-dimetilbenzamid, 3,5-dinitrobenzamid,n-metilbenzamid, 2-nitrobenzamid, 3-nitrobenzamid);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hlorovane ugljovodike (npr. endosulfan, DDT, heksaklorobenzen, kvintozen, 1,2,3-triklorobenzen);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organofosfatne insekticide (npr. azinfos-metil, disulfoton, fenamifos, izofenfos, pirazofos, sulprofos, triazofos);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fenole (npr. fenol, 2-nitrofenol, 4-nitrofenol, pentaklorofenol, 2,4,6-triklorofenol, 1-naftol);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derivate fenilureje (npr. izoproturon, monolinuron, pensikuron);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pigmentne boje (npr. Acid Yellow 219, Basic Blue 41, Direct Red 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poliaromatične ugljovodike (npr. acenaften, naftalen);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- 1,3,5-triazinske herbicide (npr. prometrn, propazin, simazin, terbutrin);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derivate triazola (npr. tebukonazol, triadimefon, tradimenol, triapentenol).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Metoda se ne može primeniti za ispitivanje supstanci koje reaguju sa efluentom ili sa stacionarnom fazom. Nije primenljiva ni za ispitivanje supstanci koje ulaze u interakciju sa neorganskim sastojcima na specifičan način (npr. kompleksiranje sa mineralima iz gline). Metoda može biti neadekvatna za površinski aktivne supstance, neorganska jedinjenja i umerene ili jake organske kiseline i baze. Njome je moguće odrediti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vrednosti koje se kreću u opsegu od 1,5 do 5,0. Supstance podložne jonizaciji se mere pomoću puferisane </w:t>
      </w:r>
      <w:r w:rsidRPr="00984859">
        <w:rPr>
          <w:rFonts w:ascii="Arial" w:eastAsia="Times New Roman" w:hAnsi="Arial" w:cs="Arial"/>
          <w:lang w:eastAsia="sr-Latn-RS"/>
        </w:rPr>
        <w:lastRenderedPageBreak/>
        <w:t xml:space="preserve">mobilne faze, ali se preduzimaju mere opreza kako ne bi došlo do precipitacije komponenti pufera ili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KRITERIJUMI KVALITETA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Tačnost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normalnim uslovima koeficijent adsorpcije ispitivane supstance može se odrediti do unutar ± 0,5 log jedinice vrednosti utvrđene metodom ravnotežnog stanja (videti Deo drugi Tabela 1 ove metode). Tačnost se može povećati upotrebom referentnih supstanci strukturno bliskih ispitivanoj supstanci.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Ponovljivost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Određivanja obavljati najmanje u duplikatu. Vrednosti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izvedene iz pojedinačnih merenja ne smeju varirati za više od 0,25 log jedinica.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Obnovljivost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Iskustva stečena primenom ove metode, govore u prilog njene valjanosti. Ispitivanje HPLC metode ispitivanja, kojom je obuhvaćeno 48 supstanci (većinom pesticida) o čijem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na zemljištima postoje pouzdani podaci, rezultiralo je koeficijentom korelacije od R = 0,95</w:t>
      </w:r>
      <w:r w:rsidRPr="00984859">
        <w:rPr>
          <w:rFonts w:ascii="Arial" w:eastAsia="Times New Roman" w:hAnsi="Arial" w:cs="Arial"/>
          <w:b/>
          <w:bCs/>
          <w:sz w:val="15"/>
          <w:szCs w:val="15"/>
          <w:vertAlign w:val="superscript"/>
          <w:lang w:eastAsia="sr-Latn-RS"/>
        </w:rPr>
        <w:t>10,11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ova metoda unapredila i vrednovala urađeno je međulaboratorijsko poređenje u kojem je učestvovalo 11 laboratorija</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Rezultati su dati u Delu drugom Tabela 2.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Preliminarno utvrđivanje koeficijenta adsorpcije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nejonizovanih supstanci kao pokazatelji obima adsorpcije mogu poslužiti podeoni koeficijent oktanol-voda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 K</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i do određene mere rastvorljivost u vodi. Ovi parametri se mogu koristiti i za preliminarno pronalaženje opsega koncentracija ispitivane supstance. Za nekoliko grupa hemikalija objavljeno je niz korisnih korelacija</w:t>
      </w:r>
      <w:r w:rsidRPr="00984859">
        <w:rPr>
          <w:rFonts w:ascii="Arial" w:eastAsia="Times New Roman" w:hAnsi="Arial" w:cs="Arial"/>
          <w:sz w:val="15"/>
          <w:szCs w:val="15"/>
          <w:vertAlign w:val="superscript"/>
          <w:lang w:eastAsia="sr-Latn-RS"/>
        </w:rPr>
        <w:t>1,2,3,4,5,6,7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Potrebno je imati tečni hromatograf na koji je priključena nepulsirajuća pumpa i pogodan uređaj za detekciju. Preporučuje se upotreba ventila za ubrizgavanje sa injekcijskom petljom. Upotrebljavaju se na tržištu dostupne cijanopropilne kolone sa podlogom od silikagela (npr. Hypersil i Zorbax CN). Između sistema za ubrizgavanje i analitičke kolone može se postaviti zaštitna kolona od istog materijala. Kolone različitih dobavljača mogu znatno varirati u efikasnosti razdvajanja. Treba težiti da se dostignu sledeći faktori kapaciteta k': log k' &gt; 0,0 za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 3,0 i log k' &gt; -0,4 za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 2,0 kada se kao mobilna faza koristi metanol/voda u odnosu od 55% prema 45%.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1.7.3. Mobilne faze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Ispitano je nekoliko mobilnih faza i preporučuju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metanol/voda (55/45% zapreminskih%);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metanol/0.01 M citratni pufer pH 6,0 (55/45% v/v).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Za pripremanje rastvarača za eluaciju koriste se metanol HPLC čistoće i destilovana voda ili citratni pufer. Pre upotrebe iz smeše se odstranjuje gas. Eluacija je izokratična. Ako nije primereno upotrebiti smeše metanola i vode, može se pokušati sa drugim smešama organskog rastvarača/vode, npr. smešama etanola/vode ili acetonitrila/vode. Za jedinjenja podložna jonizaciji preporučuje se upotreba pufera kako bi se stabilizovala pH vrednost. Preduzeti mere opreza kako bi se izbegla precipitacija soli i propadanje kolone koji se mogu javiti pri upotrebi nekih smeša organske faze i pufera.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izvođenju ove metode ne smeju se koristiti aditivi kao što su reagensi na bazi jonskih parova, s obzirom na njihov mogući uticaj na sorpcijska svojstva stacionarne faze. Ovakve promene stacionarne faze mogu biti ireverzibilne, pa se ispitivanja u kojima se koriste aditivi obavezno obavljaju na odvojenim kolonama.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1.7.4. Rastvorljive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supstance i referentne supstance rastvoriti u mobilnoj fazi.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IZVOĐENJE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Ispitivani uslovi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merenja beležiti temperaturu. Preporučuje se korišćenje uređaja u kome je temperatura odeljka sa kolonama kontrolisana, kako bi se garantovalo da su uslovi pod kojima su obavljeni kalibracija, utvrđivanje prirode ispitivane supstance i njeno merenje u toku trajanja celog ispitivanja bili nepromenjeni.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1.8.2. Određivanje "mrtvog vremena" t</w:t>
      </w:r>
      <w:r w:rsidRPr="00984859">
        <w:rPr>
          <w:rFonts w:ascii="Arial" w:eastAsia="Times New Roman" w:hAnsi="Arial" w:cs="Arial"/>
          <w:b/>
          <w:bCs/>
          <w:sz w:val="15"/>
          <w:szCs w:val="15"/>
          <w:vertAlign w:val="subscript"/>
          <w:lang w:eastAsia="sr-Latn-RS"/>
        </w:rPr>
        <w:t xml:space="preserve">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određivanje "mrtvog vremena" t</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(kada vršna vrednost ispitivane supstance dostigne i aktivira detektor) mogu se koristiti dve metode (videti odeljak 1.2.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1.8.2.1. Određivanje "mrtvog vremena" t</w:t>
      </w:r>
      <w:r w:rsidRPr="00984859">
        <w:rPr>
          <w:rFonts w:ascii="Arial" w:eastAsia="Times New Roman" w:hAnsi="Arial" w:cs="Arial"/>
          <w:i/>
          <w:iCs/>
          <w:sz w:val="15"/>
          <w:szCs w:val="15"/>
          <w:vertAlign w:val="subscript"/>
          <w:lang w:eastAsia="sr-Latn-RS"/>
        </w:rPr>
        <w:t>0</w:t>
      </w:r>
      <w:r w:rsidRPr="00984859">
        <w:rPr>
          <w:rFonts w:ascii="Arial" w:eastAsia="Times New Roman" w:hAnsi="Arial" w:cs="Arial"/>
          <w:i/>
          <w:iCs/>
          <w:lang w:eastAsia="sr-Latn-RS"/>
        </w:rPr>
        <w:t xml:space="preserve"> homolognim serijama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Dokazano je da primena ovog postupka rezultira pouzdanim i standardizovanim t</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vrednostima (videti metodu A.8: koeficijent raspodele u sistemu </w:t>
      </w:r>
      <w:r w:rsidRPr="00984859">
        <w:rPr>
          <w:rFonts w:ascii="Arial" w:eastAsia="Times New Roman" w:hAnsi="Arial" w:cs="Arial"/>
          <w:i/>
          <w:iCs/>
          <w:lang w:eastAsia="sr-Latn-RS"/>
        </w:rPr>
        <w:t>n</w:t>
      </w:r>
      <w:r w:rsidRPr="00984859">
        <w:rPr>
          <w:rFonts w:ascii="Arial" w:eastAsia="Times New Roman" w:hAnsi="Arial" w:cs="Arial"/>
          <w:lang w:eastAsia="sr-Latn-RS"/>
        </w:rPr>
        <w:t xml:space="preserve">-oktanol/voda; HPLC metoda ispitivanja koja je data u ovom prilogu).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1.8.2.2. Određivanje "mrtvog vremena" t</w:t>
      </w:r>
      <w:r w:rsidRPr="00984859">
        <w:rPr>
          <w:rFonts w:ascii="Arial" w:eastAsia="Times New Roman" w:hAnsi="Arial" w:cs="Arial"/>
          <w:i/>
          <w:iCs/>
          <w:sz w:val="15"/>
          <w:szCs w:val="15"/>
          <w:vertAlign w:val="subscript"/>
          <w:lang w:eastAsia="sr-Latn-RS"/>
        </w:rPr>
        <w:t>0</w:t>
      </w:r>
      <w:r w:rsidRPr="00984859">
        <w:rPr>
          <w:rFonts w:ascii="Arial" w:eastAsia="Times New Roman" w:hAnsi="Arial" w:cs="Arial"/>
          <w:i/>
          <w:iCs/>
          <w:lang w:eastAsia="sr-Latn-RS"/>
        </w:rPr>
        <w:t xml:space="preserve"> inertnim supstancama koje kolona ne zadržava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tehnika utemeljena je na ubrizgavanju rastvora formamida, ureee ili natrijum nitrata. Merenja obaviti najmanje u duplikatu.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1.8.3. Određivanje retencionih vremena t</w:t>
      </w:r>
      <w:r w:rsidRPr="00984859">
        <w:rPr>
          <w:rFonts w:ascii="Arial" w:eastAsia="Times New Roman" w:hAnsi="Arial" w:cs="Arial"/>
          <w:b/>
          <w:bCs/>
          <w:sz w:val="15"/>
          <w:szCs w:val="15"/>
          <w:vertAlign w:val="subscript"/>
          <w:lang w:eastAsia="sr-Latn-RS"/>
        </w:rPr>
        <w:t>R</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izabrati na način opisan u odeljku 1.3. ove metode. Mogu se ubrizgati kao standardna smeša, kako bi se utvrdilo njihovo retenciono vreme, pod uslovom da je potvrđeno da na retenciono vreme ni jednog od referentnih standarda ne utiče prisutnost ostalih. Kalibraciju obavljati u pravilnim vremenskim razmacima, najmanje dva puta dnevno, kako bi se uzele u obzir neočekivane promene u efikasnosti kolone. U cilju postizanja najboljih rezultata i prevencije otklona u retencionim vremenima, kalibracija se vrši pre i nakon ubrizgavanja ispitivane supstance. Ispitivane supstance se ubrizgavaju zasebno u najmanjim mogućim količinama (kako bi se izbeglo preopterećenje kolone), a potom se određuju njihova retenciona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Da bi merenja bila pouzdanija, određivanja se obavljaju najmanje u duplikatu. Vrednosti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izvedene iz pojedinačnih merenja ne smeju varirati za više od 0,25 log jedinica.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1.8.4. Procena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Faktori kapaciteta k' računaju se iz "mrtvog vremena" i retencionih vremena tR izabranih referentnih supstanci, u skladu sa jednačinom 4 (videti odeljak 1.2. ove metode). Podaci o logk' referentnih supstanci se potom grafički prikazuju u odnosu na vrednosti njihove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dobijene metodom ravnotežnog stanja navedene u Delu drugom Tabele 1 i 3 ove metode. Potom se koristeći krivu za određivanje vrednosti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supstance upotrebi vrednost log k'. Ukoliko konkretni rezultati pokažu da se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ispitivane supstance nalazi izvan kalibracionog opsega, ispitivanje ponoviti koristeći druge primerenije referentne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identitet ispitivane i referentnih supstanci i njihove hemijske čistoće i ukoliko je od značaja vrednosti pK</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opreme i uslova ispitivanja, tj. vrste i veličine analitičke (i zaštitne) kolone, načina detekcije, mobilne faze (odnos sastojaka i pH), temperaturnog opsega u toku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"mrtvo vreme" i metoda kojom je određivano;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količine ispitivane i referentnih supstanci ubrizganih u kolonu;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retenciona vremena referentnih sastojaka korišćenih za kalibraciju;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detalji o prilagođenoj regresionoj pravoj (logk' prema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i grafički prikaz regresione prave;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prosečne podatke o retenciji i procenjen d 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vrednosti ispitivanih jedinjenja;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hromatograme.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W.J. Lyman, W.F. Reehl, D.H. Rosenblatt (ed), (1990) Handbook of chemical property estimation methods, chapt. 4, McGraw-Hill, New 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J. Hodson, N.A. Williams, (1988) The estimation of the adsorption coefficient (Koc) for soils by HPLC. Chemosphere, 17, p. 167.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G.G. Briggs, (1981) Theoretical and experimental relationships between soil adsorption, octanol-water partition coefficients, water solubilities, bioconcentration factors, and the parachor. J. Agric. Food Chem., 29, p. 1050-1059.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C.T. Chiou, P.E. Porter, D.W. Schmedding, (1983) Partition equilibria of nonionic organic compounds between soil organic matter and water. Environ. Sci. Technol., 17, p. 227-231.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Z. Gerstl, U. Mingelgrin (1984) Sorption of organic substances by soils and sediment. J. Environm. Sci. Health, B19, p. 297-312.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6. C.T. Chiou, L.J. Peters, V. H. Freed, (1979) A physical concept of soil water equilibria for nonionic organic compounds, Science, 106, p. 831-832.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S.W. Karickhoff, (1981) Semi-empirical estimation of sorption of hydrophobic pollutants on natural sediments and soils. Chemosphere, 10, p. 833-846.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W. Kördel, D. Hennecke, M. Herrmann, (1997) Application of the HPLC-screening method for the determination of the adsorption coefficient on sewage sludges. Chemosphere, 35(1/2), p. 121-128.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M. Mueller, W. Kördel (1996) Comparison of screening methods for the estimation of adsorption coefficients on soil. Chemosphere, 32(12), p. 2493-2504.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W. Kördel, J. Stutte, G. Kotthoff (1993) HPLC-screening method for the determination of the adsorption coefficient in soil-comparison of different stationary phases, Chemosphere, 27(12), p. 2341-2352.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B. von Oepen, W. Kördel, W. Klein (1991) Sorption of nonpolar and polar compounds to soils: Processes, measurements and experience with the applicability of the modified OECD Guideline 106, Chemosphere, 22, p. 285-304.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W. Kördel, G. Kotthoff, J. Müller (1995) HPLC-screening method for the determination of the adsorption coefficient on soil-results of a ring test. Chemosphere, 30(7), p. 1373-1384.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drugi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Tabela 1: Poređenje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vrednosti za zemljišta i kanalizacioni mulj i vrednosti dobijene HPLC metodom</w:t>
      </w:r>
      <w:r w:rsidRPr="00984859">
        <w:rPr>
          <w:rFonts w:ascii="Arial" w:eastAsia="Times New Roman" w:hAnsi="Arial" w:cs="Arial"/>
          <w:b/>
          <w:bCs/>
          <w:sz w:val="15"/>
          <w:szCs w:val="15"/>
          <w:vertAlign w:val="superscript"/>
          <w:lang w:eastAsia="sr-Latn-RS"/>
        </w:rPr>
        <w:t>XXIV, XXV</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31"/>
        <w:gridCol w:w="932"/>
        <w:gridCol w:w="1701"/>
        <w:gridCol w:w="614"/>
        <w:gridCol w:w="489"/>
        <w:gridCol w:w="1384"/>
        <w:gridCol w:w="1092"/>
        <w:gridCol w:w="48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Referentna 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otpadne vode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oc</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zemljišta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 xml:space="preserve">oc </w:t>
            </w:r>
            <w:r w:rsidRPr="00984859">
              <w:rPr>
                <w:rFonts w:ascii="Arial" w:eastAsia="Times New Roman" w:hAnsi="Arial" w:cs="Arial"/>
                <w:lang w:eastAsia="sr-Latn-RS"/>
              </w:rPr>
              <w:t xml:space="preserve">HPLC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Atrazin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1912-24-9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0,39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Linuron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330-55-2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0,30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Fention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55-38-9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Monuron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150-68-5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Fenantren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85-01-8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4,35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0,63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Fenilester benzoeve kiseline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93-99-2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Benzamid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55-21-0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4-Nitrobenzamid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619-80-7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Acetanilid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103-84-4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Anilin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62-53-3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2,5-Dikloranilin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95-82-9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0,03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Tabela 2: Rezultati međulaboratorijskog poređenja (11 laboratorija) obavljenog u cilju poboljšanja i validacije HPLC-metode</w:t>
      </w:r>
      <w:r w:rsidRPr="00984859">
        <w:rPr>
          <w:rFonts w:ascii="Arial" w:eastAsia="Times New Roman" w:hAnsi="Arial" w:cs="Arial"/>
          <w:b/>
          <w:bCs/>
          <w:sz w:val="15"/>
          <w:szCs w:val="15"/>
          <w:vertAlign w:val="superscript"/>
          <w:lang w:eastAsia="sr-Latn-RS"/>
        </w:rPr>
        <w:t>XXVI</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110"/>
        <w:gridCol w:w="1667"/>
        <w:gridCol w:w="1786"/>
        <w:gridCol w:w="1630"/>
        <w:gridCol w:w="939"/>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Referentna supstanca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 xml:space="preserve">oc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oc</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oc</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(OECD 106)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(HPLC -metoda)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Atrazin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1912-24-9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78 ± 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Monuron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150-68-5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 ± 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Triapentenol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77608-88-3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292 ± 58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Linuron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330-55-2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465 ± 62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Fention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55-38-9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2062 ± 648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3,31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3: Preporučene referentne supstance za HPLC metodu na osnovu podataka o adsorpciji u zemljištu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74"/>
        <w:gridCol w:w="999"/>
        <w:gridCol w:w="3482"/>
        <w:gridCol w:w="1448"/>
        <w:gridCol w:w="692"/>
        <w:gridCol w:w="537"/>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Referentna 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CAS-br.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srednje vrednosti metode ravnotežnog stanja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Br. podataka o K</w:t>
            </w:r>
            <w:r w:rsidRPr="00984859">
              <w:rPr>
                <w:rFonts w:ascii="Arial" w:eastAsia="Times New Roman" w:hAnsi="Arial" w:cs="Arial"/>
                <w:sz w:val="15"/>
                <w:szCs w:val="15"/>
                <w:vertAlign w:val="subscript"/>
                <w:lang w:eastAsia="sr-Latn-RS"/>
              </w:rPr>
              <w:t>oc</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log S.D.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Izvor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acetanilid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103-84-4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108-95-2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0,70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2-nitrobenzamid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610-15-1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N,N-dimetilbenzamid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611-74-5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4-metilbenzamid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619-55-6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metilbenzoat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93-58-3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atrazin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1912-24-9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XXIX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izoproturon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34123-59-6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3-nitrobenzamid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645-09-0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anilin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62-53-3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3,5-dinitrobenzamid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121-81-3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karbendazim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10605-21-7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triadimenol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55219-65-3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triazoksid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72459-58-6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triazofos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24017-47-8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linuron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330-55-2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naftalen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91-20-3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endosulfan-diol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2157-19-9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metiokarb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2032-65-7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Acid Yellow 219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63405-85-6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1,2,3-trihlorobenzen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87-61-6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g-HCH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58-89-9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fention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55-38-9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Direct Red 81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2610-11-9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pirazofos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13457-18-6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a-endosulfan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959-98-8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diklofop-metil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51338-27-3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XXVII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fenantren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85-01-8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Basic Blue 41(smeša)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26850-47-5 </w:t>
            </w:r>
            <w:r w:rsidRPr="00984859">
              <w:rPr>
                <w:rFonts w:ascii="Arial" w:eastAsia="Times New Roman" w:hAnsi="Arial" w:cs="Arial"/>
                <w:lang w:eastAsia="sr-Latn-RS"/>
              </w:rPr>
              <w:br/>
              <w:t xml:space="preserve">12270-13-2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4,89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DDT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50-29-3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Times New Roman" w:eastAsia="Times New Roman" w:hAnsi="Times New Roman" w:cs="Times New Roman"/>
                <w:sz w:val="15"/>
                <w:szCs w:val="15"/>
                <w:vertAlign w:val="superscript"/>
                <w:lang w:eastAsia="sr-Latn-RS"/>
              </w:rPr>
            </w:pPr>
            <w:r w:rsidRPr="00984859">
              <w:rPr>
                <w:rFonts w:ascii="Times New Roman" w:eastAsia="Times New Roman" w:hAnsi="Times New Roman" w:cs="Times New Roman"/>
                <w:b/>
                <w:bCs/>
                <w:sz w:val="15"/>
                <w:szCs w:val="15"/>
                <w:vertAlign w:val="superscript"/>
                <w:lang w:eastAsia="sr-Latn-RS"/>
              </w:rPr>
              <w:t xml:space="preserve">XXVI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XXIV</w:t>
      </w:r>
      <w:r w:rsidRPr="00984859">
        <w:rPr>
          <w:rFonts w:ascii="Arial" w:eastAsia="Times New Roman" w:hAnsi="Arial" w:cs="Arial"/>
          <w:lang w:eastAsia="sr-Latn-RS"/>
        </w:rPr>
        <w:t xml:space="preserve"> W. Kördel, D. Hennecke, M. Herrmann (1997). Application of the HPLC-screening method for the determination of the adsorption coefficient on sewage sludges. Chemosp here, 35(1/2), 121-128.</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XXV</w:t>
      </w:r>
      <w:r w:rsidRPr="00984859">
        <w:rPr>
          <w:rFonts w:ascii="Arial" w:eastAsia="Times New Roman" w:hAnsi="Arial" w:cs="Arial"/>
          <w:lang w:eastAsia="sr-Latn-RS"/>
        </w:rPr>
        <w:t xml:space="preserve"> W. Kördel, D. Hennecke, C. Franke (1997). Determination of the adsorption-coefficients of organic substances on sewage sludges. Chemosphere, 35 (1/2), 107-119.</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XXVI</w:t>
      </w:r>
      <w:r w:rsidRPr="00984859">
        <w:rPr>
          <w:rFonts w:ascii="Arial" w:eastAsia="Times New Roman" w:hAnsi="Arial" w:cs="Arial"/>
          <w:lang w:eastAsia="sr-Latn-RS"/>
        </w:rPr>
        <w:t xml:space="preserve"> W. Kördel, G. Kotthoff, J. Müller (1995). HPLC-screening method for the determination of the adsorption coefficient on soil-results of a ring test. Chemosphere, 30(7), 1373-1384.</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XXVII</w:t>
      </w:r>
      <w:r w:rsidRPr="00984859">
        <w:rPr>
          <w:rFonts w:ascii="Arial" w:eastAsia="Times New Roman" w:hAnsi="Arial" w:cs="Arial"/>
          <w:lang w:eastAsia="sr-Latn-RS"/>
        </w:rPr>
        <w:t xml:space="preserve"> W. Kördel, J. Müller (1994). Bestimmung des Adsorptionskoeffizienten organischer Chemikalien mit der HPLC.UBA R &amp; D Report No.106 01 044 (1994). </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XXVIII</w:t>
      </w:r>
      <w:r w:rsidRPr="00984859">
        <w:rPr>
          <w:rFonts w:ascii="Arial" w:eastAsia="Times New Roman" w:hAnsi="Arial" w:cs="Arial"/>
          <w:lang w:eastAsia="sr-Latn-RS"/>
        </w:rPr>
        <w:t xml:space="preserve"> B.V. Oepen, W. Kördel, W. Klein., (1991) Chemosphere, 22, p. 285-304.</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XXIX</w:t>
      </w:r>
      <w:r w:rsidRPr="00984859">
        <w:rPr>
          <w:rFonts w:ascii="Arial" w:eastAsia="Times New Roman" w:hAnsi="Arial" w:cs="Arial"/>
          <w:lang w:eastAsia="sr-Latn-RS"/>
        </w:rPr>
        <w:t xml:space="preserve"> Podatke dostavlja industrija.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C.20. METODA ISPITIVANJA TOKSIČNOSTI PO REPRODUKCIJU VRSTE </w:t>
      </w:r>
      <w:r w:rsidRPr="00984859">
        <w:rPr>
          <w:rFonts w:ascii="Arial" w:eastAsia="Times New Roman" w:hAnsi="Arial" w:cs="Arial"/>
          <w:b/>
          <w:bCs/>
          <w:i/>
          <w:iCs/>
          <w:lang w:eastAsia="sr-Latn-RS"/>
        </w:rPr>
        <w:t>Daphnia magna</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211 (1998).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Osnovni cilj metode ispitivanja je procena uticaja hemikalija na reprodukciju Daphnia magna.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I MERNE JEDINICE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jedinke jesu ženke dafnije koje su na početku ispitivanja u stadijumu neonate i kod kojih se ispituje sposobnost stvaranja potomstva.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Potomstvo jesu mlade dafnije nastale partenogenezom ispitivanih jedinki u toku trajanja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Najniža efektivna koncentracija (Lowest Observed Effect Contrencation, u daljem tekstu: LOEC) jeste najniža koncentracija ispitivane supstance koja dovodi do statistički značajnih promena na nivou razmnožavanja i preživljavanja ispitivanog organizama (pri </w:t>
      </w:r>
      <w:r w:rsidRPr="00984859">
        <w:rPr>
          <w:rFonts w:ascii="Arial" w:eastAsia="Times New Roman" w:hAnsi="Arial" w:cs="Arial"/>
          <w:i/>
          <w:iCs/>
          <w:lang w:eastAsia="sr-Latn-RS"/>
        </w:rPr>
        <w:t>p</w:t>
      </w:r>
      <w:r w:rsidRPr="00984859">
        <w:rPr>
          <w:rFonts w:ascii="Arial" w:eastAsia="Times New Roman" w:hAnsi="Arial" w:cs="Arial"/>
          <w:lang w:eastAsia="sr-Latn-RS"/>
        </w:rPr>
        <w:t xml:space="preserve"> &lt; 0,05) u </w:t>
      </w:r>
      <w:r w:rsidRPr="00984859">
        <w:rPr>
          <w:rFonts w:ascii="Arial" w:eastAsia="Times New Roman" w:hAnsi="Arial" w:cs="Arial"/>
          <w:lang w:eastAsia="sr-Latn-RS"/>
        </w:rPr>
        <w:lastRenderedPageBreak/>
        <w:t xml:space="preserve">poređenju sa kontrolom unutar navedenog perioda izloženosti. Sve ispitivane koncentracije iznad LOEC imaju štetan uticaj, jednak ili veći od onih primećenih kod LOEC. Kada se ne mogu zadovoljiti ova dva uslova, daje se detaljno objašnjenje na koji je način izabrana LOEC (a time i NOEC).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Koncentracija bez uočenog efekta (No Observed Effect Contrencation, u daljem tekstu: NOEC) jeste najviša ispitivana koncentracija, a prva ispod LOEC, koja u poređenju sa kontrolom ne dovodi do statistički značajne promene (</w:t>
      </w:r>
      <w:r w:rsidRPr="00984859">
        <w:rPr>
          <w:rFonts w:ascii="Arial" w:eastAsia="Times New Roman" w:hAnsi="Arial" w:cs="Arial"/>
          <w:i/>
          <w:iCs/>
          <w:lang w:eastAsia="sr-Latn-RS"/>
        </w:rPr>
        <w:t>p</w:t>
      </w:r>
      <w:r w:rsidRPr="00984859">
        <w:rPr>
          <w:rFonts w:ascii="Arial" w:eastAsia="Times New Roman" w:hAnsi="Arial" w:cs="Arial"/>
          <w:lang w:eastAsia="sr-Latn-RS"/>
        </w:rPr>
        <w:t xml:space="preserve"> &lt; 0,05) posmatranog parametra unutar navedenog perioda izloženosti.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je koncentracija ispitivane supstance rastvorene u vodi koja rezultira sa x posto smanjenja reprodukcije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unutar naznačenog perioda izloženosti.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Stvarna brzina rasta je mera rasta populacije koja objedinjuje sposobnost razmnožavanja i smrtnost specifičnu za određenu starost. Ako je populacija u ravnotežnom stanju stvarna brzina rasta biće nula. Za rastuće populacije stvarna brzina rasta biće pozitivna, a za populaciju koja se smanjuje biće negativna i dovešće do njenog izumiranja.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Granica detekcije jeste najniža koncentracija koja se može detektovati, ali ne i kvantifikovati.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Granica određivanja jeste najniža koncentracija koja se može kvantitativno odrediti.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Mortalitet životinja jeste slučaj kada se jedinka smatra uginulomjer je nepokretna, tj. kada ne može da zapliva, ili kada nema vidljivih pokreta ekstremiteta ili postabdomenani 15 sekundi nakon pažljivog protresanja posude za ispitivanje.</w:t>
      </w:r>
      <w:r w:rsidRPr="00984859">
        <w:rPr>
          <w:rFonts w:ascii="Arial" w:eastAsia="Times New Roman" w:hAnsi="Arial" w:cs="Arial"/>
          <w:b/>
          <w:bCs/>
          <w:sz w:val="15"/>
          <w:szCs w:val="15"/>
          <w:vertAlign w:val="superscript"/>
          <w:lang w:eastAsia="sr-Latn-RS"/>
        </w:rPr>
        <w:t>XXX</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w:t>
      </w:r>
      <w:r w:rsidRPr="00984859">
        <w:rPr>
          <w:rFonts w:ascii="Arial" w:eastAsia="Times New Roman" w:hAnsi="Arial" w:cs="Arial"/>
          <w:lang w:eastAsia="sr-Latn-RS"/>
        </w:rPr>
        <w:t xml:space="preserve"> Upotreba drugih definicija se obrazlaže uz navode odgovarajuće literature.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Mlade ženke dafnija (ispitivane jedinke - neonate) stare manje od 24 sata na početku ispitivanja, izlažu se ispitivanoj supstanci koja se dodaje u vodu u određenom opsegu koncentracija. Dužina ispitivanja je 21 dan. Na kraju ispitivanja određuje se ukupan broj preživelog potomstva koje je dobijeno partenogenezom jedinki koje su preživele ispitivanje. Ne broji se potomstvo ispitivanih jedinki koje su u uginule u toku studije. To znači da se ne broji potomstvo ispitivanih jedinki koje su, u međuvremenu, uginule. Sposobnost razmnožavanja ispitivanih jedinki se može izraziti i na druge načine (npr. kao živo potomstvo po ispitivanoj jedinki na određeni dan, od prvog dana kad se uoče prvi potomci), ali bi se o njima trebalo izvestiti zajedno sa ukupnim brojem potomstva po živoj ispitivanoj jedinki na kraju ispitivanja. Sposobnost razmnožavanja životinja izloženih ispitivanoj supstanci poredi se sa kontrolama da bi se odredili LOEC i NOEC. Podaci se analiziraju pomoću regresionog modela kako bi se odredila koncentracija koja dovodi do smanjenja sposobnosti reprodukcije za x% (tj.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ili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Navode se i podaci o preživljavanju ispitivanih jedinki i o vremenu potrebnom za stvaranje prve generacije potomaka. Mogu se utvrditi i ostala dejstva ispitivane supstance na parametre kao što su rast (dužina) i ako je moguće stvarna brzina rasta.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PODACI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imati rezultate ispitivanja akutne toksičnosti (videti Deo drugi metode C.2. koja je data u ovom prilogu) izvedenog sa vrstom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Rezultat može biti koristan pri izboru odgovarajućeg opsega ispitivanih koncentracija kod ispitivanja toksičnosti po reprodukciju. </w:t>
      </w:r>
      <w:r w:rsidRPr="00984859">
        <w:rPr>
          <w:rFonts w:ascii="Arial" w:eastAsia="Times New Roman" w:hAnsi="Arial" w:cs="Arial"/>
          <w:lang w:eastAsia="sr-Latn-RS"/>
        </w:rPr>
        <w:lastRenderedPageBreak/>
        <w:t xml:space="preserve">Rastvorljivost u vodi i napon para ispitivane supstance potrebno je da budu poznati i da bude dostupna pouzdana analitička metoda za kvantifikaciju supstance u rastvorima sa naznačenim vrednostima efikasnosti analitičke metode i granice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Među podatke o ispitivanoj supstanci koji bi mogli biti korisni u određivanju ispitivanih uslova ubrajaju se strukturna formula, čistoća supstance, stabilnost na svetlu, stabilnost u uslovima ispitivanja, pK</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P</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 rezultati ispitivanja biorazgradivosti (videti metodu C.4. koja je data u ovom prilogu).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PRIHVATLJIVOST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ispitivanje bilo prihvatljivo, ispunjavaju se kriterijumi kvaliteta u kontrolama: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smrtnost ispitivanih jedinki (ženke dafnija) ne prelazi 20%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prosečan broj živih potomaka po ispitivanoj jedinki na kraju ispitivanja je ≥ 60.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Posude za ispitivanje i ostala aparatura koja dolazi u kontakt sa ispitivanim rastvorima su isključivo od stakla ili drugog hemijski inertnog materijala. Posude za ispitivanje su najčešće staklene čaše.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Dodatno su potrebni: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oksimetar (s mikroelektrodama ili drugom prikladnom opremom za merenje rastvorenog kiseonika u uzorcima male zapremine);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adekvatna oprema za kontrolu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oprema za određivanje tvrdoće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oprema za određivanje TOC u vodi ili oprema za određivanje HPK;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adekvatna aparatura za kontrolu svetlosnog režima i merenje jačine svetlosti.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Ispitivani organizmi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Vrsta koje se koristi u metodi ispitivanja je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Straus. Druge vrste roda </w:t>
      </w:r>
      <w:r w:rsidRPr="00984859">
        <w:rPr>
          <w:rFonts w:ascii="Arial" w:eastAsia="Times New Roman" w:hAnsi="Arial" w:cs="Arial"/>
          <w:i/>
          <w:iCs/>
          <w:lang w:eastAsia="sr-Latn-RS"/>
        </w:rPr>
        <w:t>Daphnia</w:t>
      </w:r>
      <w:r w:rsidRPr="00984859">
        <w:rPr>
          <w:rFonts w:ascii="Arial" w:eastAsia="Times New Roman" w:hAnsi="Arial" w:cs="Arial"/>
          <w:lang w:eastAsia="sr-Latn-RS"/>
        </w:rPr>
        <w:t xml:space="preserve"> se mogu koristiti ako zadovoljavaju kriterijume prihvatljivosti (za korišćenje vrsta roda </w:t>
      </w:r>
      <w:r w:rsidRPr="00984859">
        <w:rPr>
          <w:rFonts w:ascii="Arial" w:eastAsia="Times New Roman" w:hAnsi="Arial" w:cs="Arial"/>
          <w:i/>
          <w:iCs/>
          <w:lang w:eastAsia="sr-Latn-RS"/>
        </w:rPr>
        <w:t>Daphnia</w:t>
      </w:r>
      <w:r w:rsidRPr="00984859">
        <w:rPr>
          <w:rFonts w:ascii="Arial" w:eastAsia="Times New Roman" w:hAnsi="Arial" w:cs="Arial"/>
          <w:lang w:eastAsia="sr-Latn-RS"/>
        </w:rPr>
        <w:t xml:space="preserve"> merodavan kriterijum prihvatljivosti je sposobnost razmnožavanja u kontrolnim uslovima koji vredi za vrste roda </w:t>
      </w:r>
      <w:r w:rsidRPr="00984859">
        <w:rPr>
          <w:rFonts w:ascii="Arial" w:eastAsia="Times New Roman" w:hAnsi="Arial" w:cs="Arial"/>
          <w:i/>
          <w:iCs/>
          <w:lang w:eastAsia="sr-Latn-RS"/>
        </w:rPr>
        <w:t>Daphnia</w:t>
      </w:r>
      <w:r w:rsidRPr="00984859">
        <w:rPr>
          <w:rFonts w:ascii="Arial" w:eastAsia="Times New Roman" w:hAnsi="Arial" w:cs="Arial"/>
          <w:lang w:eastAsia="sr-Latn-RS"/>
        </w:rPr>
        <w:t xml:space="preserve">). Ako se koriste druge vrste roda </w:t>
      </w:r>
      <w:r w:rsidRPr="00984859">
        <w:rPr>
          <w:rFonts w:ascii="Arial" w:eastAsia="Times New Roman" w:hAnsi="Arial" w:cs="Arial"/>
          <w:i/>
          <w:iCs/>
          <w:lang w:eastAsia="sr-Latn-RS"/>
        </w:rPr>
        <w:t>Daphniato</w:t>
      </w:r>
      <w:r w:rsidRPr="00984859">
        <w:rPr>
          <w:rFonts w:ascii="Arial" w:eastAsia="Times New Roman" w:hAnsi="Arial" w:cs="Arial"/>
          <w:lang w:eastAsia="sr-Latn-RS"/>
        </w:rPr>
        <w:t xml:space="preserve"> jasno se definiše i opravdava njihova upotreba.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Najbolje je da se klon odredi genotipizacijom. Istraživanja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su pokazala da reproduktivni potencijal Klona A</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konzistentno odgovara kriterijumu prihvatljivosti srednje vrednosti od </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60 neonata po preživeloj jedinki, uzgajanoj u uslovima opisanim u ovoj metodi. Prihvatljivi su i drugi klonovi, pod uslovom da kultura dafnija zadovoljava kriterijume prihvatljivosti.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Na početku ispitivanja, životinje moraju biti stare manje od 24 sata (tzv. neonate) i ne bi smele biti prva generacija potomstva. One treba da potiču iz zdrave matične linije (odnosno bez znakova stresa kao što su visoka smrtnost, prisustvo mužjaka i zimskih jaja (ephippia), kašnjenje u pojavi prve generacije potomstva, depigmentisane životinje, itd.). Matična linija životinja se održava u konstantnim laboratorijskim uslovima (svetlo, temperatura, medijum, ishrana i broj jedinki po jedinici zapremine) koji su slični onima u ispitivanju. Ako se medijum sa kulturom dafnija koji se koristi u ispitivanju razlikuje od rutinske kulture dafnija, poželjno je omogućiti period aklimatizacije pre ispitivanja od obično 3 nedelje (koliko je potrebno da se dobije jedna generacija životinja) da bi se izbegao stres za ispitivanih jedinki.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Medijum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Preporučuje se upotreba potpuno definisanog medijuma. Time se izbegava upotreba aditiva (npr. morska trava, ekstrakt zemljišta, itd.) koje je teško okarakterisati i unapređuje se međulaboratorijska standardizacija. Elandt medijumi M4 i M7 (videti Deo drugi ove metode) smatraju se prikladnima u ove svrhe. Prihvatljivi su i drugi medijijumi</w:t>
      </w:r>
      <w:r w:rsidRPr="00984859">
        <w:rPr>
          <w:rFonts w:ascii="Arial" w:eastAsia="Times New Roman" w:hAnsi="Arial" w:cs="Arial"/>
          <w:b/>
          <w:bCs/>
          <w:sz w:val="15"/>
          <w:szCs w:val="15"/>
          <w:vertAlign w:val="superscript"/>
          <w:lang w:eastAsia="sr-Latn-RS"/>
        </w:rPr>
        <w:t xml:space="preserve">5,6 </w:t>
      </w:r>
      <w:r w:rsidRPr="00984859">
        <w:rPr>
          <w:rFonts w:ascii="Arial" w:eastAsia="Times New Roman" w:hAnsi="Arial" w:cs="Arial"/>
          <w:lang w:eastAsia="sr-Latn-RS"/>
        </w:rPr>
        <w:t xml:space="preserve">pod uslovom da se pokaže da kultura dafnija zadovoljava kriterijume prihvatljivosti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koriste medijumi sa nedefinisanim aditivima, te aditive navesti i u izveštaju o ispitivanju izneti podatke o sastavu medijuma, naročito s obzirom na sadržaj ugljenika, jer to može uticati na hranu kojom se životinje hrane. Preporučuje se da se odredi TOC, odnosno HPK u medijumu matične linije i da se proceni njihov udeo u TOC/HPK medijuma u kojem će se izvesti. Preporučuje se da sadržaj TOC u medijumu (pre dodavanja algi) bude manji od 3 mg/l</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ispitivanju supstanci koje sadrže metale, važno je imati na umu da sastav medijuma (npr. tvrdoća, nagradnja helata) može uticati na procenu toksičnosti ispitivane supstance. Poželjno je da medijum bude potpuno definisan. Za sada se od sasvim definisanih medijuma prikladnih za održavanje vrste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u dugotrajnoj kulturi, zna samo za Elandt medijume M4 i M7. Oba medijuma sadrže helatizirajuće jedinjenje EDTA. Pokazalo</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se da je "prividna toksičnost" kadmijuma generalno niža kada se u ispitivanju toksičnosti po reprodukciju koriste medijumi M4 ili M7 umesto medijuma koji ne sadrže EDTA. Stoga se korišćenje M4 ni M7 ne preporučuje za ispitivanje supstanci koje sadrže metale, a izbegavati i ostale medijume za koje se zna da sadrže helatizirajuća jedinjenja. Za ispitivanje supstanci koje sadrže metale bilo bi preporučljivo koristiti alternativne medijume, poput, npr. tvrde vode rekonstituisane prema ASTM</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koja ne sadrži EDTA i kojoj se dodaje ekstrakt morskih algi</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Ta kombinacija tvrde vode pripremljene prema ASTM i ekstrakta morskih algi prikladna je i za održavanje vrste </w:t>
      </w:r>
      <w:r w:rsidRPr="00984859">
        <w:rPr>
          <w:rFonts w:ascii="Arial" w:eastAsia="Times New Roman" w:hAnsi="Arial" w:cs="Arial"/>
          <w:i/>
          <w:iCs/>
          <w:lang w:eastAsia="sr-Latn-RS"/>
        </w:rPr>
        <w:t>Daphnia magna</w:t>
      </w:r>
      <w:r w:rsidRPr="00984859">
        <w:rPr>
          <w:rFonts w:ascii="Arial" w:eastAsia="Times New Roman" w:hAnsi="Arial" w:cs="Arial"/>
          <w:b/>
          <w:bCs/>
          <w:sz w:val="15"/>
          <w:szCs w:val="15"/>
          <w:vertAlign w:val="superscript"/>
          <w:lang w:eastAsia="sr-Latn-RS"/>
        </w:rPr>
        <w:t xml:space="preserve">2 </w:t>
      </w:r>
      <w:r w:rsidRPr="00984859">
        <w:rPr>
          <w:rFonts w:ascii="Arial" w:eastAsia="Times New Roman" w:hAnsi="Arial" w:cs="Arial"/>
          <w:lang w:eastAsia="sr-Latn-RS"/>
        </w:rPr>
        <w:t xml:space="preserve">u dugotrajnoj kulturi, premda još uvek ima slabu helatizirajuću aktivnost zbog organskih sastojaka dodatog ekstrakta morskih algi.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početku i u toku ispitivanja koncentracija rastvorenog kiseonika je iznad 3 mg/l. Vrednost pH je potrebno da bude u opsegu od 6 do 9 i u normalnim okolnostima ne sme da koleba za više od 1,5 jedinice ni u jednom testu. Preporučuje se tvrdoća veća od 140 mg/l (kao CaCO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Testovi izvedeni pri toj ili većim koncentracijama pokazali su da je sposobnost razmnožavanja u skladu sa kriterijumima prihvatljivosti</w:t>
      </w:r>
      <w:r w:rsidRPr="00984859">
        <w:rPr>
          <w:rFonts w:ascii="Arial" w:eastAsia="Times New Roman" w:hAnsi="Arial" w:cs="Arial"/>
          <w:b/>
          <w:bCs/>
          <w:sz w:val="15"/>
          <w:szCs w:val="15"/>
          <w:vertAlign w:val="superscript"/>
          <w:lang w:eastAsia="sr-Latn-RS"/>
        </w:rPr>
        <w:t>9,10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Test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Test rastvori izabranih koncentracija pripremaju se razblaživanjem osnovnog rastvora. Osnovne rastvore pripremati rastvaranjem supstance u test mediju.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nekim slučajevima može se ukazati potreba za korišćenjem organskih rastvarača ili disperzionih sredstava, kako bi se pripremio osnovni rastvor željene koncentracije. Upotrebu navedenih materijala, ukoliko je moguće, izbegavati. Prikladni rastvarači su: aceton, etanol, </w:t>
      </w:r>
      <w:r w:rsidRPr="00984859">
        <w:rPr>
          <w:rFonts w:ascii="Arial" w:eastAsia="Times New Roman" w:hAnsi="Arial" w:cs="Arial"/>
          <w:lang w:eastAsia="sr-Latn-RS"/>
        </w:rPr>
        <w:lastRenderedPageBreak/>
        <w:t xml:space="preserve">metanol, dimetilformamid i trietilenglikol. Prikladna disperziona sredstva su: Cremophor RH40, 0,01% metilceluloza i HCO-40. Koncentracija ispitivane supstance u rastvoru ne sme da bude veća od granične rastvorljivosti te supstance u medijumu.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Rastvarači se koriste za pripremu osnovnog rastvora koji će moći precizno da se dozira. Pri preporučenim koncentracijama rastvarača u konačnom medijumu (≤ 0,1 ml/l) navedeni rastvarači ne deluju toksično i ne povećavaju rastvorljivost ispitivane supstance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Disperziona sredstva mogu omogućiti precizno doziranje i disperziju. Pri preporučenim koncentracijama u konačnom, medijumu (≤ 0,1 ml/l) navedena disperziona sredstva ne deluju toksično i ne povećavaju rastvorljivost ispitivane supstance u vodi.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POSTAVKA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Tretmani (koncentracije) raspoređuju se po posudama za ispitivanje po slučajnom rasporedu. U suprotnom, moguće je dobiti neobjektive rezultate koji se pogrešno mogu pripisati razlikama u koncentraciji ispitivane supstance. Ako se ekperimentalni postupci izvode u stalnom redosledu od niže prema višoj koncentraciji, moguća je pojava određenih vremenski-zavisnih efekata poput zamora lica koje vrši ispitivanje ili neke druge greške, što može dovesti do prividnog pojačanja efekta ispitivane supstance u tretmanima sa višim koncentracijama. Ako postoji mogućnost da rezultati ispitivanja zavise od početnih uslova ili uslova okoline, npr. od mesta u laboratoriji, razmotriti mogućnost ispitivanja u blok-sistemu.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POSTUPAK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Uslovi pri izlaganju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1.8.1.1. Dužina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traje 21 dan.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1.8.1.2. Gustina nasada ispitivanih jedinki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Ispitivane jedinke drže se odvojeno, po jedna u svakoj ispitivanoj posudi, u 50 ml do 100 ml medijuma u svakoj posudi. Ponekad su potrebne veće zapremine, da bi se zadovoljili zahtevi analitičkog postupka koji se koristi za određivanje koncentracije ispitivane supstance, a dopušteno je i objedinjavanje uzoraka iz više posuda za ispitivanje istog tretmana potrebnih za hemijsku analizu. Ako se koriste zapremine veće od 100 ml, dozvoljeno je povećati količinu hrane koja se daje dafnijama da bi se obezbedila adekvatna dostupnost hrane i da bi se zadovoljili kriterijumi kvaliteta. Kod ispitivanja u protočnim uslovima, postavka može, zbog tehničkih razloga, biti i drugačija (npr. četiri grupe po 10 jedinki, u ispitivanim posudama u većoj zapremini), ali sve izmene u postavci navesti u izveštaju.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1.8.1.3. Broj jedinki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ispitivanja u polustatičnom sistemu, potrebno je najmanje 10 jedinki po tretmanu (koncentraciji) postavljenih pojedinačno u ispitivanoj posudi i isto toliko u kontrolnom tretmanu.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ispitivanja u protočnim uslovima pokazala se zadovoljavajućom postavka sa 40 jedinki podeljenih u četiri grupe po 10 jedinki za svaki tretman (koncentraciju ispitivane supstance)</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Može se raditi i sa manjim brojem životinja, ali se preporučuje najmanje 20 životinja po koncentraciji, podeljenih u dve ili više paralelnih grupa (replika, kopija) sa jednakim brojem </w:t>
      </w:r>
      <w:r w:rsidRPr="00984859">
        <w:rPr>
          <w:rFonts w:ascii="Arial" w:eastAsia="Times New Roman" w:hAnsi="Arial" w:cs="Arial"/>
          <w:lang w:eastAsia="sr-Latn-RS"/>
        </w:rPr>
        <w:lastRenderedPageBreak/>
        <w:t xml:space="preserve">životinja u svakoj grupi (npr. po četiri replike sa po pet dafnija u svakoj). Pri postavci sa više od jedne dafnije po posudi za ispitivanje, nije moguće reprodukciju izraziti kao ukupni broj živih potomaka po ispitivanoj jedinki preživeloj do kraja ispitivanja, ako jedinka ugine pre kraja ispitivanja. U takvim slučajevima reprodukciju izraziti kao ukupni broj živih potomaka dobijen od ispitivanih jedinki prisutnih sa početka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1.8.1.4. Ishrana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postavci u polustatičnom sistemu, jedinke je poželjno hraniti svaki dan, a najmanje tri puta nedeljno (tj. pri promeni medijuma). Ako se odstupi od ovakvog režima ishrane (npr. kod postavke u protočnim uslovima), to navesti u izveštaju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trajanja ispitivanja, ispitivane jedinke hraniti živim algama jedne ili više vrsta: vrste roda </w:t>
      </w:r>
      <w:r w:rsidRPr="00984859">
        <w:rPr>
          <w:rFonts w:ascii="Arial" w:eastAsia="Times New Roman" w:hAnsi="Arial" w:cs="Arial"/>
          <w:i/>
          <w:iCs/>
          <w:lang w:eastAsia="sr-Latn-RS"/>
        </w:rPr>
        <w:t>Chlorella, Selenastrum capricornutum</w:t>
      </w:r>
      <w:r w:rsidRPr="00984859">
        <w:rPr>
          <w:rFonts w:ascii="Arial" w:eastAsia="Times New Roman" w:hAnsi="Arial" w:cs="Arial"/>
          <w:lang w:eastAsia="sr-Latn-RS"/>
        </w:rPr>
        <w:t xml:space="preserve"> (sada </w:t>
      </w:r>
      <w:r w:rsidRPr="00984859">
        <w:rPr>
          <w:rFonts w:ascii="Arial" w:eastAsia="Times New Roman" w:hAnsi="Arial" w:cs="Arial"/>
          <w:i/>
          <w:iCs/>
          <w:lang w:eastAsia="sr-Latn-RS"/>
        </w:rPr>
        <w:t>Pseudokirchneriella subcapitata</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Scenedesmus subspicatus</w:t>
      </w:r>
      <w:r w:rsidRPr="00984859">
        <w:rPr>
          <w:rFonts w:ascii="Arial" w:eastAsia="Times New Roman" w:hAnsi="Arial" w:cs="Arial"/>
          <w:lang w:eastAsia="sr-Latn-RS"/>
        </w:rPr>
        <w:t>. Količinu hrane odrediti prema količini organskog ugljenika (C) potrebnog svakoj ispitivanoj jedinki. Istraživanja</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su pokazala da je za održavanje vrste </w:t>
      </w:r>
      <w:r w:rsidRPr="00984859">
        <w:rPr>
          <w:rFonts w:ascii="Arial" w:eastAsia="Times New Roman" w:hAnsi="Arial" w:cs="Arial"/>
          <w:i/>
          <w:iCs/>
          <w:lang w:eastAsia="sr-Latn-RS"/>
        </w:rPr>
        <w:t xml:space="preserve">Daphnia magna </w:t>
      </w:r>
      <w:r w:rsidRPr="00984859">
        <w:rPr>
          <w:rFonts w:ascii="Arial" w:eastAsia="Times New Roman" w:hAnsi="Arial" w:cs="Arial"/>
          <w:lang w:eastAsia="sr-Latn-RS"/>
        </w:rPr>
        <w:t xml:space="preserve">dovoljna koncentracija od 0,1 do 0,2 g/C/jedinki/dan, da bi se dobio broj potomaka potreban u skladu sa kriterijuma za prihvatljivost rezultata ispitivanja. Hranu davati ili u stalnoj količini u toku trajanja ispitivanja ili po želji, na početku davati manje količine, a potom u toku ispitivanja kako ispitivane jedinke rastu količinu postepeno povećavati. Količina hrane se kreće u preporučenom opsegu od 0,1 do 0,2 g/C/individue/dan.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za izračunavanje količine potrebne hrane koriste alternativni pokazatelji, kao što je broj algalnih ćelija ili absorbanca (radi lakše procene, jer je merenje sadržaja ugljenika zahtevna dugotrajna metoda), svaka laboratorija pravi sopstveni nomogram procene sadržaja ugljenika u algama na osnovu alternativnih pokazatelja (za preporuke o izradi nomograma videti Deo treći ove metode). Nomogrami se proveravaju najmanje jednom godišnje ili češće, ako su se promenili uslovi u kulturama algi. Apsorbancija se pokazala boljim alternativnim pokazateljem sadržaja ugljenika nego broj ćelija</w:t>
      </w:r>
      <w:r w:rsidRPr="00984859">
        <w:rPr>
          <w:rFonts w:ascii="Arial" w:eastAsia="Times New Roman" w:hAnsi="Arial" w:cs="Arial"/>
          <w:b/>
          <w:bCs/>
          <w:sz w:val="15"/>
          <w:szCs w:val="15"/>
          <w:vertAlign w:val="superscript"/>
          <w:lang w:eastAsia="sr-Latn-RS"/>
        </w:rPr>
        <w:t>13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Dafnije hraniti koncentrovanom suspenzijom algi, kako bi količina medijuma za algalne kulture koja će se dodati medijumu svela na minimum. Suspenzija algi se može napraviti centrifugiranjem i ponovnim resuspendiranjem u destilovanoj vodi, dejonizovanoj vodi ili u mediju za gajenje dafnija.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1.8.1.5. Svetlosni režim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16 sati svetla jačine koja ne prelazi 15-20 mE/m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c</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1.8.1.6.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medijuma u kojem se izvodi ispitivanje je u opsegu od 18° C do 22° C. Bez obzira na vrstu ispitivanja, temperatura unutar opsega ne varira za više od 2° C (npr. da je 18° C do 20° C, 19° C do 21° C ili 20° C do 22° C). Može se pokazati prikladnim pripremiti dodatnu posudu za ispitivanje sa medijumom za praćenje temperature.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1.8.1.7. Aeracija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Posude za ispitivanje se ne aerišu u toku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Koncentracija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Uobičajeno je da se ispitivanje izvodi u najmanje 5 koncentracija ispitivane supstance u geometrijskoj seriji koncentracija, raspoređenim sa faktorom ne većim od 3,2 i u potrebnom broju ponavljanja (replika) po tretmanu (videti odeljak 1.8.1.3. ove metode). Ako se ispitivanje izvodi sa manje od pet koncentracija, obrazložiti razloge. Supstance ne ispitivati u koncentracijama višim od njihove rastvorljivosti u medijumu.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određivanju opsega koncentracija voditi računa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cilj dobijanje vrednosti LOEC/NOEC, najniža ispitivana koncentracija je dovoljno niska, tako da fekundidet pri toj koncentraciji ne bude statistički značajno niži od one u kontrolama. U slučaju drugačijeg odgovora, ispitivanje ponoviti sa sniženom najnižom ispitivanom koncentracijom;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je cilj dobijanje vrednosti LOEC/NOEC, najviša ispitivana koncentracija je dovoljno visoka, tako da fekunditet pri toj koncentraciji bude statistički značajno niži nego u kontrolnim uslovima. U slučaju drugačijeg odgovora, ispitivanje ponoviti sa višom najvišom ispitivanom koncentracijom;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ako se određuje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efektivna koncentracija koja utiče na sposobnost razmnožavanja, preporučljivo je primeniti dovoljan opseg koncentracija, kako bi se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odredila sa zadovoljavajućim intervalima poverenja. Ako se određuje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efektivna koncentracija za sposobnost razmnožavanja, preporučljivo je da najviša primenjena koncentracija bude veća od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U suprotnom će, iako će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moći da se odredi, interval poverenja za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biti veoma širok i možda neće biti moguće na zadovoljavajući način oceniti adekvatnost izabranog modela;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nastojati da se u seriju ispitivanih koncentracija ne uključi nijedna koja ima statistički značajno dejstvo na preživljavanje odraslih životinja, jer bi se time promenila priroda ispitivanja; to više ne bi bilo samo ispitivanje toksičnosti po reprodukciju, već kombinovano ispitivanje toksičnosti po reprodukciju i smrtnost, pa bi i statistička analiza dobijenih rezultata bila mnogo složenija.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Prethodno poznavanje toksičnosti ispitivane supstance (npr. rezultati ispitivanja akutne toksičnosti, odnosno rezultati preliminarnog ispitivanja postavljenog u cilju određivanja opsega ispitivanih koncentracija) mogu pomoći pri izboru adekvatne serije adekvatnog opsega ispitivanih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slučajevima kada se za pripremu ispitivanih rastvora koristi rastvarač ili disperziono sredstvo (videti odeljak 1.6.4. ove metode), njegova finalna koncentracija u ispitivanim posudama ne sme biti veća od 0,1 ml/l i je jednaka u svim posudama.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1.8.3.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svakom ispitivanju postaviti jednu kontrolu sa medijumom i ukoliko je potrebno, jednu seriju kontrola sa rastvaračem ili disperzionim sredstvom. Kada se koristi rastvarač ili disperziono sredstvo, njegova koncentracija u kontrolnom medijumu je jednaka onoj u ispitivanim posudama sa ispitivanom supstancom. Pripremiti potreban broj replika (paralelnih uzoraka, kopija) (videti odeljak 1.8.1.3.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dobro izvedenom ispitivanju, koeficijent varijacije broja živih potomaka dobijenih od ispitivanih jedinki u kontrolnim grupama iznosi £ 25%, i to navesti u izveštaju o ispitivanju kada se ispitivanje izvodi sa po jednom jedinkom u svakoj ispitivanoj posudi.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1.8.4. Promena ispitivanog medijuma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Dinamika promene ispitivanog medijuma zavisi od stabilnosti supstance koja se ispituje, ali medijum menjati najmanje tri puta nedeljno. Ako preliminarno ispitivanje stabilnosti (videti odeljak 1.4. ove metode) pokaže da koncentracija ispitivane supstance nije stabilna, t.j. da je izvan nominalnog opsega od 80% do 120% ili da iznosi manje od 80% početne koncentracije u toku najdužeg perioda u kome se menja medijum - tri dana, razmotriti mogućnost češće promene medijuma, ili ispitivanje u protočnim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medijum menja u toku ispitivanja u semistatičkim uslovima, pripremiti još jednu seriju posuda za ispitivanje i u njih prebaciti ispitivane jedinke, npr. pomoću staklenih pipeta adekvatnog promera. Treba paziti da se pritom u novu posudu sa dafnijom prebaci što manje medijuma.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1.8.5. Posmatranje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Rezultate posmatranja beležiti u odgovarajuće obrasce (za primere videti Deo četvrti i peti ove metode). Ako su potrebna i druga merenja (videti odeljak 1.3. i 1.8.8. ove metode), može se pokazati potrebnim i dodatno promatranje.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1.8.6. Potomstvo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Potomstvo svake ispitivane jedinke, ako je moguće, svakodnevno odvajati i brojati, od pojave prve generacije potomaka, kako bi se izbeglo da potomstvo troši hranu namenjenu roditeljskim jedinkama. Za potrebe ove metode broje se samo živi potomci, no može se beležiti i prisustvo abortiranih jaja i uginulih potomaka.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1.8.7. Mortalitet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Smrtnost među ispitivanim jedinkama prati se svakodnevno ili najmanje onoliko često koliko se broje i dobijeni potomci.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1.8.8. Ostali parametri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Iako je ova metoda namenjena prvenstveno proceni dejstva supstanci na reprodukcioni potencijal, njome se mogu određivati kvantitativno i drugi efekti, u dovoljnoj meri da to omogući statističku analizu. Poželjno je pratiti rast, jer se time dobija podatak o mogućim subletalnim efektima koji može biti korisniji od samog merenja sposobnosti reprodukcije. Preporučuje se i merenje dužine ispitivanih jedinki (t.j. dužine tela bez analnog nastavka) na kraju ispitivanja. Među ostale pokazatelje koji se mogu meriti ili izračunati ubrajaju se vreme potrebno za pojavu prve generacije potomaka (i idućih generacija), broj i veličina legla po životinji, broj odbačenih legla, prisutnost mužjaka ili efipija, kao i stvarna stopa rasta populacije.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1.8.9. Učestalost analitičkih određivanja i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Koncentraciju kiseonika, temperaturu, tvrdoću i pH vrednost meriti najmanje jednom nedeljno, u svežem i starom medijumu i to u kontrolama i u medijumu sa najvišom koncentracijom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ispitivanja se u pravilnim vremenskim intervalima meri i koncentracija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ispitivanju u polustatičnom sistemu, kod kojih se očekuje da koncentracije ispitivane supstance ne variraju za više od ± 20% od nominalnih vrednosti (t.j. da se kreću u opsegu </w:t>
      </w:r>
      <w:r w:rsidRPr="00984859">
        <w:rPr>
          <w:rFonts w:ascii="Arial" w:eastAsia="Times New Roman" w:hAnsi="Arial" w:cs="Arial"/>
          <w:lang w:eastAsia="sr-Latn-RS"/>
        </w:rPr>
        <w:lastRenderedPageBreak/>
        <w:t xml:space="preserve">80% do 120% - videti odeljak 1.4 i 1.8.4. ove metode), preporučuje se da se analiziraju barem najviša i najniža ispitivana koncentracija i to pri pripremi svežeg medijuma i jednom nedeljno u toku ispitivanja, promeni medijuma (t.j. analizu obaviti u uzorku iste koncentracije, pri pripremi te koncentracije i pri promeni medijuma). Ta određivanja ponavljati u intervalima od najmanje jednom nedeljno.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ispitivanjima kod kojih se očekuje da koncentracije ispitivane supstance variraju za više ± 20% od nominalnih vrednosti, neophodno je analizirati sve ispitivane koncentracije, pri njihovoj pripremi i pri promeni medijuma. Kod ispitivanja kod kojih merenje početne koncentracije ispitivane supstance pokaže da ona nije unutar opsega od ± 20% nominalne vrednosti, ali ima dovoljno dokaza da se te početne koncentracije mogu ponavljati i da su stabilne (tj. da se kreću u opsegu 80% do 120% od početnih), hemijska određivanja u 2. i 3. nedelji ispitivanja mogu da se ograniče na proveru najniže i najviše koncentracije. U svakom slučaju, koncentraciju ispitivane supstance pre promene medijuma proveriti samo u jednoj od replika (paralelnih uzoraka) za svaku od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ispitivanje sprovodi u protočnom sistemu, primeren je sličan režim uzimanja uzorka kao i u polustatičnom sistemu (osim što se u tom slučaju ne može meriti koncentracija supstance u ranijim uzorcima). Od koristi je da se poveća broj uzoraka uzetih u toku prve nedelje ispitivanja, odnosno da se obavljaju tri kompleta merenja kako bi se osiguralo da koncentracije ostanu stabilne. Pri ispitivanjima u protočnom sistemu svakodnevno proveravati brzinu protoka medijuma 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dokaže da se koncentracija ispitivane supstance u toku ispitivanja održava unutar zadovoljavajućeg opsega od ± 20% od nominalne vrednosti ili vrednosti izmerene na početku ispitivanja, rezultati se mogu zasnivati na nominalnoj ili na izmerenoj početnoj vrednosti. Ako odstupanja od nominalne ili početne izmerene vrednosti prelaze ± 20%, rezultate izraziti u terminima srednje vrednosti u funkciji vremena (videti Deo šesti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IZVEŠTAJ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Cilj ove metode ispitivanja je određivanje uticaja ispitivane supstance na ukupni broj živih potomaka dobijenih po živoj ispitivanoj jedinki na kraju ispitivanja. Ukupni broj živih potomaka po ispitivanoj jedinki izračunati za svaku posudu za ispitivanje (tj. za svaku repliku ili paralelni uzorak). Uzorak u kojem je ispitivana jedinka u toku ispitivanja uginula ili se pokaže da je ispitivana jedinka bila mužjak, isključiti iz analize. U tom slučaju će se analiza zasnivati na smanjenom broju replika.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Kada se, u sklopu procene uticaja hemikalije na sposobnost reprodukcije određuje LOEC, a time i NOEC, potrebno je izračunati srednju vrednost reprodukcije za sve replike pri određenoj koncentraciji, kao i rezidualnu standardnu devijaciju, što se može učiniti analizom varijanse (u daljem tekstu: ANOVA). Srednja vrednost dobijena za svaku koncentraciju poredi se sa srednjom vrednošću kontrolnog tretmana, služeći se adekvatnom, statističkom metodom za višestruka poređenja. Ispitivanja koja u ovu svrhu mogu biti od koristi data su u literaturi</w:t>
      </w:r>
      <w:r w:rsidRPr="00984859">
        <w:rPr>
          <w:rFonts w:ascii="Arial" w:eastAsia="Times New Roman" w:hAnsi="Arial" w:cs="Arial"/>
          <w:b/>
          <w:bCs/>
          <w:sz w:val="15"/>
          <w:szCs w:val="15"/>
          <w:vertAlign w:val="superscript"/>
          <w:lang w:eastAsia="sr-Latn-RS"/>
        </w:rPr>
        <w:t>14,15,16,17</w:t>
      </w:r>
      <w:r w:rsidRPr="00984859">
        <w:rPr>
          <w:rFonts w:ascii="Arial" w:eastAsia="Times New Roman" w:hAnsi="Arial" w:cs="Arial"/>
          <w:lang w:eastAsia="sr-Latn-RS"/>
        </w:rPr>
        <w:t>. Neophodno je proveriti da li vredi ANOVA pretpostavka o homogenosti varijanse. Preporučuje se da se to učini grafički, a ne formalnim izračunavanjem statističke značajnosti</w:t>
      </w:r>
      <w:r w:rsidRPr="00984859">
        <w:rPr>
          <w:rFonts w:ascii="Arial" w:eastAsia="Times New Roman" w:hAnsi="Arial" w:cs="Arial"/>
          <w:b/>
          <w:bCs/>
          <w:sz w:val="15"/>
          <w:szCs w:val="15"/>
          <w:vertAlign w:val="superscript"/>
          <w:lang w:eastAsia="sr-Latn-RS"/>
        </w:rPr>
        <w:t>18</w:t>
      </w:r>
      <w:r w:rsidRPr="00984859">
        <w:rPr>
          <w:rFonts w:ascii="Arial" w:eastAsia="Times New Roman" w:hAnsi="Arial" w:cs="Arial"/>
          <w:lang w:eastAsia="sr-Latn-RS"/>
        </w:rPr>
        <w:t xml:space="preserve">. Alternativno, može poslužiti i Bartletov test. Ako pretpostavka ne vredi, tada pre izvođenja ANOVA razmotriti mogućnost transformacije podataka radi homogenizovanja varijanse ili umesto ANOVA izvesti pondiranu ANOVA. Izračunati i navesti i osetljivost ANOVA (najmanju statistički značajnu razliku).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Za određivanje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iz dobijenih rezultata izračunati odgovarajuću krivu, npr. logističku krivu, služeći se adekvatnom statističkom metodom, npr. metodom najmanjih kvadrata. Kriva se može parametrizovati, tako da se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njena standardna greška mogu direktno odrediti. Time se znatno olakšava izračunavanje intervala poverenja za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Navesti dvostrani 95%-tni interval poverenja, osim ako ne postoje dobri razlozi da se prednost da nekom drugom nivou pouzdanosti. Postupak uklapanja krive obezbeđuje i način za ocenu statističkog značaja izostanka podudarnosti sa krivom. To se može učiniti grafički ili deljenjem ostatka sume kvadrata u kategoriju "nedostatak podudarnosti" (lack of fit) i u kategoriju "komponente čiste greške" (pure error components) i testom statističkog značaja za nedostatak podudarnosti. Budući da u tretmanima sa visokim fekunditetom postoji tendencija veće varijanse u broju potomstva nego u tretmanima sa niskim fekunditetom, pa je potrebno razmotriti i mogućnost pondiranja dobijenih vrednosti, kako bi se uvažila različitost varijansi između tretmana (videti u literaturi</w:t>
      </w:r>
      <w:r w:rsidRPr="00984859">
        <w:rPr>
          <w:rFonts w:ascii="Arial" w:eastAsia="Times New Roman" w:hAnsi="Arial" w:cs="Arial"/>
          <w:b/>
          <w:bCs/>
          <w:sz w:val="15"/>
          <w:szCs w:val="15"/>
          <w:vertAlign w:val="superscript"/>
          <w:lang w:eastAsia="sr-Latn-RS"/>
        </w:rPr>
        <w:t>18</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 analizi podataka dobijenih u međulaboratorijskoj proveri</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logistička kriva je izračunata pomoću sledećeg modela, iako se koriste i drugi adekvatni modeli: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val="en-US"/>
        </w:rPr>
        <w:drawing>
          <wp:inline distT="0" distB="0" distL="0" distR="0">
            <wp:extent cx="1514475" cy="1057275"/>
            <wp:effectExtent l="0" t="0" r="9525" b="9525"/>
            <wp:docPr id="170" name="Picture 170" descr="C:\Program Files (x86)\ParagrafLex\browser\Files\Old\t\t2013_12\t12_0570_s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Program Files (x86)\ParagrafLex\browser\Files\Old\t\t2013_12\t12_0570_s141.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14475" cy="10572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Y jeste ukupni broj potomaka po živoj roditeljskoj životinji na kraju ispitivanja (izračunato za svaku ispitivanu posudu);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x</w:t>
      </w:r>
      <w:r w:rsidRPr="00984859">
        <w:rPr>
          <w:rFonts w:ascii="Arial" w:eastAsia="Times New Roman" w:hAnsi="Arial" w:cs="Arial"/>
          <w:lang w:eastAsia="sr-Latn-RS"/>
        </w:rPr>
        <w:t xml:space="preserve"> jeste koncentracija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c</w:t>
      </w:r>
      <w:r w:rsidRPr="00984859">
        <w:rPr>
          <w:rFonts w:ascii="Arial" w:eastAsia="Times New Roman" w:hAnsi="Arial" w:cs="Arial"/>
          <w:lang w:eastAsia="sr-Latn-RS"/>
        </w:rPr>
        <w:t xml:space="preserve"> jeste očekivani broj potomaka kada je x = 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x</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 populaciji;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b</w:t>
      </w:r>
      <w:r w:rsidRPr="00984859">
        <w:rPr>
          <w:rFonts w:ascii="Arial" w:eastAsia="Times New Roman" w:hAnsi="Arial" w:cs="Arial"/>
          <w:lang w:eastAsia="sr-Latn-RS"/>
        </w:rPr>
        <w:t xml:space="preserve"> jeste nagib krive.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Ovaj model je najverovatnije prikladan za veći broj situacija, ali ima i situacija za koje neće odgovarati. Zato proveriti valjanost modela, kao što je gore navedeno. U nekim slučajevima mogao bi da odgovara hormezis model u kom niske koncentracije imaju pojačano dejstvo.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Mogu se proceniti i druge efektivne koncentracije, npr.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ili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iako u tom slučaju prednost a dati drugačijoj parametrizaciji modela od one koja se koristila za procenu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priroda supstance i merodavna fizičko-hemijska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identifikaciji hemikalije, uključujući čistoću;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 ispitivanoj vrsti: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klon (genotipiziran ili ne), dobavljač ili izvor (ako je poznat) i uslovi gajenja kulture. Ako se ne koristi vrstan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navodi se obrazloženje;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korišćeni postupak (npr. semistatični ili protočni sistem, zapremina, broj dafnija po litri),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fotoperiod i jačina svetla,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postavka ispitivanja (npr. broj replika, broj roditeljskih jedinki po replici),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korišćenom mediju za gajenje kulture,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o organskom materijalu, ako je korišćen, uključujući podatke o sastavu, izvoru, metodi pripreme, TOS/HPK osnovnog rastvora, vrednosti TOS/HPK izmerene u medijumu,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detaljne podatke o ishrani, uključujući količinu hrane u mg/C/Dafnija/dan) i režim (npr. vrsta hrane - ako je reč o algama, navesti tačno ime vrste i ako je poznato, navesti soj i uslove gajenja u kulturi),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pripreme osnovnih rastvora i dinamiku izmene (navesti rastvarač ili disperziono sredstvo, ako je korišćeno);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bilo kakvih preliminarnih studija o stabilnosti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nominalna koncentracija i rezultati svih merenja koncentracije ispitivane supstance u ispitivanim posudama (videti primer obrasca u Delu petom ove metode), podaci o efikasnosti analitičke metode i granicama detekcije,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kvalitet vode u ispitivanim posudama, tj. podaci o pH, temperaturi i koncentraciji rastvorenog kiseonika, podaci o TOS, odnosno HPK i tvrdoći (videti primer obrasca u Delu četvrtom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potpuni podaci o potomstvu dobijenom od svake roditeljske jedinke (videti primer obrasca u Delu četvrtom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uginulih roditeljskih jedinki i dan kada su uginule (videti primer obrasca u Delu četvrtom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koeficijent varijacije fekunditeta u kontrolnim grupama (zasniva sena ukupnom broju živih potomaka po živoj roditeljskoj jedinki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 prikaz zavisnosti ukupnog broja živih potomaka po živoj roditeljskoj jedinki (za svaku repliku) na kraju ispitivanja nasuprot koncentraciji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LOEC po reprodukciju, uključujući opis primenjenih statističkih postupaka i naznaka o najnižoj statistički značajnoj razlici koja se može detektovati, kao i ako je primenljivo, podatak o najvišoj ispitivanoj koncentraciji koja ne dovodi do NOEC. Navesti i podatak o LOEC/NOEC za smrtnost roditeljskih jedinki;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gde je prikladno, navesti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za reprodukciju, intervale poverenja i grafički prikaz modela upotrebljenog za njihovo izračunavanje, nagib krive dozne zavisnosti i njegovu standardnu grešku;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ostali uočeni biološki efekti i merenja - navesti podatke o svim ostalim biološkim efektima koji su uočeni ili izmereni (npr. rast roditeljskih jedinki), uključujući odgovarajuće obrazloženje;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obrazloženje za svako odstupanje od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Test Guideline Programme, Report of the Workshop on the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Pilot Ring Test, Sheffield University, UK, 20-21 March 1993.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OECD Environmental Health and Safety Publications. Series on Testing and Assessment No6. Report of the Final Ring Test of the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Reproduction Test Paris. 1997.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Baird D.J., Barber J., Bradley M.C., Soares A.M.V.M. and Calow P. (1991) A comparative study of genotype sensitivity to acute toxic stress using clones of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Strauss. Ecotoxicology and Environmental Safety, 21, p. 257-265.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Elendt B.P., (1990) Selenium deficiency in Crustacea; An ultrastructural approach to antennal damage in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Straus. Protoplasma, 154, p. 25-33.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EPA (1993) Methods for Measuring the Acute Toxicity of Effluents and Receiving Waters to Freshwater and Marine Organisms. (Fourth ed.). EPA/600/4-90/027F. C. I. Weber (ed), USEPA, Cincinnati, Ohio.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Vigano L., (1991) Suitability of commercially available spring waters as standard medium for culturing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Bull. Environ. Contam. Toxicol., 47, p. 775-782.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ASTM (1988) Standard Guide for Conducting Acute Toxicity Tests with Fishes, Macroinvertebrates and Amphibians. E729-88a. American Society for Testing and Materials, Philadelphia P.A. p. 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Baird D.J., Soares A.M.V.M., Girling A., Barber J., Bradley M.C. and Calow P., (1989) The long term maintenance of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Straus for use in ecotoxicological tests; problems and prospects. In: Proceedings of the 1st European Conference on Ecotoxicology. Copenhagen 1988 (H.Løkke, H. Tyle &amp; F. Bro-Rasmussen. Eds.) p. 144-148.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Parkhurst B.R., Forte J.L. and Wright G.P., (1981) Reproducibility of a life-cycle toxicity test with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Bull. Environ. Contam. and Toxicol., 26, p. 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Cowgill U.M. and Milazzo D.P., (1990) The sensitivity of two cladocerans to water quality variables: salinity and hardness. Arch. Hydrobiol., 120(2), p. 185-196.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Korshikov (1990) </w:t>
      </w:r>
      <w:r w:rsidRPr="00984859">
        <w:rPr>
          <w:rFonts w:ascii="Arial" w:eastAsia="Times New Roman" w:hAnsi="Arial" w:cs="Arial"/>
          <w:i/>
          <w:iCs/>
          <w:lang w:eastAsia="sr-Latn-RS"/>
        </w:rPr>
        <w:t>Pseudokirchneriella subcapitata</w:t>
      </w:r>
      <w:r w:rsidRPr="00984859">
        <w:rPr>
          <w:rFonts w:ascii="Arial" w:eastAsia="Times New Roman" w:hAnsi="Arial" w:cs="Arial"/>
          <w:lang w:eastAsia="sr-Latn-RS"/>
        </w:rPr>
        <w:t xml:space="preserve"> Hindak, F-1990. Biologice Prace, 36, p. 209.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Sims I.R., Watson S. and Holmes D., (1993) Toward a standard </w:t>
      </w:r>
      <w:r w:rsidRPr="00984859">
        <w:rPr>
          <w:rFonts w:ascii="Arial" w:eastAsia="Times New Roman" w:hAnsi="Arial" w:cs="Arial"/>
          <w:i/>
          <w:iCs/>
          <w:lang w:eastAsia="sr-Latn-RS"/>
        </w:rPr>
        <w:t>Daphnia juvenile</w:t>
      </w:r>
      <w:r w:rsidRPr="00984859">
        <w:rPr>
          <w:rFonts w:ascii="Arial" w:eastAsia="Times New Roman" w:hAnsi="Arial" w:cs="Arial"/>
          <w:lang w:eastAsia="sr-Latn-RS"/>
        </w:rPr>
        <w:t xml:space="preserve"> production test. Environmental Toxicology and Chemistry, 12, p. 2053-2058.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13. Sims I., (1993) Measuring the growth of phytoplankton: the relationship between total organic carbon with three commonly used parameters of algal growth. Arch. Hydrobiol., 128, 459-466.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Dunnett C.W., (1955) A multiple comparisons procedure for comparing several treatments with a control. J. Amer. Statist. Assoc., 50, p. 1096-1121.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Dunnett C.W., (1964) New tables for multiple comparisons with a control. Biometrics, 20, p. 482-491.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Williams D.A., (1971) A test for differences between treatment means when several dose levels are compared with a zero dose control. Biometrics 27, p. 103-117.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Williams D.A., (1972) The comparison of several dose levels with a zero dose control. Biometrics, 28, p. 510-531.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Draper N.R. and Smith H., (1981) Applied Regression Analysis, second edition, Wiley, N.Y.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Brain P. and Cousens R., (1989) An equation to describe dose responses where there is stimulation of growth at low doses. Weed Research, 29, p. 93-96.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Wilson E.O. and Bossert, W.H., (1971) A Primer of Population Biology. Sinauer Associates Inc. Publishers.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PRIPREMA POTPUNO DEFINISANIH MEDIJUMA Elandt M7 I M4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Aklimatizacija na medijume Elandt M7 i M4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Neke laboratorije su imale poteškoća pri direktnom premeštanju dafnija u medijume M4</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i M7. Određen uspeh je postignut postupnom aklimatizacijom, odnosno premeštanjem životinja iz prirodnog medijuma u 30%, potom 60% i na kraju 100% Elandt. Aklimatizacioni period može potrajati i mesec dana.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PRIPREMA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Elementi u tragovima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Prvo se pripremaju odvojeni osnovni rastvori (I) svakog pojedinog elemenata u tragovima u vodi odgovarajuće čistoće, npr. dejonizovanoj, destilovanoj ili vodom dobijenom reverznom osmozom. Iz tih različitih osnovnih rastvora (II) priprema se jedan rastvor (II) koji sadrži sve elemente u tragovima (kombinovani rastvor), npr: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51"/>
        <w:gridCol w:w="1550"/>
        <w:gridCol w:w="2339"/>
        <w:gridCol w:w="1796"/>
        <w:gridCol w:w="1796"/>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Osnovni rastvori I </w:t>
            </w:r>
            <w:r w:rsidRPr="00984859">
              <w:rPr>
                <w:rFonts w:ascii="Arial" w:eastAsia="Times New Roman" w:hAnsi="Arial" w:cs="Arial"/>
                <w:lang w:eastAsia="sr-Latn-RS"/>
              </w:rPr>
              <w:br/>
              <w:t xml:space="preserve">(pojedinačne </w:t>
            </w:r>
            <w:r w:rsidRPr="00984859">
              <w:rPr>
                <w:rFonts w:ascii="Arial" w:eastAsia="Times New Roman" w:hAnsi="Arial" w:cs="Arial"/>
                <w:lang w:eastAsia="sr-Latn-RS"/>
              </w:rPr>
              <w:br/>
              <w:t xml:space="preserve">supstance)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Količina koja se dodaje u vodu (mg/l)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(u poređenju sa medijumom M4) puta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Za pripremanje kombinovanog rastvora II - dodati sledeću količinu osnovnog rastvora I u vodu (ml/l)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 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 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BO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57.190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Í 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7.210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LiCl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6.120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RbCl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SrCl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Í 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MoO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Í2H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CuCl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Í2H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ZnCl</w:t>
            </w:r>
            <w:r w:rsidRPr="00984859">
              <w:rPr>
                <w:rFonts w:ascii="Arial" w:eastAsia="Times New Roman" w:hAnsi="Arial" w:cs="Arial"/>
                <w:sz w:val="15"/>
                <w:szCs w:val="15"/>
                <w:vertAlign w:val="subscript"/>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CoCl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Í 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SeO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43,8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VO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EDTA Í 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FeSO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Í 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1.991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Rastvori 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EDTA i FeSO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se pripremaju odvojeno, spoje i odmah autoklaviraju. To daje: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21 Fe-EDTA Rastvor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 puta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Medijumi M4 i M7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Medijumi M4 i M7 pripremaju se od rastvora II, makronutrijenata i vitaminima na sledeći način: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174"/>
        <w:gridCol w:w="1463"/>
        <w:gridCol w:w="2199"/>
        <w:gridCol w:w="1648"/>
        <w:gridCol w:w="1648"/>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Količina koja se dodaje u vodu (mg/l)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(u poređenju sa medijumom M4) puta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Za pripremanje kombinovanog rastvora II - dodati sledeću količinu osnovnog rastvora I u vodu (ml/L)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 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 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Kombinovani rastvor II Elementi u tragovima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 </w:t>
            </w:r>
          </w:p>
        </w:tc>
      </w:tr>
      <w:tr w:rsidR="00984859" w:rsidRPr="00984859" w:rsidTr="00984859">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Osnovni rastvor sa makronutrijentima (pojedinačne supstanca)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Í2H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293.800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Í7H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246.600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58.000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NaHCO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64.800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SiO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Í9H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NaNO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Kombinovani rastvor sa vitaminima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r>
      <w:tr w:rsidR="00984859" w:rsidRPr="00984859" w:rsidTr="00984859">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Kombinovani rastvor sa vitaminima se priprema dodavanjem 3 vitamina u 1 litru vode kako je prikazano dole: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Tiamin hidrohlorid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Cijankobalamin (B12)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Biotin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Kombinovani rastvor sa vitaminima se čuva zamrznut u malim porcijama. Vitamini se dodaju </w:t>
            </w:r>
            <w:r w:rsidRPr="00984859">
              <w:rPr>
                <w:rFonts w:ascii="Arial" w:eastAsia="Times New Roman" w:hAnsi="Arial" w:cs="Arial"/>
                <w:lang w:eastAsia="sr-Latn-RS"/>
              </w:rPr>
              <w:lastRenderedPageBreak/>
              <w:t>medijumu neposredno pre upotrebe.</w:t>
            </w:r>
            <w:r w:rsidRPr="00984859">
              <w:rPr>
                <w:rFonts w:ascii="Arial" w:eastAsia="Times New Roman" w:hAnsi="Arial" w:cs="Arial"/>
                <w:lang w:eastAsia="sr-Latn-RS"/>
              </w:rPr>
              <w:br/>
            </w:r>
            <w:r w:rsidRPr="00984859">
              <w:rPr>
                <w:rFonts w:ascii="Arial" w:eastAsia="Times New Roman" w:hAnsi="Arial" w:cs="Arial"/>
                <w:i/>
                <w:iCs/>
                <w:lang w:eastAsia="sr-Latn-RS"/>
              </w:rPr>
              <w:t>Napomena 1:</w:t>
            </w:r>
            <w:r w:rsidRPr="00984859">
              <w:rPr>
                <w:rFonts w:ascii="Arial" w:eastAsia="Times New Roman" w:hAnsi="Arial" w:cs="Arial"/>
                <w:lang w:eastAsia="sr-Latn-RS"/>
              </w:rPr>
              <w:t xml:space="preserve"> Da bi se prilikom pripreme kompletnog medija izbeglo taloženje soli, alikvote osnovnih rastvora dodavati u oko 500 do 800 ml dejonizovane vode i potom dopuniti do 1 L.</w:t>
            </w:r>
            <w:r w:rsidRPr="00984859">
              <w:rPr>
                <w:rFonts w:ascii="Arial" w:eastAsia="Times New Roman" w:hAnsi="Arial" w:cs="Arial"/>
                <w:lang w:eastAsia="sr-Latn-RS"/>
              </w:rPr>
              <w:br/>
            </w:r>
            <w:r w:rsidRPr="00984859">
              <w:rPr>
                <w:rFonts w:ascii="Arial" w:eastAsia="Times New Roman" w:hAnsi="Arial" w:cs="Arial"/>
                <w:i/>
                <w:iCs/>
                <w:lang w:eastAsia="sr-Latn-RS"/>
              </w:rPr>
              <w:t>Napomena 2:</w:t>
            </w:r>
            <w:r w:rsidRPr="00984859">
              <w:rPr>
                <w:rFonts w:ascii="Arial" w:eastAsia="Times New Roman" w:hAnsi="Arial" w:cs="Arial"/>
                <w:lang w:eastAsia="sr-Latn-RS"/>
              </w:rPr>
              <w:t xml:space="preserve"> Receptura za pripremu medijuma M4 prvi put je objavljena u "Elendt, B.P. (1990). Selenium deficiency in crustacea; an ultrastructuralapproach to antennal damage in </w:t>
            </w:r>
            <w:r w:rsidRPr="00984859">
              <w:rPr>
                <w:rFonts w:ascii="Arial" w:eastAsia="Times New Roman" w:hAnsi="Arial" w:cs="Arial"/>
                <w:i/>
                <w:iCs/>
                <w:lang w:eastAsia="sr-Latn-RS"/>
              </w:rPr>
              <w:t>Daphnia magna</w:t>
            </w:r>
            <w:r w:rsidRPr="00984859">
              <w:rPr>
                <w:rFonts w:ascii="Arial" w:eastAsia="Times New Roman" w:hAnsi="Arial" w:cs="Arial"/>
                <w:lang w:eastAsia="sr-Latn-RS"/>
              </w:rPr>
              <w:t xml:space="preserve"> Straus. Protoplasma, 154, p. 25-33."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ANALIZA UKUPNOG ORGANSKOG UGLJENIKA (TOC) I IZRADA NOMOGRAMA ZA ODREĐIVANJE SADRŽAJA TOC U HRANI OD ALGI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Sadržaj ugljenika u hrani od algi u normalnim okolnostima ne određuje se direktno, već na osnovu poređenja (tj. nomograma), merenjem surogat pokazatelja poput broja algalnih ćelija ili apsorbance svetla.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TOC meriti metodom oksidacije pri visokoj temperaturi</w:t>
      </w:r>
      <w:r w:rsidRPr="00984859">
        <w:rPr>
          <w:rFonts w:ascii="Arial" w:eastAsia="Times New Roman" w:hAnsi="Arial" w:cs="Arial"/>
          <w:b/>
          <w:bCs/>
          <w:sz w:val="15"/>
          <w:szCs w:val="15"/>
          <w:vertAlign w:val="superscript"/>
          <w:lang w:eastAsia="sr-Latn-RS"/>
        </w:rPr>
        <w:t>XXXI</w:t>
      </w:r>
      <w:r w:rsidRPr="00984859">
        <w:rPr>
          <w:rFonts w:ascii="Arial" w:eastAsia="Times New Roman" w:hAnsi="Arial" w:cs="Arial"/>
          <w:lang w:eastAsia="sr-Latn-RS"/>
        </w:rPr>
        <w:t xml:space="preserve">, a ne UV ili persulfatnom metodom.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izradu nomograma, alge centrifugiranjem odvojiti od hranljive podloge i potom resuspendovati u destilovanoj vodi. U svakom uzorku, u triplikatu, izmeriti surogat pokazatelj i koncentraciju TOC. Kao slepa proba uzima se destilovana voda. Određuje se i koncentracija TOC u destilovanoj vodi, koja se zatim oduzme od koncentracijeTOC dobijene iz uzoraka algi.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Nomogram je linearan u opsegu predviđenih koncentracija ugljenika. U nastavku su dati primeri.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1: Primeri se ne koriste za preračunavanje - svaka laboratorija izrađuje sopstveni nomogram.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XXXI</w:t>
      </w:r>
      <w:r w:rsidRPr="00984859">
        <w:rPr>
          <w:rFonts w:ascii="Arial" w:eastAsia="Times New Roman" w:hAnsi="Arial" w:cs="Arial"/>
          <w:lang w:eastAsia="sr-Latn-RS"/>
        </w:rPr>
        <w:t xml:space="preserve"> The Instrumental Determination of Total Organic Carbon, Total Oxygen Demand and Related Determinands 1979, HMSO 1980; 49 High Holborn, London WC1V 6HB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29425" cy="4638675"/>
            <wp:effectExtent l="0" t="0" r="9525" b="9525"/>
            <wp:docPr id="169" name="Picture 169" descr="C:\Program Files (x86)\ParagrafLex\browser\Files\Old\t\t2013_12\t12_0570_s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Program Files (x86)\ParagrafLex\browser\Files\Old\t\t2013_12\t12_0570_s142.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29425" cy="46386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C/l algalni koncentrat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29425" cy="4943475"/>
            <wp:effectExtent l="0" t="0" r="9525" b="9525"/>
            <wp:docPr id="168" name="Picture 168" descr="C:\Program Files (x86)\ParagrafLex\browser\Files\Old\t\t2013_12\t12_0570_s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Program Files (x86)\ParagrafLex\browser\Files\Old\t\t2013_12\t12_0570_s143.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29425" cy="49434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C/l algalni koncentrat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38950" cy="4162425"/>
            <wp:effectExtent l="0" t="0" r="0" b="9525"/>
            <wp:docPr id="167" name="Picture 167" descr="C:\Program Files (x86)\ParagrafLex\browser\Files\Old\t\t2013_12\t12_0570_s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Program Files (x86)\ParagrafLex\browser\Files\Old\t\t2013_12\t12_0570_s144.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838950" cy="41624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C/l algalni koncentrat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četvrti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PRIMER OBRASCA SA PODACIMA O PROMENI MEDIJUMA, PRAĆENJU FIZIČKO-HEMIJSKIH SVOJSTAVA, ISHRANI, RAZMNOŽAVANJU DAFNIJA I SMRTNOSTI ODRASLIH JEDINKI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31"/>
        <w:gridCol w:w="1444"/>
        <w:gridCol w:w="562"/>
        <w:gridCol w:w="953"/>
        <w:gridCol w:w="1131"/>
        <w:gridCol w:w="1895"/>
        <w:gridCol w:w="1616"/>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Eksperiment br: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Datum početka: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Klon: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Medijum: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Vrsta hrane: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Nominalna konc.: </w:t>
            </w:r>
          </w:p>
        </w:tc>
      </w:tr>
    </w:tbl>
    <w:p w:rsidR="00984859" w:rsidRPr="00984859" w:rsidRDefault="00984859" w:rsidP="00984859">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68"/>
        <w:gridCol w:w="183"/>
        <w:gridCol w:w="183"/>
        <w:gridCol w:w="183"/>
        <w:gridCol w:w="183"/>
        <w:gridCol w:w="183"/>
        <w:gridCol w:w="183"/>
        <w:gridCol w:w="183"/>
        <w:gridCol w:w="183"/>
        <w:gridCol w:w="183"/>
        <w:gridCol w:w="183"/>
        <w:gridCol w:w="305"/>
        <w:gridCol w:w="305"/>
        <w:gridCol w:w="305"/>
        <w:gridCol w:w="305"/>
        <w:gridCol w:w="305"/>
        <w:gridCol w:w="305"/>
        <w:gridCol w:w="305"/>
        <w:gridCol w:w="305"/>
        <w:gridCol w:w="305"/>
        <w:gridCol w:w="305"/>
        <w:gridCol w:w="305"/>
        <w:gridCol w:w="305"/>
        <w:gridCol w:w="855"/>
        <w:gridCol w:w="819"/>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Promena medijuma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pH</w:t>
            </w:r>
            <w:r w:rsidRPr="00984859">
              <w:rPr>
                <w:rFonts w:ascii="Arial" w:eastAsia="Times New Roman" w:hAnsi="Arial" w:cs="Arial"/>
                <w:b/>
                <w:bCs/>
                <w:sz w:val="15"/>
                <w:szCs w:val="15"/>
                <w:vertAlign w:val="superscript"/>
                <w:lang w:eastAsia="sr-Latn-RS"/>
              </w:rPr>
              <w:t>XXXII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merenje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merenje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mg/l</w:t>
            </w:r>
            <w:r w:rsidRPr="00984859">
              <w:rPr>
                <w:rFonts w:ascii="Arial" w:eastAsia="Times New Roman" w:hAnsi="Arial" w:cs="Arial"/>
                <w:b/>
                <w:bCs/>
                <w:sz w:val="15"/>
                <w:szCs w:val="15"/>
                <w:vertAlign w:val="superscript"/>
                <w:lang w:eastAsia="sr-Latn-RS"/>
              </w:rPr>
              <w:t>XXVIII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merenje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merenje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Temperatura(°C)</w:t>
            </w:r>
            <w:r w:rsidRPr="00984859">
              <w:rPr>
                <w:rFonts w:ascii="Arial" w:eastAsia="Times New Roman" w:hAnsi="Arial" w:cs="Arial"/>
                <w:b/>
                <w:bCs/>
                <w:sz w:val="15"/>
                <w:szCs w:val="15"/>
                <w:vertAlign w:val="superscript"/>
                <w:lang w:eastAsia="sr-Latn-RS"/>
              </w:rPr>
              <w:t>XXVII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merenje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merenje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Hrana data </w:t>
            </w:r>
            <w:r w:rsidRPr="00984859">
              <w:rPr>
                <w:rFonts w:ascii="Arial" w:eastAsia="Times New Roman" w:hAnsi="Arial" w:cs="Arial"/>
                <w:lang w:eastAsia="sr-Latn-RS"/>
              </w:rPr>
              <w:lastRenderedPageBreak/>
              <w:t xml:space="preserve">(štiklirati)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Broj živih potomaka</w:t>
            </w:r>
            <w:r w:rsidRPr="00984859">
              <w:rPr>
                <w:rFonts w:ascii="Arial" w:eastAsia="Times New Roman" w:hAnsi="Arial" w:cs="Arial"/>
                <w:b/>
                <w:bCs/>
                <w:sz w:val="15"/>
                <w:szCs w:val="15"/>
                <w:vertAlign w:val="subscript"/>
                <w:lang w:eastAsia="sr-Latn-RS"/>
              </w:rPr>
              <w:t>XXXIII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Posuda 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2</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5</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6</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7</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8</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9</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10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Ukupno</w:t>
            </w:r>
          </w:p>
        </w:tc>
      </w:tr>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Kumulativna smrtnost odraslih jedinki</w:t>
            </w:r>
            <w:r w:rsidRPr="00984859">
              <w:rPr>
                <w:rFonts w:ascii="Arial" w:eastAsia="Times New Roman" w:hAnsi="Arial" w:cs="Arial"/>
                <w:b/>
                <w:bCs/>
                <w:sz w:val="15"/>
                <w:szCs w:val="15"/>
                <w:vertAlign w:val="subscript"/>
                <w:lang w:eastAsia="sr-Latn-RS"/>
              </w:rPr>
              <w:t>XXXIV</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XXXII</w:t>
      </w:r>
      <w:r w:rsidRPr="00984859">
        <w:rPr>
          <w:rFonts w:ascii="Arial" w:eastAsia="Times New Roman" w:hAnsi="Arial" w:cs="Arial"/>
          <w:lang w:eastAsia="sr-Latn-RS"/>
        </w:rPr>
        <w:t xml:space="preserve"> Naznačiti koja posuda se koristila za testiranje.</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XXXIII</w:t>
      </w:r>
      <w:r w:rsidRPr="00984859">
        <w:rPr>
          <w:rFonts w:ascii="Arial" w:eastAsia="Times New Roman" w:hAnsi="Arial" w:cs="Arial"/>
          <w:lang w:eastAsia="sr-Latn-RS"/>
        </w:rPr>
        <w:t xml:space="preserve"> Navesti smrtnost odraslih jedinki kao "M" u odgovarajuće polje.</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XXXIV</w:t>
      </w:r>
      <w:r w:rsidRPr="00984859">
        <w:rPr>
          <w:rFonts w:ascii="Arial" w:eastAsia="Times New Roman" w:hAnsi="Arial" w:cs="Arial"/>
          <w:lang w:eastAsia="sr-Latn-RS"/>
        </w:rPr>
        <w:t xml:space="preserve"> Navesti odbačena legla kao "o.l." u odgovarajuća polja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peti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PRIMER OBRASCA SA PODACIMA O REZULTATIMA HEMIJSKIH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Izmerene koncentracije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778"/>
        <w:gridCol w:w="1048"/>
        <w:gridCol w:w="1070"/>
        <w:gridCol w:w="1048"/>
        <w:gridCol w:w="1070"/>
        <w:gridCol w:w="1048"/>
        <w:gridCol w:w="1070"/>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Nominalna koncentracija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Uzorak 1. sedmice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Uzorak 2. sedmice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Uzorak 3. sedmice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Novo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Staro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Novo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Staro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Novo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Staro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Izmerene koncentracije kao procenat nominalne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778"/>
        <w:gridCol w:w="1048"/>
        <w:gridCol w:w="1070"/>
        <w:gridCol w:w="1048"/>
        <w:gridCol w:w="1070"/>
        <w:gridCol w:w="1048"/>
        <w:gridCol w:w="1070"/>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Nominalna koncentracija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Uzorak 1. sedmice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Uzorak 2. sedmice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Uzorak 3. sedmice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Novo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Staro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Novo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Staro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Novo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Staro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šesti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IZRAČUNAVANJE SREDNJE VREDNOSTI KONCENTRACIJE U FUNKCIJI VREMENA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Težinska srednja vrednost u funkciji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uzme da se koncentracija ispitivane supstance može smanjiti između dve promene medijuma, važno je odrediti koja će koncentracija predstavljati opseg koncentracija kojima je roditeljska jedinka bila izložena. Izbor se bazira na biološkim i statističkim pokazateljima. Na primer, ako se zaključi da na sposobnost razmnožavanja najviše utiče najviša koncentracija ispitivane supstance, onda se najviša koncentracija i uzima. Ako se zaključi da su važniji efekti koji se akumuliraju ili da je važnije dugoročno delovanje, onda je merodavnija prosečna </w:t>
      </w:r>
      <w:r w:rsidRPr="00984859">
        <w:rPr>
          <w:rFonts w:ascii="Arial" w:eastAsia="Times New Roman" w:hAnsi="Arial" w:cs="Arial"/>
          <w:lang w:eastAsia="sr-Latn-RS"/>
        </w:rPr>
        <w:lastRenderedPageBreak/>
        <w:t xml:space="preserve">koncentracija. U tom slučaju primerenije je služiti se težinskom srednjom vrednošću koncentracije u funkciji vremena, jer se tako uzimaju u obzir i kolebanja koncentracije koja se zbivaju u toku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 Primer težinske srednje 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295775" cy="3343275"/>
            <wp:effectExtent l="0" t="0" r="9525" b="9525"/>
            <wp:docPr id="166" name="Picture 166" descr="C:\Program Files (x86)\ParagrafLex\browser\Files\Old\t\t2013_12\t12_0570_s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Program Files (x86)\ParagrafLex\browser\Files\Old\t\t2013_12\t12_0570_s14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95775" cy="33432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 prikazuje (pojednostavljen) primer ispitivanja koje traje 7 dana sa prosečnom promenom medijuma nultog, 2. i 4.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tanka cik-cak crta prikazuje koncentraciju u bilo kojoj vremenskoj tački. Pretpostavka je da se smanjenje koncentracije zbiva po eksponencijalnom obrascu.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šest ucrtanih tačaka predstavljaju koncentracije izmerene na početku i na kraju svakog razdoblja promene medijuma.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puna debela crta pokazuje položaj težinske srednje vrednosti u funkciji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Težinska srednja vrednost u funkciji vremena računa se tako da se uzme da je površina ispod krive srednje vrednosti u toku vremena jednaka površini ispod krive koncentracije. Način računanja u gornjem primeru prikazan je u Tabeli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Izračunavanje težinske srednje vrednosti u funkciji vremena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496"/>
        <w:gridCol w:w="534"/>
        <w:gridCol w:w="764"/>
        <w:gridCol w:w="657"/>
        <w:gridCol w:w="987"/>
        <w:gridCol w:w="2739"/>
        <w:gridCol w:w="955"/>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Broj promena medijuma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Dani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Conc</w:t>
            </w:r>
            <w:r w:rsidRPr="00984859">
              <w:rPr>
                <w:rFonts w:ascii="Arial" w:eastAsia="Times New Roman" w:hAnsi="Arial" w:cs="Arial"/>
                <w:sz w:val="15"/>
                <w:szCs w:val="15"/>
                <w:vertAlign w:val="subscript"/>
                <w:lang w:eastAsia="sr-Latn-RS"/>
              </w:rPr>
              <w:t>0</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Conc</w:t>
            </w:r>
            <w:r w:rsidRPr="00984859">
              <w:rPr>
                <w:rFonts w:ascii="Arial" w:eastAsia="Times New Roman" w:hAnsi="Arial" w:cs="Arial"/>
                <w:sz w:val="15"/>
                <w:szCs w:val="15"/>
                <w:vertAlign w:val="sub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ln(Conc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ln(Conc</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Površina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4,493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13,767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11,000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6,037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2,398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1,798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16,544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4,066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19,781 </w:t>
            </w:r>
          </w:p>
        </w:tc>
      </w:tr>
      <w:tr w:rsidR="00984859" w:rsidRPr="00984859" w:rsidTr="00984859">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Ukupni dani: 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Ukupna površina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50,091 </w:t>
            </w:r>
          </w:p>
        </w:tc>
      </w:tr>
      <w:tr w:rsidR="00984859" w:rsidRPr="00984859" w:rsidTr="00984859">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Težinska srednja vrednost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7,156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Dani označavaju broj dana u razdoblju jedne promene medijuma.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Conc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jeste koncentracija izmerena na početku svakog razdoblja promene medijuma.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Conc</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jeste koncentracija izmerena na kraju svakog razdoblja promene medijuma.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ln(Conc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jeste prirodni logaritam Conc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ln(Conc</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jeste prirodni logaritam Conc</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Površina jeste površina ispod eksponencijalne krive za svako razdoblje promene medijuma, računa se: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81"/>
        <w:gridCol w:w="2024"/>
        <w:gridCol w:w="6007"/>
      </w:tblGrid>
      <w:tr w:rsidR="00984859" w:rsidRPr="00984859" w:rsidTr="00984859">
        <w:trPr>
          <w:tblCellSpacing w:w="0" w:type="dxa"/>
        </w:trPr>
        <w:tc>
          <w:tcPr>
            <w:tcW w:w="35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Površina = </w:t>
            </w:r>
          </w:p>
        </w:tc>
        <w:tc>
          <w:tcPr>
            <w:tcW w:w="85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COrnc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xml:space="preserve"> - Conc</w:t>
            </w:r>
            <w:r w:rsidRPr="00984859">
              <w:rPr>
                <w:rFonts w:ascii="Arial" w:eastAsia="Times New Roman" w:hAnsi="Arial" w:cs="Arial"/>
                <w:sz w:val="15"/>
                <w:szCs w:val="15"/>
                <w:vertAlign w:val="subscript"/>
                <w:lang w:eastAsia="sr-Latn-RS"/>
              </w:rPr>
              <w:t>1</w:t>
            </w:r>
          </w:p>
        </w:tc>
        <w:tc>
          <w:tcPr>
            <w:tcW w:w="38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Dani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In(Conc</w:t>
            </w:r>
            <w:r w:rsidRPr="00984859">
              <w:rPr>
                <w:rFonts w:ascii="Arial" w:eastAsia="Times New Roman" w:hAnsi="Arial" w:cs="Arial"/>
                <w:sz w:val="15"/>
                <w:szCs w:val="15"/>
                <w:vertAlign w:val="subscript"/>
                <w:lang w:eastAsia="sr-Latn-RS"/>
              </w:rPr>
              <w:t>0</w:t>
            </w:r>
            <w:r w:rsidRPr="00984859">
              <w:rPr>
                <w:rFonts w:ascii="Arial" w:eastAsia="Times New Roman" w:hAnsi="Arial" w:cs="Arial"/>
                <w:lang w:eastAsia="sr-Latn-RS"/>
              </w:rPr>
              <w:t>) - In(Conc</w:t>
            </w:r>
            <w:r w:rsidRPr="00984859">
              <w:rPr>
                <w:rFonts w:ascii="Arial" w:eastAsia="Times New Roman" w:hAnsi="Arial" w:cs="Arial"/>
                <w:sz w:val="15"/>
                <w:szCs w:val="15"/>
                <w:vertAlign w:val="subscript"/>
                <w:lang w:eastAsia="sr-Latn-RS"/>
              </w:rPr>
              <w:t>1</w:t>
            </w:r>
            <w:r w:rsidRPr="00984859">
              <w:rPr>
                <w:rFonts w:ascii="Arial" w:eastAsia="Times New Roman" w:hAnsi="Arial" w:cs="Arial"/>
                <w:lang w:eastAsia="sr-Latn-RS"/>
              </w:rPr>
              <w:t xml:space="preserve">) </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Težinska srednja vrednost jeste ukupna površina podeljena ukupnim danima.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toksičnosti po reprodukciju dafnije tabela obuhvata 21 dan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merenja obavljaju samo na početku i na kraju razdoblja promene medijuma, nije moguće potvrditi da je proces smanjivanja koncentracije ispitivane supstance zapravo eksponencijalan. Ako kriva izgleda drugačije, menja se i vrednost površine. Eksponencijalni obrazac smanjivanja koncentracije ispitivane supstance nije neprihvatljiv i to je verovatno najupotrebljivija kriva u nedostatku drugih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Neophodan je oprez ako se hemijskom analizom na kraju razdoblja promene medijuma ispitivana supstanca ne nađe. Osim ako je moguće meriti kojom brzinom supstanca nestaje iz rastvora, nema načina da se dobije verodostojna površina ispod krive, te je u tom slučaju zapravo nemoguće dobiti smislenu srednju vrednost u funkciji vremena.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C.21. ZEMLJIŠNI MIKROORGANIZMI: ISPITIVANJE TRANSFORMACIJE AZOTA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216 (2000).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ispitivanja opisuje laboratorijsku metodu za procenu dugoročnih efekata hemikalija na proces mikrobiološke transformacije azota u zemljištu, pri jednokratnom izlaganju. Metoda se bazira na preporukama Evropske i Mediteranske Organizacije za zaštitu bilja</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Uzete su u obzir i smernice Nemačkog državnog instituta za biologiju</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Američke agencije za zaštitu životne sredine</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SETAC</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xml:space="preserve"> i Međunarodne organizacije za standardizaciju</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Na OECD radionici na temu izbora zemljišta/sedimenta</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postignut je dogovor o broju i tipu zemljišta za potrebe ovog ispitivanja. Preporuke za sakupljanje, rukovanje i skladištenje uzoraka zemljišta baziraju se na ISO standardu</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i preporukama sa radionice. U proceni i evaluaciji toksičnih svojstava ispitivane supstance, u nekim slučajevima je potrebno odrediti njihov uticaj na aktivnost zemljišnih mikroorganizama. Recimo kada su potrebni podaci o mogućem negativnom delovanju sredstava za zaštitu bilja na zemljišnu mikrofloru, ili kada se očekuje izloženost zemljišnih mikroorganizama drugim hemikalijama. Ispitivanje transformacije azota služi za procenu efekata takvih hemikalija na zemljišne mikroorganizme. Ako se ispituju agrohemikalije (sredstva za zaštitu bilja, đubriva, </w:t>
      </w:r>
      <w:r w:rsidRPr="00984859">
        <w:rPr>
          <w:rFonts w:ascii="Arial" w:eastAsia="Times New Roman" w:hAnsi="Arial" w:cs="Arial"/>
          <w:lang w:eastAsia="sr-Latn-RS"/>
        </w:rPr>
        <w:lastRenderedPageBreak/>
        <w:t>hemikalije u šumarstvu) izvodi se i ispitivanje transformacije ugljenika uporedo sa ispitivanjem transfromacije azota. Ako se ispituju hemikalije koje se ne koriste u poljoprivredne svrhe, ispitivanje transformacije azota je dovoljno. Ukoliko se vrednost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dobijena iz ispitivanja transformacije azota za date hemikalije nalazi u opsegu EC</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 xml:space="preserve">vrednosti koje su utvrđene za komercijalno dostupne inhibitore nitrifikacije (npr. nitrapirin), može se izvesti ispitivanje transformacije ugljenika da bi se dobilo više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se sastoji od žive i nežive komponente koje egzistiraju u kompleksnim i heterogenim smešama. Mikroorganizmi igraju važnu ulogu u razgradnji i transformaciji organske materije. U plodnim zemljištima, veliki broj vrsta mikroorganizama doprinosi različitim aspektima plodnosti zemljišta. Bilo kakav dugoročni uticaj na ove biohemijske procese može potencijalno uticati na procese kruženja nutrijenata, što može uticati na plodnost zemljišta. Transformacija ugljenika i azota odvija se u svim tipovima plodnih zemljišta. Iako se mikrobiološke zajednice razlikuju od zemljišta do zemljišta, putevi transformacije nutrijenata su u osnovi isti.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Ova metoda ispitivanja služi za procenu dugoročnih negativnih efekata supstanci na proces transformacije azota u aerobnim površinskim slojevima zemljišta. Metoda omogućava i procenu efekta supstance na transformaciju ugljenika od strane zemljišnih mikroorganizama. Obrazovanje nitrata se događa nakon prekidanja hemijske veze ugljenik-azot. Ako su zabeležene iste brzine obrazovanja nitrata u tretmanima i u kontroli, može se pretpostaviti da ne postoji negativan uticaj na glavne puteve razgradnje ugljenika. Supstrat za potrebe ispitivanja (hranivo od lucerke u prahu) ima povoljan odnos ugljenik/azot (obično između 12/1 i 16/1). Zahvaljujući tome, dovoljna količina ugljenika je na raspolaganju mikroorganizmima u toku ispitivanja, a ukoliko se ispolji negativno dejstvo hemikalija na mikrobnu zajednicu, mogu se oporaviti u periodu od 100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Ispitivanja na kojima se zasniva ova metoda primarno su bila osmišljena za supstance za koje se može proceniti u kojoj količini dospevaju u zemljište. To je npr. slučaj sa sredstvima za zaštitu bilja za koje je poznat režim primene. Kad je reč o agrohemikalijama dovoljno je ispitivanje dve doze koje odgovaraju očekivanom ili predviđenom režimu primene u polju. Agrohemikalije se mogu ispitivati kao aktivni sastojci ili kao formulacije. Ispitivanje nije ograničeno samo na agrohemikalije. Promenom količine ispitivane supstance primenjene na zemljište i načina na koji se podaci evaluiraju mogu se ispitivati i hemikalije za koje nije poznato u kojoj količini dospevaju do zemljišta. Za hemikalije koje nisu agrohemikalije, određuje se serija koncentracija i ispituje njihov efekat na transformaciju azota. Podaci iz ovih ispitivanja koriste se za dobijanje krive dozne zavisnosti i za procenu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gde je x unapred definisani procenat efekta.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Transformacija azota jeste potpuna mikrobiološka razgradnja organske materije koja sadrži azot, preko procesa stvaranja amonijaka i nitrita do obrazovanja nitrata.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Efektivna koncentracija (u daljem tekstu: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jeste koncentracija ispitivane supstance u zemljištu za koju se procenjuje inhibicija transformacije azota u nitrate za unapred definisan procenat x.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Srednja efektivna koncentracija (u daljem tekstu: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jeste koncentracija ispitivane supstance u zemljištu za koju se procenjuje 50% inhibicija transformacije azota u nitrate.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ovu metodu ispitivanja nisu propisane referentne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Prosejano zemljište obogaćuje se biljnim hranivom u prahu i zatim se tretira sa ispitivanom supstancom ili ostavi netretirano (kontrola). Ako se ispituju agrohemikalije, preporučuje se ispitivanje minimalno dve koncentracije ispitivane supstance i one da budu određene u odnosu na najveću koncentraciju očekivanu na njivama. Nakon 0, 7, 14 i 28 dana inkubacije, uzorci zemljišta za ispitivanu i kontrolnu grupu se ekstrahuju sa odgovarajućim rastvaračem i određuje se količina azota u ekstraktima. Brzina obrazovanja azota u ispitivanim grupama poredi se sa brzinom obrazovanja u kontrolnim grupama i izračunava se procenat odstupanja u odnosu na kontrolu. Sva ispitivanja traju najmanje 28 dana. Ako je 28. dana razlika između ispitivanih i kontrolnih grupa jednaka ili veća od 25%, ispitivanje se produžuje do maksimalno 100 dana. Ako se ispituju hemikalije koje nisu agrohemikalije, ispitivana supstanca se dodaje uzorcima zemljišta u seriji koncentracija i meri se količina obrazovanog azota u ispitivanim i kontrolnih grupama nakon 28 dana inkubacije. Rezultati ispitivanja sa više koncentracija ispitivane supstance analiziraju se regresionom analizom i izračunavaju se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(npr.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25</w:t>
      </w:r>
      <w:r w:rsidRPr="00984859">
        <w:rPr>
          <w:rFonts w:ascii="Arial" w:eastAsia="Times New Roman" w:hAnsi="Arial" w:cs="Arial"/>
          <w:lang w:eastAsia="sr-Latn-RS"/>
        </w:rPr>
        <w:t>, odnosno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VALIDNOST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Procene rezultata dobijenih ispitivanjem agrohemikalija baziraju se na relativno malim razlikama (npr. prosečna vrednost ± 25%) između koncentracija nitrata u ispitivanim i kontrolnih grupama, pa veliki procenat varijacije rezultata u kontrolnim grupama može dovesti do pogrešnih rezultata. Varijacije u kontroli da budu manje od ± 15%.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posude napravljene od hemijski inertnog materijala. Posude da budu odgovarajuće zapremine u skladu sa procedurom za inkubaciju zemljišta, npr. inkubacija jedinstvenog uzorka ili u seriji pojedinačnih uzoraka zemljišta (videti odeljak 1.7.1.2. ove metode). Treba preduzeti mere za smanjenje gubitka vode i obezbediti nesmetanu razmenu gasova u toku ispitivanja (npr. posude se mogu prekriti perforiranom polietilenskom folijom). Pri ispitivanju isparljivih supstanci koriste se posude koje se mogu hermetički zatvoriti. Zapremina posuda da bude četiri puta veća od zapremine samog uzorka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Pored standardne laboratorijske aparature koriste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mešalica (mehanički uređaj ili druga odgovarajuća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centrifuga (3.000 g) ili uređaj za filtraciju (filter papir bez nitrata);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uređaj za analizu nitrata odgovarajuće osetljivosti i ponovljivosti merenja.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Izbor i broj vrsta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jedna vrsta zemljišta. Preporučena svojstva zemljišta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peska ne manji od 50% i ne veći od 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vrednost 5,5 do 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organskog ugljenika 0,5% do 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najmanje 1% ukupnog sadržaja organskog ugljenika u zemljištu potiče iz mikrobiološke biomase</w:t>
      </w:r>
      <w:r w:rsidRPr="00984859">
        <w:rPr>
          <w:rFonts w:ascii="Arial" w:eastAsia="Times New Roman" w:hAnsi="Arial" w:cs="Arial"/>
          <w:b/>
          <w:bCs/>
          <w:sz w:val="15"/>
          <w:szCs w:val="15"/>
          <w:vertAlign w:val="superscript"/>
          <w:lang w:eastAsia="sr-Latn-RS"/>
        </w:rPr>
        <w:t xml:space="preserve">8,9 </w:t>
      </w:r>
      <w:r w:rsidRPr="00984859">
        <w:rPr>
          <w:rFonts w:ascii="Arial" w:eastAsia="Times New Roman" w:hAnsi="Arial" w:cs="Arial"/>
          <w:lang w:eastAsia="sr-Latn-RS"/>
        </w:rPr>
        <w:t xml:space="preserve">koju je potrebno izmeriti.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većini slučajeva ovakav sastav zemljišta odlikuju najlošija svojstva, s obzirom na to da je adsorpcija ispitivane supstance minimalna, a njena biodostupnost maksimalna. Prema tome, ispitivanja sa drugim tipovima zemljišta nisu neophodna. Ipak u određenim slučajevima, npr. kada se očekuje najviša primena ispitivane supstance na posebnim tipovima zemljišta poput kiselih šumskih zemljišta, ili su u pitanju hemikalije sa elektrostatičkim nabojem, postoji potreba za dodatnim ispitivanjem i drugih vrsta zemljišta.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Sakupljanje i skladištenje uzoraka zemljišta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Sakupljanje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raspolagati detaljnim podacima o lokalitetu sa kog su uzeti uzorci zemljišta za potrebe ispitivanja. Podaci uključuju tačnu lokaciju uzorkovanja, biljni pokrivač, datume primene sredstava za zaštitu bilja, tretmane sa organskim i neorganskim đubrivima, upotrebu bioloških materijala ili kontaminacije usled nesrećnog slučaja. Mesto izabrano za uzimanje uzoraka zemljišta omogućava dugotrajnu upotrebu. Pogodni lokaliteti za uzorkovanje su trajni pašnjaci, njive pod jednogodišnjim žitaricama (osim kukuruza), ili gusto zasejane, nađubrene površine. Izabrani lokalitet ne sme biti tretiran nikakvim organskim đubrivom najmanje šest meseci. Upotreba mineralnih đubriva je prihvatljiva samo u količini potrebnoj za normalan rast i razvoj bilja, a uzorci zemljišta se mogu uzimati najmanje tri meseca nakon primene đubriva. Treba izbegavati ispitivanje zemljišta tretiranog đubrivima sa poznatim biocidnim efektima, npr. kalcijum-cijanamidom.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Uzorkovanje izbegavati u toku ili neposredno nakon dugih perioda suše (dužih od 30 dana) ili zadržavanja vode. Za preorana zemljišta uzimati uzorke sa dubine od 0 cm do 20 cm. Za travnjake (pašnjake) ili druga zemljišta koja nisu duže vreme orana (najmanje jednu sezonu), maksimalna dubina uzorkovanja može biti nešto viša od 20 cm, npr. do 25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Uzorke zemljišta transportovati u odgovarajućim posudama i temperaturnim uslovima koji omogućavaju nepromenjivost svojstva zemljišta u toku transporta.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Skladištenje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Poželjno je ispitivati uzorke zemljišta neposredno nakon uzorkovanja. Ukoliko se uzorci ne mogu odmah ispitivati, skladište se u mraku na temperaturi od 4° C ± 2° C, maksimum tri meseca. U toku skladištenja obezbediti aerobne uslove. Ako se uzorci zemljišta uzimaju sa mesta gde je zemljište smrznuto najmanje tri meseca u toku godine, razmotriti skladištenje uzorka na temperaturi od - 18° C do - 22° C. Mikrobiološka biomasa skladištenih uzoraka zemljišta meri se pre početka svakog ispitivanja, a sadržaj ugljenika u biomasi je najmanje 1% ukupnog organskog ugljenika u zemljištu (videti odeljak 1.6.2.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Rukovanje i priprema uzoraka zemljišta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1.6.4.1. Predinkubacija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su uzorci zemljišta skladišteni (videti odeljak 1.6.3.2. ove metode), preporučuje se predinkubacija u trajanju od 2 do 28 dana. Temperatura i sadržaj vlage u uzorcima u toku predinkubacije da budu približni zahtevima ispitivanja (videti odeljak 1.6.4.2. i 1.7.1.3.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1.6.4.2.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Uzorci zemljišta se ručno čiste od velikih predmeta (npr. kamenje, delovi biljaka, itd) i mokro prosejavaju bez suvišnog sušenja na čestice veličine manje ili jednake od 2 mm. Sadržaj vlage u uzorku zemljišta podesiti destilovanom ili dejonizovanom vodom na vrednost između 40% i 60% maksimalnog kapaciteta zadržavanja vode.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1.6.4.3. Obogaćivanje organskim supstratom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obogatiti odgovarajućim organskim supstratom, npr. hranivom od lucerke u prahu (glavni sastojak: </w:t>
      </w:r>
      <w:r w:rsidRPr="00984859">
        <w:rPr>
          <w:rFonts w:ascii="Arial" w:eastAsia="Times New Roman" w:hAnsi="Arial" w:cs="Arial"/>
          <w:i/>
          <w:iCs/>
          <w:lang w:eastAsia="sr-Latn-RS"/>
        </w:rPr>
        <w:t>Medicago sativa</w:t>
      </w:r>
      <w:r w:rsidRPr="00984859">
        <w:rPr>
          <w:rFonts w:ascii="Arial" w:eastAsia="Times New Roman" w:hAnsi="Arial" w:cs="Arial"/>
          <w:lang w:eastAsia="sr-Latn-RS"/>
        </w:rPr>
        <w:t xml:space="preserve">) sa odnosom C/N između 12/1 i 16/1. Preporučen odnos lucerke i zemljišta je 5 g lucerke po kilogramu zemljišta (suve težine).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Priprema ispitivane supstance za ispitivanje na uzorcima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obično primenjuje uz upotrebu nosača. Nosač može biti voda (za supstance rastvorljive u vodi) ili inertni materijal poput finog kvarcnog peska (veličina čestica: 0,1 mm do 0,5 mm). Treba izbegavati upotrebu tečnih nosača, osim vode (npr. organski rastvarači kao aceton, hloroform) s obzirom na to da deluju negativno na mikrofloru. Ukoliko se koristi pesak kao nosač, može se prekriti sa ispitivanom supstancom rastvorenom ili suspendovanom u odgovarajući rastvarač. U takvim slučajevima, rastvarač ukloniti isparavanjem pre mešanja sa zemljištem. Za optimalnu distribuciju ispitivane supstance u zemljištu, preporučuje se odnos od 10 g peska po kilogramu zemljišta (suve težine). Kontrolni uzorci se tretiraju samo sa ekvivalentnom količinom vode, odnosno kvarcnog peska.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ispitivanja isparljivih supstanci izbegavati gubitke u toku ispitivanja i omogućiti njenu homogenu raspodelu u zemljištu (npr. ispitivanu supstancu injektirati u zemljište na nekoliko mesta).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1.6.6. Koncentracije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isputuju agrohemikalije, koristiti najmanje dve koncentracije ispitivane supstance. Niža koncentracija odgovara najmanje maksimalnoj količini ispitivane supstance za koju se očekuje da će dospeti do zemljišta u realnim uslovima, dok je viša koncentracija umnožak niže koncentracije. Koncentracije ispitivane supstance dodate uzorcima zemljišta izračunavaju se uz pretpostavku da je ona ravnomerno raspodeljena do dubine od 5 cm i da je gustina zemljišta 1,5. Za agrohemikalije koje se primenjuju direktno na zemljište, ili za hemikalije za koje se može predvideti količina koja dospeva do zemljišta, preporučene koncentracije za ispitivanje su maksimalna predvidljiva koncentracija u životnoj sredini (Predictable Environmental Concentration, u daljem tekstu: PEC) i koncentracije pet puta veće od vrednosti PEC. Supstance koje će biti primenjene na zemljište više puta u jednoj sezoni ispitivati u koncentracijama dobijenim množenjem vrednosti PEC sa maksimalnim brojem predviđenih primena. Ipak, viša koncentracija ne sme biti veća od desetostruke vrednosti najveće primenjene koncentracije po pojedinačnoj primeni. Ako se ispituju hemikalije koje nisu agrohemikalije. Koristi se geometrijska serija od najmanje pet koncentracija ispitivane supstance. Koncentracije ispitivane supstance pokrivaju opseg potreban za određivanje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IZVOĐENJE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Uslovi izloženost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1.7.1.1. Ispitivane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Ukoliko se ispituju agrohemikalije, zemljišta se deli u tri uzorka jednake težine. Dva uzorka se mešaju sa nosačem koji sadrži ispitivanu supstancu, a treći sa nosačem bez ispitivane supstance (kontrola). Preporučuju se minimalno tri ponavljanja za svaki uzorak, sa i bez ispitivane supstance. Ako se ispituju hemikalije koje nisu agrohemikalije, zemljište se deli u šest uzoraka jednake težine. Pet uzoraka se meša sa nosačem koji sadrži ispitivanu supstancu, a šesti sa nosačem bez ispitivane supstance. Preporučaju se tri ponavljanja po svakom uzorku, sa i bez ispitivane supstance. Treba omogućiti homogenu raspodelu supstance u ispitivanim uzorcima zemljišta. Tokom mešanja izbegavati presovanje ili gnječenje zemljišta.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1.7.1.2. Inkubacija uzoraka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Razlikuju se dva načina inkubacija uzoraka zemljišta zavisno od toga da li su u pitanju jedinstveni uzorci svakog ispitivanog i svakog kontrolnog uzorka zemljišta ili serije pojedinačnih poduzoraka jednake veličine za ispitivane i za kontrolne uzorke zemljišta. U slučaju isparljivih supstanci ispitivanje, ipak, izvesti samo sa serijama pojedinačnih poduzoraka. Kada se zemljište inkubira kao jedan jedinstveni uzorak, pripremaju se velike količine zemljišta za ispitivane i kontrolne grupe i po potrebi uzimaju se poduzorci i analiziraju. Količina inicijalno pripremljenih uzoraka za eksperimentalne i kontrolne grupe zavisi od veličine poduzoraka, broja ponavljanja i predviđenog maksimalnog broja uzorkovanja. Zemljišta inkubirana kao jedinstveni uzorak dobro promešati pre uzimanja poduzoraka. Kada se uzorci inkubiraju u seriji pojedinačnih poduzoraka zemljišta, osnovni uzorak za ispitivane i kontrolne uzorke deli se na traženi broj poduzoraka i oni se koriste po potrebi. U ispitivanjima gde se može očekivati više od dva uzorkovanja, obezbediti dovoljan broj poduzoraka koji može da bude dovoljan za sva ponavljanja i svako uzorkovanje. Treba uraditi najmanje tri ponavljanja po koncentraciji ispitivane supstance i inkubirati u aerobnim uslovima (videti odeljak 1.7.1.1. ove metode). Tokom svih ispitivanja, koristiti adekvatne posude koje onemogućavaju razvijanje anaerobnih uslova. U slučaju isparljivih supstanci, ispitivanje se izvodi samo sa serijom pojedinačnih poduzoraka.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1.7.1.3. Uslovi i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vrši u mraku na temperaturi 20° C ± 2° C. Sadržaj vlage u uzorcima zemljišta održavati između 40% i 60% maksimalnog kapaciteta zadržavanja vode u zemljištu (videti odeljak 1.6.4.2. ove metode) sa odstupanjima od ± 5%. Po potrebi, može se dodavati destilovana, dejonizovana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Minimalno trajanje ispitivanja je 28 dana. Ako se ispituju agrohemikalije, upoređuju se brzine stvaranja nitrata u ispitivanim grupama u odnosu na kontrolu. Ako se 28. dana ove vrednosti razlikuju za više od 25% ispitivanje se nastavlja dok se ne postigne razlika ≤ 25% ili maksimalno do 100 dana, zavisno koji uslov se pre ispuni. Ako se ispituju hemikalije koje nisu agrohemikalije, ispitivanje se prekida nakon 28 dana. Tada se određuju količine nitrata u ispitivanim i kontrolnim uzorcima zemljišta i izračunava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Uzorkovanje i analiza zemljišta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1.7.2.1. Šema uzorkovanja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ispituju agrohemikalije, određuje se sadržaj nitrata u uzorcima zemljišta na početku ispitivanja, 7, 14. i 28. dana. Ako je potrebno produžiti ispitivanje, obaviti dodatna merenja svakih 14 dana nakon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ispituju supstance koje nisu agrohemikalije, ispituje se najmanje pet koncentracija ispitivane supstance i sadržaj nitrata se određuje u uzorcima zemljišta na početku (dan 0) i </w:t>
      </w:r>
      <w:r w:rsidRPr="00984859">
        <w:rPr>
          <w:rFonts w:ascii="Arial" w:eastAsia="Times New Roman" w:hAnsi="Arial" w:cs="Arial"/>
          <w:lang w:eastAsia="sr-Latn-RS"/>
        </w:rPr>
        <w:lastRenderedPageBreak/>
        <w:t>na kraju perioda izlaganja (28. dan). Ukoliko se pokaže potrebnim dodatno merenje se može obaviti sredinom tog perioda, npr. sedmog dana. Podaci dobijeni 28. dana koriste se u određivanju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za datu hemikaliju. Podaci dobijeni iz kontrolnih uzoraka na početku ispitivanja mogu se koristiti i u procenjivanju sadržaja nitrata u zemljištu.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1.7.2.2. Analiza uzoraka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Količina obrazovanog azota u svakom ponavljanju za uzorke zemljišta ispitivane i kontrolne grupe određuje se pri svakom vremenu uzorkovanja. Nitrati se ekstrahuju iz zemljišta mešanjem uzoraka sa odgovarajućim ekstrakcionim sredstvima, npr. 0,1 M rastvor kalijum hlorida. Preporučuje se odnos od 5 ml rastvora KCl po gramu suve težine ekvivalenta zemljišta. Da bi ekstrakcija bila optimalna, posude sa zemljištem i ekstrakcionim sredstvom ne treba da budu napunjene više od polovine. Smeše se mešaju na 150 rpm 60 minuta. Smeše se centrifugiraju ili filtriraju i u supernatantu se određuje sadržaj nitrata. Supernatant se može pre analize čuvati do šest meseci na -20° C ± 5° 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ispituju agrohemikalije, beleži se količina obrazovanog azota u svakom poduzorku zemljišta, a srednje vrednosti svih poduzoraka za kontrolnu i ispitivanu grupu prikazati tabelarno. Brzina transformacije azota određuje se odgovarajućim i opšte prihvatljivim statističkim metodama (F-test, nivo značaja 5%). Količina obrazovanog azota izražava se u mg azota/kg suve težine zemljišta/dan. Brzina stvaranja azota u svakoj ispitivanoj grupi poredi se sa kontrolnom grupom i računa se procenat odstupanja od kontrole.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ispituju hemikalije koje nisu agrohemikalije, određuju se količine obrazovanog azota u svakom poduzorku i pravi se kriva dozne zavisnosti za procenu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Količine azota (npr. mg azota/kg suve težine zemljišta) u ispitivanim grupama nakon 28 dana porede se sa količinom azota nastalom u kontroli. Iz tih podataka se računa procenat inhibicije za svaku koncentraciju ispitivane supstance. Vrednosti procenata inhibicije prikazuju se grafički u funkciji koncentracija ispitivane supstance, a za određivanje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koriste se statističke procedure. Intervali poverenja (p = 0,95) za izračunate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određuju se i putem standardnih procedura</w:t>
      </w:r>
      <w:r w:rsidRPr="00984859">
        <w:rPr>
          <w:rFonts w:ascii="Arial" w:eastAsia="Times New Roman" w:hAnsi="Arial" w:cs="Arial"/>
          <w:b/>
          <w:bCs/>
          <w:sz w:val="15"/>
          <w:szCs w:val="15"/>
          <w:vertAlign w:val="superscript"/>
          <w:lang w:eastAsia="sr-Latn-RS"/>
        </w:rPr>
        <w:t>10,11,12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Supstance koje sadrže visoke količine azota doprinose količini azota koja nastaje u toku ispitivanja. Ako se te supstance ispituju u višoj koncentraciji (hemikalije za koje se očekuje da će se primenjivati u više navrata), u ispitivanje uključiti odgovarajuće kontrole (npr. zemljište sa ispitivanom supstancom, ali bez biljnog hraniva). Podatke iz tih kontrola uzeti u obzir pri računanju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Kada se procenjuju rezultati ispitivanja sa agrohemikalijama i kad je razlika u brzini stvaranja azota između prve ispitivane grupe u seriji (maksimalna predviđena koncentracija) i kontrole ≤ 25% u bilo kojem vremenu uzorkovanja nakon 28. dana, za date hemikalije se može oceniti da nemaju dugoročni uticaj na transformaciju azota u zemljištu. Kada se procenjuju rezultati dobijeni ispitivanjem supstanci koje nisu agrohemikalije, koriste se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25</w:t>
      </w:r>
      <w:r w:rsidRPr="00984859">
        <w:rPr>
          <w:rFonts w:ascii="Arial" w:eastAsia="Times New Roman" w:hAnsi="Arial" w:cs="Arial"/>
          <w:lang w:eastAsia="sr-Latn-RS"/>
        </w:rPr>
        <w:t>, odnosno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vrednosti.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 potpunu identifikaciju korišćenog zemljišta, uključujući: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geografske odrednice mesta (geografska širina i dužina);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istoriji mesta (npr. biljni pokrivač, tretmani sredstvima za zaštitu bilja, tretmani đubrivima, akcedentne kontaminacije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upotreba zemljišta (npr. poljoprivredno zemljište, šuma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dubina uzorkovanja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peska/mulja/gline (% suve težine);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vrednosti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organskog ugljenika (% suve težine);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azota (% suve težine);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početna koncentracija azota (mg azota/kg suve težine);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jonsko izmenjivački kapacitet (mmol/kg);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početna biomasa mikroorganizama u procentima u odnosu na ukupan organski ugljenik;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reference svih metoda korišćenih za određivanje svakog parametra;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 podaci u vezi sa sakupljanjem i skladištenjem uzoraka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predinkubaciji, ako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podatke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i gde je bitno,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za hemijsku identifikaciju, gde je bitno, uključujući strukturnu formulu, stepen čistoće (npr. za sredstva za zaštitu bilja, procenat aktivnog sastojka), sadržaj azota.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podatke o supstratu: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poreklo supstrata;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sastav (npr. hraniva sa lucerkom);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ugljenika, azota (% suve težine);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veličina sita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podatke o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načina obogaćivanja zemljišta organskim supstratom;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broj koncentracija ispitivane supstance i gde je prikladno, opravdanje za izbor datih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uvođenja ispitivane supstance u zemljište;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vlage u zemljištu na početku i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korišćena metoda inkubacije zemljišta (npr. kao jedinstveni uzorak ili kao serija pojedinačnih poduzoraka);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ponavljanja;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metoda korišćena za ekstrakciju azota iz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podatke o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procedure i oprema za analitičko određivanje azota;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podaci uključujući pojedinačne i srednje vrednosti za merenje azota;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varijansa u kontrolnim i eksperimentalnim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objašnjene korekcija u izračunavanju, ukoliko je bitno;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procenat razlike brzine stvaranja azota pri svakom vremenu uzorkovanja, ili, ako je prikladno, EC</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sa 95% intervalima poverenja, druge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(npr. EC</w:t>
      </w:r>
      <w:r w:rsidRPr="00984859">
        <w:rPr>
          <w:rFonts w:ascii="Arial" w:eastAsia="Times New Roman" w:hAnsi="Arial" w:cs="Arial"/>
          <w:sz w:val="15"/>
          <w:szCs w:val="15"/>
          <w:vertAlign w:val="subscript"/>
          <w:lang w:eastAsia="sr-Latn-RS"/>
        </w:rPr>
        <w:t>25</w:t>
      </w:r>
      <w:r w:rsidRPr="00984859">
        <w:rPr>
          <w:rFonts w:ascii="Arial" w:eastAsia="Times New Roman" w:hAnsi="Arial" w:cs="Arial"/>
          <w:lang w:eastAsia="sr-Latn-RS"/>
        </w:rPr>
        <w:t xml:space="preserve"> ili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sa intervalima pouzdanosti i grafik krive dozne zavisnosti;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statistička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dodatne podatke i opažanja potrebne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EPPO, (1994) Decision-Making Scheme for the Environmental Risk Assessment of Plant ProtectionChemicals. Chapter 7: Soil Microflora. EPPO Bulletin 24: 1-16, 1994.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BBA, (1990) Effects on the Activity of the Soil Microflora. BBA Guidelines for the Official Testing of PlantProtection Products, VI, 1-1 (2nd eds., 1990).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EPA (1987) Soil Microbial Community Toxicity Test. EPA 40 CFR Part 797.3700. Toxic SubstancesControl Act Test Guidelines; Proposed rule. September 28, 1987.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SETAC-Europe, (1995) Procedures for assessing the environmental fate and ecotoxicity of pesticides, Ed.M.R. Lynch, Pub. SETAC-Europe, Brussels.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ISO/DIS 14238 (1995) Soil Quality - Determination of Nitrogen Mineralisation and Nitrification inSoils and the Influence of Chemicals on these Processes. Technical Committee ISO/TC 190/SC 4: SoilQuality - Biological Methods.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6. OECD, (1995) Final Report of the OECD Workshop on Selection of Soils/Sediments, Belgirate, Italy, 18-20 January 1995.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ISO 10381-6 (1993) Soil quality - Sampling. Guidance on the collection, handling and storage of soilfor the assessment of aerobic microbial processes in the laboratory.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ISO 14240-1, (1997) Soil quality - Determination of soil microbial biomass - Part 1: Substrateinducedrespiration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ISO 14240-2, (1997) Soil quality - Determination of soil microbial biomass - Part 2: Fumigationextractionmethod.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Litchfield, J.T. and Wilcoxon F., (1949) A simplified method of evaluating dose-effect experiments. Jour.Pharmacol. and Exper. Ther., 96, p. 99-113.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Finney, D.J., (1971) Probit Analysis. 3rd ed., Cambridge, London and New-York.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Finney, D.J., (1978) Statistical Methods in biological Assay. Griffin, Weycombe, UK.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C.22. ZEMLJIŠNI MIKROORGANIZMI: ISPITIVANJE TRANSFORMACIJE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217 (2000).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ispitivanja opisuje laboratorijski postupak za procenu dugoročnih potencijalnih efekata sredstava za zaštitu bilja i, ako je moguće, drugih hemikalija na aktivnost transformacije ugljenika od strane zemljišnih mikroorganizama pri jednokratnom izlaganju. Metoda se bazira na preporukama Evropske i Mediteranske Organizacije za zaštitu bilja (European and Mediterranean Plant Protection Organization)</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Uzete su u obzir i druge smernice, uključujući smernice Nemačkog državnog instituta za biologiju (Biologische Bundesanstalt)</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Američke agencije za zaštitu životne sredine (US Environmental Protection Agency)</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i SETAC</w:t>
      </w:r>
      <w:r w:rsidRPr="00984859">
        <w:rPr>
          <w:rFonts w:ascii="Arial" w:eastAsia="Times New Roman" w:hAnsi="Arial" w:cs="Arial"/>
          <w:b/>
          <w:bCs/>
          <w:sz w:val="15"/>
          <w:szCs w:val="15"/>
          <w:vertAlign w:val="superscript"/>
          <w:lang w:eastAsia="sr-Latn-RS"/>
        </w:rPr>
        <w:t>4</w:t>
      </w:r>
      <w:r w:rsidRPr="00984859">
        <w:rPr>
          <w:rFonts w:ascii="Arial" w:eastAsia="Times New Roman" w:hAnsi="Arial" w:cs="Arial"/>
          <w:lang w:eastAsia="sr-Latn-RS"/>
        </w:rPr>
        <w:t>. Na OECD radionici na temu izbora zemljišta/sedimenta</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postignut je dogovor o broju i tipu zemljišta za potrebe ovog ispitivanja. Preporuke za sakupljanje, rukovanje i skladištenje uzoraka zemljišta temelje se na ISO standardu</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i preporukama radionice.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proceni i evaluaciji toksičnih efekata ispitivane supstance, utvrđivanje efekta na aktivnost zemljišnih mikroorganizama može biti neophodno, npr. kada se traže podaci o mogućem negativnom delovanju sredstava za zaštitu bilja na zemljišnu mikrofloru ili kada se očekuje izloženost zemljišnih mikroorganizama drugim hemikalijama koje ne spadaju u sredstva za zaštitu bilja. Ispitivanje transformacije ugljenika izvodi se u cilju procene efekta hemikalija na zemljišnu mikrofloru. Ako se ispituju agrohemikalije (npr. sredstva za zaštitu bilja, đubriva, hemikalije u šumarstvu), izvodi se i ispitivanje transformacije ugljenika i transformacije azota. Ako se ispituju druge hemikalije, ispitivanje transformacije azota je dovoljno. Ukoliko se vrednost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dobijena iz ispitivanja transformacije azota za date hemikalije nalazi u opsegu EC</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 xml:space="preserve">vrednosti koje su utvrđene za komercijalno dostupne inhibitore nitrifikacije (npr. nitrapyrin), može se izvesti ispitivanje transformacije ugljenika da bi se dobilo više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se sastoji od žive i nežive komponente koje egzistiraju u kompleksnim i heterogenim smešama. Mikroorganizmi igraju važnu ulogu u razgradnji i transformaciji organske materije. U plodnim zemljištima sa velikim brojem vrsta, mikroorganizmi doprinose različitim aspektima plodnosti zemljišta. Bilo kakav dugoročni uticaj na biohemijske procese može potencijalno odraziti na procese kruženja nutrijenata, a ovo opet na plodnost zemljišta. </w:t>
      </w:r>
      <w:r w:rsidRPr="00984859">
        <w:rPr>
          <w:rFonts w:ascii="Arial" w:eastAsia="Times New Roman" w:hAnsi="Arial" w:cs="Arial"/>
          <w:lang w:eastAsia="sr-Latn-RS"/>
        </w:rPr>
        <w:lastRenderedPageBreak/>
        <w:t xml:space="preserve">Transformacija ugljenika i azota odvija se u svim tipovima plodnih zemljišta. Iako se mikrobiološke zajednice razlikuju od zemljišta do zemljišta, putevi transformacije nutrijenata su u osnovi isti.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ispitivanja služi za procenu dugoročnih negativnih efekata supstanci na proces transformacije ugljenika u aerobnim površinskim slojevima zemljišta. Metoda je dovoljno osetljiva da detektuje promene u veličini i aktivnosti mikrobnih zajednica koje su odgovorne za transformaciju ugljenika s obzirom na to da su ovim ispitivanjem te zajednice izložene stresu usled izlaganja hemikalijama i stresu zbog smanjene količine ugljenika. Za potrebe ispitivanja koristi se peskovito zemljište sa niskim sadržajem organske materije. Zemljište se tretira sa ispitivanom supstancom i inkubira u uslovima koji omogućavaju brz mikrobiološki metabolizam. U ovakvim uslovima izvori raspoloživog ugljenika u zemljištu brzo se iscrpljuju. Smanjenje količine raspoloživog ugljenika na kraju dovodi do nestanka mikroorganizama ili nastupa faza dormancije, odnosno sporulacije. Ako ispitivanje traje više od 28 dana, posledice ovih reakcija mogu se meriti u kontroli (netretirano zemljište) kao progresivan gubitak metabolički aktivne mikrobiološke biomase</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Ako na biomasu mikroorganizama sa smanjenom količinom raspoloživog ugljenika u zemljištu, u uslovima definisanim za ovu metodu, deluje ispitivana supstanca, oporavak možda nije moguć. U većini slučajeva negativni uticaji uzrokovani ispitivanom supstancom u bilo kom momentu ispitivanja, traju do kraja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Ispitivanja na kojima se zasniva ova metoda primarno su bila osmišljena za supstance za koje se može proceniti u kojoj količini mogu dospeti u zemljište. To je slučaj kod sredstava za zaštitu bilja sa poznatim režimom primene. Za agrohemikalije, dovoljno je ispitivanje dve doze koje odgovaraju očekivanom ili predviđenom režimu primene u polju. Agrohemikalije se mogu ispitivati kao aktivni sastojci ili kao formulacije. Ispitivanje nije ograničeno samo na hemikalije za koje se mogu predvideti njihove koncentracije u životnoj sredini. Promenom količine ispitivane supstance primenjene na zemljište i načina na koji se podaci procenjuju, ispitivanje se može koristiti i za hemikalije za koje se ne zna u kojoj količini dospevaju do zemljišta. Za hemikalije koje nisu agrohemikalije, određuje se serija koncentracija i ispituje njihov efekat na transformaciju ugljenika. Podaci iz ovih ispitivanja koriste se za dobijanje krive dozne zavisnosti i za procenu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gde je x unapred definisan procenat efekta.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Transformacija ugljenika jeste mikrobiološka razgradnja organske materije u ugljen-dioksid.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Efektivna koncentracija (u daljem tekstu: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jeste koncentracija ispitivane supstance u zemljištu za koju se procenjuje inhibicija transformacije ugljenika u ugljen-dioksid za unapred definisan procenat inhibicije x.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Srednja efektivna koncentracija (u daljem tekstu: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jeste koncentracija ispitivane supstance u zemljištu za koju se procenjuje 50% inhibicija transformacije ugljenika u ugljen-dioksid.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ovu metodu ispitivanja nisu određene referentne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Prosejano zemljište se tretira ispitivanom supstancom ili se ostavi netretirano (kontrola). Ako se ispituju agrohemikalije, preporučuje se ispitivanje najmanje dve koncentracije ispitivane </w:t>
      </w:r>
      <w:r w:rsidRPr="00984859">
        <w:rPr>
          <w:rFonts w:ascii="Arial" w:eastAsia="Times New Roman" w:hAnsi="Arial" w:cs="Arial"/>
          <w:lang w:eastAsia="sr-Latn-RS"/>
        </w:rPr>
        <w:lastRenderedPageBreak/>
        <w:t xml:space="preserve">supstance i one treba da budu određene u odnosu na najveću koncentraciju koja će se primeniti. Nakon 0, 7, 14 i 28 dana inkubacije, uzorci zemljišta ispitivane i kontrolne grupu mešaju se sa glukozom i meri se brzina glukozom indukovane respiracije za narednih 12 sati. Brzina respiracije izražava se kao oslobođeni ugljen-dioksid (mg ugljen-dioksida/ kg suvog zemljišta/h) ili kao utrošeni kiseonik (mg kiseonika/kg zemljišta/h). Srednja vrednost brzine respiracije u ispitivanim grupama poredi se sa brzinom u kontrolnim grupama i izračunava se procenat smanjenja u odnosu na kontrolu. Sva ispitivanja se izvode u trajanju najmanje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su 28. dana razlike u brzini respiracije između ispitivanih i kontrolnih grupa ≥ 25%, merenja se nastavljaju na svakih 14 dana u trajanju najviše do 100 dana. Ako su u pitanju supstance koje nisu agrohemikalije, ispituju se i dodatne koncentracije te supstance (ne samo dve) i meri se glukozom indukovana brzina respiracije (npr. srednja vrednost oslobođenog ugljen-dioksida ili utrošenog kiseonika) nakon 28 dana. Rezultati ispitivanja serije koncentracija analiziraju se korišćenjem regresionih modela i izračunavaju se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(npr.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25</w:t>
      </w:r>
      <w:r w:rsidRPr="00984859">
        <w:rPr>
          <w:rFonts w:ascii="Arial" w:eastAsia="Times New Roman" w:hAnsi="Arial" w:cs="Arial"/>
          <w:lang w:eastAsia="sr-Latn-RS"/>
        </w:rPr>
        <w:t>,odnosno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VALIDNOST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Procene rezultata dobijenih ispitivanjem agrohemikalija baziraju se na relativno malim razlikama (prosečna vrednost ± 25%) između oslobođenog ugljen-dioksida ili utrošenog kiseonika u ispitivanim i kontrolnim grupama, pa veliki procenat varijacije u kontrolnim grupama može uzrokovati pogrešan rezultat. Varijansa u kontroli je manja od ± 15%.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posude napravljene od hemijski inertnog materijala. Posude da budu odgovarajuće zapremine u skladu sa postupkom za inkubaciju zemljišta, npr. inkubacija jedinstvenog uzorka ili u seriji pojedinačnih poduzoraka zemljišta (videti odeljak 1.7.1.2. ove metode). Preduzeti mere za smanjenje gubitka vode i obezbediti nesmetanu razmenu gasove u toku ispitivanja (posude se mogu prekriti perforiranom polietilenskom folijom). Kada se ispituju isparljive supstance, koristiti zatvorene posude koje se mogu hermetički zatvoriti. Zapremina posuda da bude četiri puta veća od zapremine samog uzorka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određivanje glukozom indukovane respiracije, potrebni su sistemi za inkubaciju i instrumenti za merenje produkcije ugljen-dioksida ili potrošnje kiseonika. Primeri takvih sistema i instrumenata su u literaturi</w:t>
      </w:r>
      <w:r w:rsidRPr="00984859">
        <w:rPr>
          <w:rFonts w:ascii="Arial" w:eastAsia="Times New Roman" w:hAnsi="Arial" w:cs="Arial"/>
          <w:b/>
          <w:bCs/>
          <w:sz w:val="15"/>
          <w:szCs w:val="15"/>
          <w:vertAlign w:val="superscript"/>
          <w:lang w:eastAsia="sr-Latn-RS"/>
        </w:rPr>
        <w:t>8,9,10,11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1.6.2. Izbor i broj vrsta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Koristi se jedna vrsta zemljišta. Preporučena svojstva zemljišta 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peska ne manji od 50% i ne veći od 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vrednost 5,5 do 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organskog ugljenika 0,5% do 1,5%;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najmanje 1% ukupnog sadržaja organskog ugljenika u zemljištu potiče iz mikrobiološke biomase</w:t>
      </w:r>
      <w:r w:rsidRPr="00984859">
        <w:rPr>
          <w:rFonts w:ascii="Arial" w:eastAsia="Times New Roman" w:hAnsi="Arial" w:cs="Arial"/>
          <w:b/>
          <w:bCs/>
          <w:sz w:val="15"/>
          <w:szCs w:val="15"/>
          <w:vertAlign w:val="superscript"/>
          <w:lang w:eastAsia="sr-Latn-RS"/>
        </w:rPr>
        <w:t xml:space="preserve">8,9 </w:t>
      </w:r>
      <w:r w:rsidRPr="00984859">
        <w:rPr>
          <w:rFonts w:ascii="Arial" w:eastAsia="Times New Roman" w:hAnsi="Arial" w:cs="Arial"/>
          <w:lang w:eastAsia="sr-Latn-RS"/>
        </w:rPr>
        <w:t xml:space="preserve">koju je potrebno izmeriti.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većini slučajeva ovakav sastav zemljišta odlikuju najlošija svojstva, s obzirom na to da je adsorpcija ispitivane supstance minimalna, a njena biodostupnost maksimalna. Prema tome, ispitivanja sa drugim tipovima zemljišta nisu neophodna. Ipak u određenim slučajevima, npr. kada se očekuje najviša primena ispitivane supstance na posebnim tipovima zemljišta poput kiselih šumskih zemljišta, ili su u pitanju hemikalije sa elektrostatičkim nabojem, postoji potreba za dodatnim ispitivanjem i drugih vrsta zemljišta.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1.6.3. Sakupljanje i skladištenje uzoraka zemljišta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1.6.3.1. Sakupljanje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raspolagati detaljnim podacima o lokalitetu sa kog su uzeti uzorci zemljišta za potrebe ispitivanja. Podaci uključuju tačnu lokaciju uzorkovanja, biljni pokrivač, datume primene sredstava za zaštitu bilja, tretmane sa organskim i neorganskim đubrivima, upotrebu bioloških materijala ili kontaminacije usled nesrećnog slučaja. Mesto izabrano za uzimanje uzoraka zemljišta neophodno je da omogući dugotrajnu upotrebu. Pogodni lokaliteti za uzorkovanje su trajni pašnjaci, njive pod jednogodišnjim žitaricama (osim kukuruza), ili gusto zasejane, nađubrene površine. Izabrani lokalitet ne sme biti tretiran nikakvim organskim đubrivom najmanje šest meseci. Upotreba mineralnih đubriva je prihvatljiva samo u količini potrebnoj za normalan rast i razvoj bilja, a uzorci zemljišta se mogu uzimati najmanje tri meseca nakon primene đubriva. Treba izbegavati ispitivanje zemljišta tretiranog đubrivima sa poznatim biocidnim efektima, npr. kalcijum-cijanamidom.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Uzorkovanje izbegavati u toku ili neposredno nakon dugih perioda suše (dužih od 30 dana), ili zadržavanja vode. Za preorana zemljišta uzimati uzorke sa dubine od 0 cm do 20 cm. Za travnjake (pašnjake) ili druga zemljišta koja nisu duže vreme orana (najmanje jednu sezonu), maksimalna dubina uzorkovanja može biti nešto viša od 20 cm, npr. do 25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Uzorke zemljišta transportovati u odgovarajućim posudama i temperaturnim uslovima koji omogućavaju nepromenjivost svojstva zemljišta u toku transporta.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1.6.3.2. Skladištenje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Poželjno je ispitivati uzorke zemljišta neposredno nakon uzorkovanja. Ukoliko se uzorci ne mogu odmah ispitivati, skladište se u mraku na temperaturi od 4° C ± 2° C, maksimum tri meseca. U toku skladištenja obezbediti aerobne uslove. Ako se uzorci zemljišta uzimaju sa mesta gde je zemljište smrznuto najmanje tri meseca u toku godine, razmotriti skladištenje uzorka na temperaturi od - 18°C. Mikrobiološka biomasa skladištenih uzoraka zemljišta meri se pre početka svakog ispitivanja, a sadržaj ugljenika u biomasi je najmanje 1% ukupnog organskog ugljenika u zemljištu (videti odeljak 1.6.2.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1.6.4. Rukovanje i priprema uzoraka zemljišta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1.6.4.1. Predinkubacija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su uzorci zemljišta skladišteni (videti odeljak 1.6.3.2. ove metode), preporučuje se predinkubacija u trajanju od 2 do 28 dana. Temperatura i sadržaj vlage u uzorcima u toku predinkubacije da budu približni zahtevima ispitivanja (videti odeljak 1.6.4.2. i 1.7.1.3.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1.6.4.2.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Uzorci zemljišta se ručno čiste od velikih predmeta (npr. kamenje, delovi biljaka, itd) i mokro prosejavaju bez suvišnog sušenja na čestice veličine manje ili jednake od 2 mm. Sadržaj </w:t>
      </w:r>
      <w:r w:rsidRPr="00984859">
        <w:rPr>
          <w:rFonts w:ascii="Arial" w:eastAsia="Times New Roman" w:hAnsi="Arial" w:cs="Arial"/>
          <w:lang w:eastAsia="sr-Latn-RS"/>
        </w:rPr>
        <w:lastRenderedPageBreak/>
        <w:t xml:space="preserve">vlage u uzorku zemljišta podesiti destilovanom ili dejonizovanom vodom na vrednost između 40% i 60% maksimalnog kapaciteta zadržavanja vode.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1.6.5. Priprema ispitivane supstance za ispitivanje na uzorcima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se obično primenjuje uz upotrebu nosača. Nosač može biti voda (za supstance rastvorljive u vodi) ili inertni materijal poput finog kvarcnog peska (veličina čestica: 0,1 mm do 0,5 mm). Treba izbegavati upotrebu tečnih nosača, osim vode (npr. organski rastvarači kao aceton, hloroform) s obzirom na to da deluju negativno na mikrofloru. Ukoliko se koristi pesak kao nosač, može se prekriti sa ispitivanom supstancom rastvorenom ili suspendovanom u odgovarajući rastvarač. U takvim slučajevima, rastvarač ukloniti isparavanjem pre mešanja sa zemljištem. Za optimalnu distribuciju ispitivane supstance u zemljištu, preporučuje se odnos od 10 g peska po kilogramu zemljišta (suve težine). Kontrolni uzorci se tretiraju samo sa ekvivalentnom količinom vode, odnosno kvarcnog peska.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ispitivanja isparljivih supstanci izbegavati gubitke u toku ispitivanja i omogućiti njenu homogenu raspodelu u zemljištu (npr. ispitivanu supstancu injektirati u zemljište na nekoliko mesta).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1.6.6. Koncentracije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ispituju sredstva za zaštitu bilja ili druge hemikalije sa predvidljivim koncentracijama u životnoj sredini koristiti najmanje dve koncentracije ispitivane supstance. Niža koncentracija odgovara najmanje maksimalnoj količini ispitivane supstance za koju se očekuje da će dospeti do zemljišta u realnim uslovima, dok je viša koncentracija umnožak niže koncentracije. Koncentracije ispitivane supstance dodate uzorcima zemljišta izračunavaju se uz pretpostavku da je ona ravnomerno raspodeljena do dubine od 5 cm i da je gustina zemljišta 1,5. Za agrohemikalije koje se primenjuju direktno na zemljište, ili za hemikalije za koje se može predvideti količina koja dospeva do zemljišta, preporučene koncentracije za ispitivanje su PEC i koncentracije pet puta veće od vrednosti PEC. Supstance koje će biti primenjene na zemljište više puta u jednoj sezoni ispitivati u koncentracijama dobijenim množenjem vrednosti PEC sa maksimalnim brojem predviđenih primena. Ipak, viša koncentracija ne sme biti veća od desetostruke vrednosti najveće primenjene koncentracije po pojedinačnoj primeni.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ispituju hemikalije koje nisu agrohemikalije. Koristi se geometrijska serija od najmanje pet koncentracija ispitivane supstance. Koncentracije ispitivane supstance pokrivaju opseg potreban za određivanje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IZVOĐENJE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Uslovi izloženosti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1.7.1.1. Ispitivanje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ispituju agrohemikalije, zemljišta se deli u tri uzorka jednake težine. Dva uzorka se mešaju sa nosačem koji sadrži ispitivanu supstancu, a treći sa nosačem bez ispitivane supstance (kontrola). Preporučuju se minimalno tri ponavljanja za svaki uzorak, sa i bez ispitivane supstance. Ako se ispituju hemikalije koje nisu agrohemikalije, zemljište se deli u šest uzoraka jednake težine. Pet uzoraka se meša sa nosačem koji sadrži ispitivanu supstancu, a šesti sa nosačem bez ispitivane supstance. Preporučaju se tri ponavljanja po svakom uzorku, sa i bez ispitivane supstance. Treba omogućiti homogenu raspodelu </w:t>
      </w:r>
      <w:r w:rsidRPr="00984859">
        <w:rPr>
          <w:rFonts w:ascii="Arial" w:eastAsia="Times New Roman" w:hAnsi="Arial" w:cs="Arial"/>
          <w:lang w:eastAsia="sr-Latn-RS"/>
        </w:rPr>
        <w:lastRenderedPageBreak/>
        <w:t xml:space="preserve">supstance u ispitivanim uzorcima zemljišta. Tokom mešanja izbegavati presovanje ili gnječenje zemljišta.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1.7.1.2. Inkubacija uzoraka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Razlikuju se dva načina inkubacija uzoraka zemljišta zavisno od toga da li su u pitanju jedinstveni uzorci svakog ispitivanog i svakog kontrolnog uzorka zemljišta ili serije pojedinačnih poduzoraka jednake veličine za ispitivane i za kontrolne uzorke zemljišta. U slučaju isparljivih supstanci ispitivanje, ipak, izvesti samo sa serijama pojedinačnih poduzoraka. Kada se zemljište inkubira kao jedan jedinstveni uzorak, pripremaju se velike količine zemljišta za ispitivane i kontrolne grupe i po potrebi uzimaju se poduzorci i analiziraju. Količina inicijalno pripremljenih uzoraka za eksperimentalne i kontrolne grupe zavisi od veličine poduzoraka, broja ponavljanja i predviđenog maksimalnog broja uzorkovanja. Zemljišta inkubirana kao jedinstveni uzorak dobro promešati pre uzimanja poduzoraka. Kada se uzorci inkubiraju u seriji pojedinačnih poduzoraka zemljišta, osnovni uzorak za ispitivane i kontrolne uzorke deli se na traženi broj poduzoraka i oni se koriste po potrebi. U ispitivanjima gde se može očekivati više od dva uzorkovanja, obezbediti dovoljan broj poduzoraka koji može da bude dovoljan za sva ponavljanja i svako uzorkovanje. Treba uraditi najmanje tri ponavljanja po koncentraciji ispitivane supstance i inkubirati u aerobnim uslovima (videti odeljak 1.7.1.1. ove metode). Tokom svih ispitivanja, koristiti adekvatne posude koje onemogućavaju razvijanje anaerobnih uslova. U slučaju isparljivih supstanci, ispitivanje se izvodi samo sa serijom pojedinačnih poduzoraka.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1.7.1.3. Uslovi i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vrši u mraku na temperaturi 20° C ± 2° C. Sadržaj vlage u uzorcima zemljišta održavati između 40% i 60% maksimalnog kapaciteta zadržavanja vode u zemljištu (videti odeljak 1.6.4.2. ove metode) sa odstupanjima od ± 5%. Po potrebi, može se dodavati destilovana, dejonizovana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Minimalno trajanje ispitivanja je 28 dana. Ako se ispituju agrohemikalije, porede se količine nastalog ugljen-dioksida i utrošenog kiseonika u ispitivanim grupama u odnosu na kontrolu. Ako se 28. dana ove vrednosti razlikuju za više od 25% ispitivanje se nastavlja dok se ne postigne razlika ≤ 25% ili maksimalno do 100 dana, zavisno koji uslov se pre ispuni. Ako se ispituju hemikalije koje nisu agrohemikalije, ispitivanje se prekida nakon 28 dana. Tada se određuju količine nastalog ugljen-dioksida i utrošenog kiseonika u ispitivanim i kontrolnim uzorcima zemljišta i izračunava EC</w:t>
      </w:r>
      <w:r w:rsidRPr="00984859">
        <w:rPr>
          <w:rFonts w:ascii="Arial" w:eastAsia="Times New Roman" w:hAnsi="Arial" w:cs="Arial"/>
          <w:sz w:val="15"/>
          <w:szCs w:val="15"/>
          <w:vertAlign w:val="subscript"/>
          <w:lang w:eastAsia="sr-Latn-RS"/>
        </w:rPr>
        <w:t xml:space="preserve">x </w:t>
      </w:r>
      <w:r w:rsidRPr="00984859">
        <w:rPr>
          <w:rFonts w:ascii="Arial" w:eastAsia="Times New Roman" w:hAnsi="Arial" w:cs="Arial"/>
          <w:lang w:eastAsia="sr-Latn-RS"/>
        </w:rPr>
        <w:t xml:space="preserve">vrednost.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Uzorkovanje i analiza zemljišta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1.7.2.1. Šema uzorkovanja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ispituju agrohemikalije, određuje se brzina glukozom indukovane respiracije u uzorcima zemljišta na početku ispitivanja, 7, 14. i 28. dana. Ako je potrebno produžiti ispitivanje, obaviti dodatna merenja svakih 14 dana nakon 28.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ispituju supstance koje nisu agrohemikalije, ispituje se najmanje pet koncentracija ispitivane supstance i određuje se brzina glukozom indukovane brzine respiracije u uzorcima zemljišta na početku (dan 0) i na kraju perioda izlaganja (28. dan). Ukoliko se pokaže potrebnim dodatno merenje se može obaviti sredinom tog perioda, npr. sedmog dana. Podaci dobijeni 28. dana koriste se u određivanju EC</w:t>
      </w:r>
      <w:r w:rsidRPr="00984859">
        <w:rPr>
          <w:rFonts w:ascii="Arial" w:eastAsia="Times New Roman" w:hAnsi="Arial" w:cs="Arial"/>
          <w:sz w:val="15"/>
          <w:szCs w:val="15"/>
          <w:vertAlign w:val="subscript"/>
          <w:lang w:eastAsia="sr-Latn-RS"/>
        </w:rPr>
        <w:t xml:space="preserve">x </w:t>
      </w:r>
      <w:r w:rsidRPr="00984859">
        <w:rPr>
          <w:rFonts w:ascii="Arial" w:eastAsia="Times New Roman" w:hAnsi="Arial" w:cs="Arial"/>
          <w:lang w:eastAsia="sr-Latn-RS"/>
        </w:rPr>
        <w:t>vrednosti za datu hemikaliju. Podaci dobijeni iz kontrolnih uzoraka na početku ispitivanja mogu koristiti u određivanju inicijalnih količina metabolički aktivne mikrobiološke biomase u zemljištu</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1.7.2.2. Merenje glukozom indukovane brzine respiracije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Glukozom indukovana brzina respiracije u svakom ponavljanju za uzorke zemljišta ispitivane i kontrolne grupe određuje se pri svakom vremenu uzorkovanja. Uzorci zemljišta se mešaju sa dovoljnom količinom glukoze da se izazove maksimalni respiratorni odgovor. Količina glukoze potrebna za izazivanje maksimalnog respiratornog odgovora za dato zemljište može se odrediti u preliminarnom ispitivanju ispitujući seriju koncentracija glukoze</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xml:space="preserve">. Za peskovita zemljišta sa sadržajem organskog ugljenika 0,5% do 1,5%, obično je dovoljno 2.000 mg do 4.000 mg glukoze po kilogramu suve težine zemljišta. Glukoza se može samleti u prah sa čistim kvarcnim peskom (10 g peska/kg suve težine zemljišta) i homogenizovati sa zemljištem.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Uzorci zemljišta obogaćeni glukozom inkubiraju se u odgovarajućoj posudi za merenje brzine respiracije u kontinuitetu, ili na svaki sat, ili na svaka dva sata (videti odeljak 1.6.1. ove metode), na temperaturi 20° C ± 2° C. Količina oslobođenog ugljen-dioksida i utrošenog kiseonika meri se narednih 12 sati, a merenje početi što je pre moguće, poželjno 1 do 2 sata nakon dodavanja glukoze. Ukupna količine oslobođenog ugljen-dioksida ili utrošenog kiseonika u toku 12 sati meri se i određuje srednja brzina respiracije.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ispituju agrohemikalije, zabeležiti količinu nastalog ugljen-dioksida ili utrošenog kiseonika za sve uzorke ispitivane grupe, a srednje vrednosti za sva ponavljanja navesti u tabelarnoj formi. Rezultate proceniti odgovarajućim i opšte prihvaćenim statističkim metodama (npr. F-test, nivo značaja 5%). Brzina glukozom indukovane respiracije se izražava u mg ugljen-dioksida/kg suve težine zemljišta/h ili mg kiseonika/suve težine/h. Srednja vrednost brzine nastajanja ugljen-dioksida ili srednja vrednost brzine potrošnje kiseonika u svakoj ispitivanoj grupi poredi se sa kontrolnom grupom i računa se procenat odstupanja od vrednosti u kontroli.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ispituju supstance koje nisu agrohemikalije, određuju se količine oslobođenog ugljen-dioksida ili utrošenog kiseonika za svaki uzorak ispitivane grupe i pravi se kriva dozne zavisnosti za procenu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Brzina glukozom indukovane respiracije (npr. mg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/kg suve težine zemljišta/h ili mg kiseonika/suve težine zemljišta/h) u ispitivanim uzorcima nakon 28 dana poredi se sa vrednostima u kontroli. Iz tih podataka računa se procenat vrednosti inhibicije za svaku koncentraciju ispitivane supstance. Ovi rezultati prikazuju se grafički u funkciji koncentracija ispitivane supstance, a za određivanje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koriste se statističke procedure. Intervali poverenja (</w:t>
      </w:r>
      <w:r w:rsidRPr="00984859">
        <w:rPr>
          <w:rFonts w:ascii="Arial" w:eastAsia="Times New Roman" w:hAnsi="Arial" w:cs="Arial"/>
          <w:i/>
          <w:iCs/>
          <w:lang w:eastAsia="sr-Latn-RS"/>
        </w:rPr>
        <w:t>p</w:t>
      </w:r>
      <w:r w:rsidRPr="00984859">
        <w:rPr>
          <w:rFonts w:ascii="Arial" w:eastAsia="Times New Roman" w:hAnsi="Arial" w:cs="Arial"/>
          <w:lang w:eastAsia="sr-Latn-RS"/>
        </w:rPr>
        <w:t xml:space="preserve"> = 0,95) za izračunate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i putem standardnih procedura</w:t>
      </w:r>
      <w:r w:rsidRPr="00984859">
        <w:rPr>
          <w:rFonts w:ascii="Arial" w:eastAsia="Times New Roman" w:hAnsi="Arial" w:cs="Arial"/>
          <w:b/>
          <w:bCs/>
          <w:sz w:val="15"/>
          <w:szCs w:val="15"/>
          <w:vertAlign w:val="superscript"/>
          <w:lang w:eastAsia="sr-Latn-RS"/>
        </w:rPr>
        <w:t>15,16,17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Kada se procenjuju rezultati ispitivanja sa agrohemikalijama i kad je razlika u brzini respiracije između prve ispitivane grupe u seriji (maksimalna predviđena koncentracija) i kontrole ≤ 25% u bilo kom vremenu uzorkovanja nakon 28. dana, za date hemikalije se može oceniti da nemaju dugoročni uticaj na transformaciju ugljenika u zemljištu. Kada se procenjuju rezultati dobijeni ispitivanjem supstanci koje nisu agrohemikalije, koriste se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25</w:t>
      </w:r>
      <w:r w:rsidRPr="00984859">
        <w:rPr>
          <w:rFonts w:ascii="Arial" w:eastAsia="Times New Roman" w:hAnsi="Arial" w:cs="Arial"/>
          <w:lang w:eastAsia="sr-Latn-RS"/>
        </w:rPr>
        <w:t>, odnosno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vrednosti.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 potpunu identifikaciju korišćenog zemljišta, uključujući: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geografske odrednice mesta (geografska širina i dužina);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podatke o istoriji mesta (npr. biljni pokrivač, tretmani sredstvima za zaštitu bilja, tretmani đubrivima, kontaminacije usled nesrećnog slučaja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upotreba zemljišta (npr. poljoprivredno zemljište, šuma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dubina uzorkovanja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peska/mulja/gline (% suve težine);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vrednost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organskog ugljenika (% suve težine);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azota (% suve težine);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jonsko izmenjivački kapacitet (mmol/kg);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početna biomasa mikroorganizama u procentima u odnosu na ukupan organski ugljenik;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literatura vezano za sve metode korišćene za određivanje svakog parametra;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 podaci u vezi sa sakupljanjem i skladištenjem uzoraka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predinkubaciji, ako postoje;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podatke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fizička svojstva i gde je bitno,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za identifikaciju hemikalije, uključujući strukturnu formulu i stepen čistoće (npr. za sredstva za zaštitu bilja, procenat aktivnog sastojka), sadržaj azota.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podatke o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obogaćivanja zemljišta organskim supstratom;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koncentracija ispitivane supstance i gde je prikladno, objašnjenje za izbor datih koncentracija;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načina uvođenja ispitivane supstance u zemljište;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vlage u zemljištu na početku i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korišćena metoda inkubacije zemljišta (jedinstven uzorak ili serija pojedinačnih poduzoraka);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broj ponavljanja;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podatke o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metoda i oprema za merenje brzine respiracije;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tabelarni podaci uključujući pojedinačne i srednje vrednosti za količinu ugljen-dioksida ili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varijansa u kontrolnim i eksperimentalnim grupama;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objašnjenje korekcija u izračunavanju, ukoliko je bitno;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procenat razlike glukozom indukovane brzine respiracije pri svakom vremenu uzorkovanja, ili, ukoliko je prikladno EC</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sa 95% intervalima poverenja, druge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vrednosti (npr. EC</w:t>
      </w:r>
      <w:r w:rsidRPr="00984859">
        <w:rPr>
          <w:rFonts w:ascii="Arial" w:eastAsia="Times New Roman" w:hAnsi="Arial" w:cs="Arial"/>
          <w:sz w:val="15"/>
          <w:szCs w:val="15"/>
          <w:vertAlign w:val="subscript"/>
          <w:lang w:eastAsia="sr-Latn-RS"/>
        </w:rPr>
        <w:t>25</w:t>
      </w:r>
      <w:r w:rsidRPr="00984859">
        <w:rPr>
          <w:rFonts w:ascii="Arial" w:eastAsia="Times New Roman" w:hAnsi="Arial" w:cs="Arial"/>
          <w:lang w:eastAsia="sr-Latn-RS"/>
        </w:rPr>
        <w:t xml:space="preserve"> ili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sa intervalima poverenja i grafički prikaz krive dozne zavisnosti;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statistička obrada rezultata, gde je prikladno;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dodatne podatke i opažanja potrebne za za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EPPO, (1994) Decision-Making Scheme for the Environmental Risk Assessment of Plant Protection Chemicals. Chapter 7: Soil Microflora. EPPO Bulletin 24: 1-16, 1994.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BBA, (1990) Effects on the Activity of the Soil Microflora. BBA Guidelines for the Official Testing of Plant Protection Products, VI, 1-1 (2nd eds., 1990).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EPA, (1987) Soil Microbial Community Toxicity Test. EPA 40 CFR Part 797.3700. Toxic Substances Control Act Test Guidelines; Proposed rule. September 28, 1987.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SETAC-Europe, (1995) Procedures for assessing the environmental fate and ecotoxicity of pesticides, Ed. M.R. Lynch, Pub. SETAC-Europe, Brussels.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OECD, (1995) Final Report of the OECD Workshop on Selection of Soils/Sediments, Belgirate, Italy, 18-20 January 1995.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ISO 10381-6, (1993) Soil quality - Sampling. Guidance on the collection, handling and storage of soil for the assessment of aerobic microbial processes in the laboratory.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Anderson, J.P.E., (1987) Handling and Storage of Soils for Pesticide Experiments, in 'Pesticide Effects on Soil Microflora'. Eds. L. Somerville and M.P. Greaves, Chap. 3: 45-60.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Anderson, J.P.E., (1982) Soil Respiration, in 'Methods of Soil Analysis - Part 2: Chemical and Microbiological Properties'. Agronomy Monograph No 9. Eds. A.L. Page, R.H. Miller and D.R. Keeney. 41: 831- 871.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ISO 11266-1, (1993) Soil Quality - Guidance on Laboratory Tests for Biodegradation in Soil: Part 1. Aerobic Conditions.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10. ISO 14239, (1997E) Soil Quality - Laboratory incubation systems for measuring the mineralisation of organic chemicals in soil under aerobic conditions.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Heinemeyer O., Insam, H., Kaiser, E.A, and Walenzik, G., (1989) Soil microbial biomass and respiration measurements; an automated technique based on infrared gas analyses. Plant and Soil, 116: 77-81.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ISO 14240-1, (1997) Soil quality - Determination of soil microbial biomass - Part 1: Substrateinduced respiration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ISO 14240-2, (1997) Soil quality - Determination of soil microbial biomass - Part 2: Fumigationextraction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Malkomes, H.-P., (1986) Einfluß von Glukosemenge auf die Reaktion der Kurzzeit-Atmung im Boden Gegenüber Pflanzenschutzmitteln, Dargestellt am Beispiel eines Herbizide. (Influence of the Amount of Glucose Added to the Soil on the Effect of Pesticides in Short-Term Respiration, using a Herbicide as an Example). Nachrichtenbl. Deut. Pflanzenschutzd., Braunschweig, 38: 113-120.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Litchfield, J.T. and Wilcoxon, F., (1949) A simplified method of evaluating dose-effect experiments. Jour. Pharmacol. and Exper. Ther., 96, 99-113.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Finney, D.J., (1971) Probit Analysis. 3rd ed., Cambridge, London and New-York.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Finney D.J., (1978) Statistical Methods in biological Assay. Griffin, Weycombe, UK.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C.23. AEROBNA I ANAEROBNA TRANSFORMACIJA U ZEMLJIŠTU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307 (2002).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bazira se na postojećim smernicama</w:t>
      </w:r>
      <w:r w:rsidRPr="00984859">
        <w:rPr>
          <w:rFonts w:ascii="Arial" w:eastAsia="Times New Roman" w:hAnsi="Arial" w:cs="Arial"/>
          <w:b/>
          <w:bCs/>
          <w:sz w:val="15"/>
          <w:szCs w:val="15"/>
          <w:vertAlign w:val="superscript"/>
          <w:lang w:eastAsia="sr-Latn-RS"/>
        </w:rPr>
        <w:t>1,2,3,4,5,6,7,8,9</w:t>
      </w:r>
      <w:r w:rsidRPr="00984859">
        <w:rPr>
          <w:rFonts w:ascii="Arial" w:eastAsia="Times New Roman" w:hAnsi="Arial" w:cs="Arial"/>
          <w:lang w:eastAsia="sr-Latn-RS"/>
        </w:rPr>
        <w:t xml:space="preserve">. Opisana metoda osmišljena je za procenu aerobne i anaerobne transformacije hemikalija u zemljištu. Ispitivanja se obavljaju da bi se utvrdila: 1. brzina transformacije ispitivane supstance i 2. priroda i brzina stvaranja i razlaganja proizvoda transformacije kojima bi biljke i zemljišni organizmi mogli biti izloženi. Ovakva ispitivanja su potrebna za hemikalije koje se primenjuju direktno na zemljište ili koje dospevaju u zemljište. Rezultati takvih laboratorijskih ispitivanja mogu se koristiti i pri razvijanju protokola uzimanja uzoraka i analize za srodna istraživanja u ovom području.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Aerobne i anaerobne studije sa jednim tipom zemljišta obično su dovoljne za procenu puteva transformacije</w:t>
      </w:r>
      <w:r w:rsidRPr="00984859">
        <w:rPr>
          <w:rFonts w:ascii="Arial" w:eastAsia="Times New Roman" w:hAnsi="Arial" w:cs="Arial"/>
          <w:b/>
          <w:bCs/>
          <w:sz w:val="15"/>
          <w:szCs w:val="15"/>
          <w:vertAlign w:val="superscript"/>
          <w:lang w:eastAsia="sr-Latn-RS"/>
        </w:rPr>
        <w:t>8,10,11</w:t>
      </w:r>
      <w:r w:rsidRPr="00984859">
        <w:rPr>
          <w:rFonts w:ascii="Arial" w:eastAsia="Times New Roman" w:hAnsi="Arial" w:cs="Arial"/>
          <w:lang w:eastAsia="sr-Latn-RS"/>
        </w:rPr>
        <w:t>. Brzina transformacije određuje se u najmanje tri dodatna tipa zemljišta</w:t>
      </w:r>
      <w:r w:rsidRPr="00984859">
        <w:rPr>
          <w:rFonts w:ascii="Arial" w:eastAsia="Times New Roman" w:hAnsi="Arial" w:cs="Arial"/>
          <w:b/>
          <w:bCs/>
          <w:sz w:val="15"/>
          <w:szCs w:val="15"/>
          <w:vertAlign w:val="superscript"/>
          <w:lang w:eastAsia="sr-Latn-RS"/>
        </w:rPr>
        <w:t>8,10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OECD radionici o izboru zemljišta i sedimenta</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dogovoren je broj i tip zemljišta koja se koriste u ovoj metodi ispitivanja. Tipovi ispitivanih zemljišta predstavljaju uslove u životnoj sredini gde će se hemikalije upotrebljavati ili ispustiti. Na primer, hemikalije koje bi se mogle ispuštati u suptropskim i tropskim klimatima ispitivati na ferasolu i nitosolu (FAO sistem). Date su i preporuke u vezi sakupljanja, rukovanja i skladištenja uzoraka zemljišta, prema ISO standardu</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xml:space="preserve"> Upotreba pirinčanih polja se podjednako uzima u obzir u ovoj metodi.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jeste bilo koja supstanca, izvorna supstanca ili proizvodi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Proizvodi transformacija jesu sve supstance koje su rezultat biotičkih i abiotičkih reakcija transformacija ispitivane supstance, uključujući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vezane rezidue.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Vezane rezidue jesu jedinjenja u zemljištu, biljkama ili životinjama koje se zadržavaju u matriksu u obliku izvorne supstance ili njenih metabolita/proizvoda transformacije posle ekstrakcije. Metoda ekstrakcije ne sme bitno menjati supstance ili strukturu matriksa. Priroda veze se može delimično objasniti metodama ekstrakcije koje menjaju matriks i sofisticiranim analitičkim tehnikama. Na ovaj način su do danas identifiovani kovalentna jonska i sorptivna veza i molekulske zamke. Vezivanje rezidua znatno smanjuje biodostupnost i bioraspoloživost</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(izmenjen IUPAC 1984 izveštaj</w:t>
      </w:r>
      <w:r w:rsidRPr="00984859">
        <w:rPr>
          <w:rFonts w:ascii="Arial" w:eastAsia="Times New Roman" w:hAnsi="Arial" w:cs="Arial"/>
          <w:b/>
          <w:bCs/>
          <w:sz w:val="15"/>
          <w:szCs w:val="15"/>
          <w:vertAlign w:val="superscript"/>
          <w:lang w:eastAsia="sr-Latn-RS"/>
        </w:rPr>
        <w:t>13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Aerobna transformacije jesu reakcije koje se odvijaju u prisustvu molekulskog kiseonika</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Anaerobna transformacije jesu reakcije koje se odvijaju bez prisustva molekulskog kiseonika</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jeste mešavina mineralnih i organskih hemijskih sastojaka koje čine jedinjenja sa visokim procentom ugljenika i azota, kao i jedinjenja velikih molekulskih masa, u kojima uglavnom žive mikroorganizmi. Zemljište može biti u jednom od dva stanja: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neporemećeno, kako se vremenom razvilo, u karakterističnim horizontima i raznim tipovima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poremećeno, kakvo se obično nalazi na oranicama, ili kakvo se javlja u uzorcima koji se iskopaju i koriste u ovoj metodi ispitivanja</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Mineralizacija jeste potpuno razlaganje organske materije na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 u aerobnim uslovima i do CH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 u anaerobnim uslovima. U ovoj metodi kad se koristi jedinjenje obeleženo ugljenikom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mineralizacija jeste ekstenzivno razlaganje u toku kojeg označeni ugljenikov atom oksiduje uz otpuštanje određene količine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Poluživot (t</w:t>
      </w:r>
      <w:r w:rsidRPr="00984859">
        <w:rPr>
          <w:rFonts w:ascii="Arial" w:eastAsia="Times New Roman" w:hAnsi="Arial" w:cs="Arial"/>
          <w:sz w:val="15"/>
          <w:szCs w:val="15"/>
          <w:vertAlign w:val="subscript"/>
          <w:lang w:eastAsia="sr-Latn-RS"/>
        </w:rPr>
        <w:t>0,5</w:t>
      </w:r>
      <w:r w:rsidRPr="00984859">
        <w:rPr>
          <w:rFonts w:ascii="Arial" w:eastAsia="Times New Roman" w:hAnsi="Arial" w:cs="Arial"/>
          <w:lang w:eastAsia="sr-Latn-RS"/>
        </w:rPr>
        <w:t xml:space="preserve">) jeste vreme potrebno za transformaciju 50% ispitivane supstance, u slučajevima kada se transformacija može opisati kinetikom prvog reda i ne zavisi od početne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Vreme nestajanja 50 (u daljem tekstu: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jeste vreme u toku koga se početna koncentracija ispitivane supstance smanji za 50%, razlikuje se od poluživota t</w:t>
      </w:r>
      <w:r w:rsidRPr="00984859">
        <w:rPr>
          <w:rFonts w:ascii="Arial" w:eastAsia="Times New Roman" w:hAnsi="Arial" w:cs="Arial"/>
          <w:sz w:val="15"/>
          <w:szCs w:val="15"/>
          <w:vertAlign w:val="subscript"/>
          <w:lang w:eastAsia="sr-Latn-RS"/>
        </w:rPr>
        <w:t xml:space="preserve">0,5 </w:t>
      </w:r>
      <w:r w:rsidRPr="00984859">
        <w:rPr>
          <w:rFonts w:ascii="Arial" w:eastAsia="Times New Roman" w:hAnsi="Arial" w:cs="Arial"/>
          <w:lang w:eastAsia="sr-Latn-RS"/>
        </w:rPr>
        <w:t xml:space="preserve">kada transformacija ne sledi kinetiku prvog reda.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Vreme nestajanja 75 (u daljem tekstu DT</w:t>
      </w:r>
      <w:r w:rsidRPr="00984859">
        <w:rPr>
          <w:rFonts w:ascii="Arial" w:eastAsia="Times New Roman" w:hAnsi="Arial" w:cs="Arial"/>
          <w:sz w:val="15"/>
          <w:szCs w:val="15"/>
          <w:vertAlign w:val="subscript"/>
          <w:lang w:eastAsia="sr-Latn-RS"/>
        </w:rPr>
        <w:t>75</w:t>
      </w:r>
      <w:r w:rsidRPr="00984859">
        <w:rPr>
          <w:rFonts w:ascii="Arial" w:eastAsia="Times New Roman" w:hAnsi="Arial" w:cs="Arial"/>
          <w:lang w:eastAsia="sr-Latn-RS"/>
        </w:rPr>
        <w:t xml:space="preserve">) jeste vreme u toku koga se početna koncentracija ispitivane supstance smanji za 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Vreme nestajanja 90 (u daljem tekstu: DT</w:t>
      </w:r>
      <w:r w:rsidRPr="00984859">
        <w:rPr>
          <w:rFonts w:ascii="Arial" w:eastAsia="Times New Roman" w:hAnsi="Arial" w:cs="Arial"/>
          <w:sz w:val="15"/>
          <w:szCs w:val="15"/>
          <w:vertAlign w:val="subscript"/>
          <w:lang w:eastAsia="sr-Latn-RS"/>
        </w:rPr>
        <w:t>90</w:t>
      </w:r>
      <w:r w:rsidRPr="00984859">
        <w:rPr>
          <w:rFonts w:ascii="Arial" w:eastAsia="Times New Roman" w:hAnsi="Arial" w:cs="Arial"/>
          <w:lang w:eastAsia="sr-Latn-RS"/>
        </w:rPr>
        <w:t xml:space="preserve">) jeste vreme u toku koga se početna koncentracija ispitivane supstance smanji za 90%.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se koriste za identifikaciju i kvantifikaciju proizvoda transformacije spektroskopskim i hromatografskim metodama.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 PRIMENLJIVOST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je primenljiva na supstance (neobeležene ili obeležene) za koje je dostupna dovoljno precizna i osetljiva analitička metoda. Primenljiva je na slabo isparljiva jedinjenja, neisparljiva jedinjenja, jedinjenja rastvorljiva u vodi ili jedinjenja nerastvorljiva u vodi. Metoda ispitivanja se ne primenjuje na jedinjenja koja su jako isparljiva iz zemljišta (npr. fumiganti, organski rastvarači) i zato se ne mogu držati u zemljištu u ispitivanim uslovima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PODACI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Neobeležene ili obeležene supstance mogu se koristiti za merenje brzine transformacije. Za proučavanje puteva transformacije i određivanja masenog balansa potreban je obeleženi materijal. Obeležavanje ugljenikom C</w:t>
      </w:r>
      <w:r w:rsidRPr="00984859">
        <w:rPr>
          <w:rFonts w:ascii="Arial" w:eastAsia="Times New Roman" w:hAnsi="Arial" w:cs="Arial"/>
          <w:sz w:val="15"/>
          <w:szCs w:val="15"/>
          <w:vertAlign w:val="superscript"/>
          <w:lang w:eastAsia="sr-Latn-RS"/>
        </w:rPr>
        <w:t xml:space="preserve">14 </w:t>
      </w:r>
      <w:r w:rsidRPr="00984859">
        <w:rPr>
          <w:rFonts w:ascii="Arial" w:eastAsia="Times New Roman" w:hAnsi="Arial" w:cs="Arial"/>
          <w:lang w:eastAsia="sr-Latn-RS"/>
        </w:rPr>
        <w:t>se preporučuje, ali upotreba drugih izotopa kao što su C</w:t>
      </w:r>
      <w:r w:rsidRPr="00984859">
        <w:rPr>
          <w:rFonts w:ascii="Arial" w:eastAsia="Times New Roman" w:hAnsi="Arial" w:cs="Arial"/>
          <w:sz w:val="15"/>
          <w:szCs w:val="15"/>
          <w:vertAlign w:val="subscript"/>
          <w:lang w:eastAsia="sr-Latn-RS"/>
        </w:rPr>
        <w:t>13</w:t>
      </w:r>
      <w:r w:rsidRPr="00984859">
        <w:rPr>
          <w:rFonts w:ascii="Arial" w:eastAsia="Times New Roman" w:hAnsi="Arial" w:cs="Arial"/>
          <w:lang w:eastAsia="sr-Latn-RS"/>
        </w:rPr>
        <w:t>, N</w:t>
      </w:r>
      <w:r w:rsidRPr="00984859">
        <w:rPr>
          <w:rFonts w:ascii="Arial" w:eastAsia="Times New Roman" w:hAnsi="Arial" w:cs="Arial"/>
          <w:sz w:val="15"/>
          <w:szCs w:val="15"/>
          <w:vertAlign w:val="subscript"/>
          <w:lang w:eastAsia="sr-Latn-RS"/>
        </w:rPr>
        <w:t>15</w:t>
      </w:r>
      <w:r w:rsidRPr="00984859">
        <w:rPr>
          <w:rFonts w:ascii="Arial" w:eastAsia="Times New Roman" w:hAnsi="Arial" w:cs="Arial"/>
          <w:lang w:eastAsia="sr-Latn-RS"/>
        </w:rPr>
        <w:t>, 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P</w:t>
      </w:r>
      <w:r w:rsidRPr="00984859">
        <w:rPr>
          <w:rFonts w:ascii="Arial" w:eastAsia="Times New Roman" w:hAnsi="Arial" w:cs="Arial"/>
          <w:sz w:val="15"/>
          <w:szCs w:val="15"/>
          <w:vertAlign w:val="subscript"/>
          <w:lang w:eastAsia="sr-Latn-RS"/>
        </w:rPr>
        <w:t>32</w:t>
      </w:r>
      <w:r w:rsidRPr="00984859">
        <w:rPr>
          <w:rFonts w:ascii="Arial" w:eastAsia="Times New Roman" w:hAnsi="Arial" w:cs="Arial"/>
          <w:lang w:eastAsia="sr-Latn-RS"/>
        </w:rPr>
        <w:t xml:space="preserve"> takođe može biti od koristi. Molekul označiti u što je moguće stabilnijem delu. Čistoća ispitivane supstance je najmanje 95%.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Pre ispitivanja aerobne i anaerobne transformacije u zemljištu, o ispitivanoj supstanci su dostupni podaci: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vodi (Metoda A.6.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organskim rastvaračima;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napon para (Metoda A.4. koja je data u ovom pravilniku) i Henrijeva konstanta;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koeficijent raspodele u sistemu n-oktanol/voda (Metoda A.8.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hemijska stabilnost u mraku (hidroliza) (Metoda C.7. koja je data u ovom prilogu);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pK</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ako je molekul sklon protonaciji i deprotonaciji (OECD smernice 112)</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Ostali korisni podaci mogu uključivati podatke o toksičnosti ispitivane supstance za zemljišne mikroorganizme (Metode C.21. i C.22. koje su date u ovom prilogu)</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Analitičke metode (uključujući metode ekstrakcije i čišćenja) za identifikaciju i kvantifikaciju ispitivane supstance i njenih proizvoda transformacije treba da budu dostupne.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PRINCIP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Uzorci zemljišta tretiraju se ispitivanom supstancom i inkubiraju u mraku u bocama tipa biometra ili u protočnim sistemima u kontrolisanim laboratorijskim uslovima (pri konstantnoj temperaturi i vlažnosti zemljišta). Nakon predviđenih vremenskih intervala, uzorci zemljišta se ekstrahuju i analiziraju na izvorne supstance i proizvode transformacije. Isparljivi proizvodi se takođe skupljaju za analizu koristeći potrebne uređaje za adsorpciju. Koristeći materijal obeležen sa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mogu se izmeriti razne brzine mineralizacije ispitivane supstance, hvatanjem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koji se razvio masenim balansom, uključujući stvaranje veznih rezidua zemljišta.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KRITERIJUMI KVALITETA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Efikasnost analitičke tehnike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Ekstrakcija i analiza najmanje dva uzorka zemljišta neposredno nakon dodavanja ispitivane supstance daje prvu naznaku o ponovljivosti analitičke metode i ujednačenosti postupka primene za ispitivanu supstancu. Efikasnost analitičke tehnike u kasnijim fazama ispitivanja određuje se iz masenih balansa. Efikasnost analitičke tehnike je u opsegu od 90% do 110% za obeležene hemikalije</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i od 70% do 110% za neobeležene hemikalije</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Ponovljivost i osetljivost analitičke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Ponovljivost analitičke metode (isključujući početnu efikasnost ekstrakcije) u kvantifikovanju ispitivane supstance i proizvoda transformacije može se proveriti analizama istog ekstrakta zemljišta u duplikatu, inkubiranog dovoljno dugo da bi se stvorili proizvodi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Granica detekcije (Limit of Detection, u daljem tekstu: LOD) analitičke metode za ispitivanu supstancu i za proizvode transformacije je najmanje 0,01 mg/kg zemljišta (kao ispitivana supstanca) ili 1% primenjene doze, koja doza je niža. Granica kvantifikacije (Limit of Quantification, u daljem tekstu: LOQ) takođe treba da bude određena.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1.7.3. Preciznost podataka o transformaciji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Regresiona analiza koncentracija ispitivane supstance u funkciji vremena daje adekvatne podatke o pouzdanosti transformacione krive i omogućava izračunavanje intervala poverenja za poluživot (ako je primenljiva kinetika pseudo prvog reda), ili DT</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vrednosti i ako su primenljive, DT</w:t>
      </w:r>
      <w:r w:rsidRPr="00984859">
        <w:rPr>
          <w:rFonts w:ascii="Arial" w:eastAsia="Times New Roman" w:hAnsi="Arial" w:cs="Arial"/>
          <w:sz w:val="15"/>
          <w:szCs w:val="15"/>
          <w:vertAlign w:val="subscript"/>
          <w:lang w:eastAsia="sr-Latn-RS"/>
        </w:rPr>
        <w:t>75</w:t>
      </w:r>
      <w:r w:rsidRPr="00984859">
        <w:rPr>
          <w:rFonts w:ascii="Arial" w:eastAsia="Times New Roman" w:hAnsi="Arial" w:cs="Arial"/>
          <w:lang w:eastAsia="sr-Latn-RS"/>
        </w:rPr>
        <w:t xml:space="preserve"> i DT</w:t>
      </w:r>
      <w:r w:rsidRPr="00984859">
        <w:rPr>
          <w:rFonts w:ascii="Arial" w:eastAsia="Times New Roman" w:hAnsi="Arial" w:cs="Arial"/>
          <w:sz w:val="15"/>
          <w:szCs w:val="15"/>
          <w:vertAlign w:val="subscript"/>
          <w:lang w:eastAsia="sr-Latn-RS"/>
        </w:rPr>
        <w:t>90</w:t>
      </w:r>
      <w:r w:rsidRPr="00984859">
        <w:rPr>
          <w:rFonts w:ascii="Arial" w:eastAsia="Times New Roman" w:hAnsi="Arial" w:cs="Arial"/>
          <w:lang w:eastAsia="sr-Latn-RS"/>
        </w:rPr>
        <w:t xml:space="preserve"> vrednosti.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Oprema i hemijski reagensi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Inkubacioni sistemi se sastoje od statičkih zatvorenih sistema ili adekvatnih protočnih sistema</w:t>
      </w:r>
      <w:r w:rsidRPr="00984859">
        <w:rPr>
          <w:rFonts w:ascii="Arial" w:eastAsia="Times New Roman" w:hAnsi="Arial" w:cs="Arial"/>
          <w:b/>
          <w:bCs/>
          <w:sz w:val="15"/>
          <w:szCs w:val="15"/>
          <w:vertAlign w:val="superscript"/>
          <w:lang w:eastAsia="sr-Latn-RS"/>
        </w:rPr>
        <w:t>7,17</w:t>
      </w:r>
      <w:r w:rsidRPr="00984859">
        <w:rPr>
          <w:rFonts w:ascii="Arial" w:eastAsia="Times New Roman" w:hAnsi="Arial" w:cs="Arial"/>
          <w:lang w:eastAsia="sr-Latn-RS"/>
        </w:rPr>
        <w:t>. Primeri odgovarajućih aparata za protočnu inkubaciju i boca tipa biometara prikazani su na slikama 1 i 2. Oba tipa inkubacionih sistema imaju prednosti i ograničenja</w:t>
      </w:r>
      <w:r w:rsidRPr="00984859">
        <w:rPr>
          <w:rFonts w:ascii="Arial" w:eastAsia="Times New Roman" w:hAnsi="Arial" w:cs="Arial"/>
          <w:b/>
          <w:bCs/>
          <w:sz w:val="15"/>
          <w:szCs w:val="15"/>
          <w:vertAlign w:val="superscript"/>
          <w:lang w:eastAsia="sr-Latn-RS"/>
        </w:rPr>
        <w:t>7,17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Potrebna je standardna laboratorijska oprema, a posebno: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analitički instrumenti kao što su GLC, HPLC, TLC, uključujući odgovarajuće sisteme za detekciju i za analizu radioizotopima obeleženih, ili neobeleženih supstanci, ili oprema za metodu inverznog razređenja izotopa;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instrumenti za identifikaciju (MS, GC-MS, HPLC-MS, NMR,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tečni scintilacioni brojač;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oksidator za spaljivanje radioaktivnog materijala;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centrifuga;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aparatura za ekstrakciju (na primer, kivete za centrifugu kod hladne ekstrakcije i Soxhlet aparatura za kontinuiranu ekstrakciju pod refluksom);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instrumenti za koncentrovanje rastvora i ekstrakta (npr. rotirajući isparivač);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vodeno kupatilo;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mehanička mešalica (npr. mašina za mešanje, rotirajući mikser).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Hemijski reagensi koji se koriste uključuju na primer: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NaOH, analitičke čistoće, 2 mol/dm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ili druge adekvatne baze (npr. KOH, etanolamin);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analitičke čistoće, 0,05 mol/dm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etilenglikol, analitičke čistoće;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čvrsti materijali za apsorpciju kao što su krečnjak i poliuretanski čepovi;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organski rastvarači, analitičke čistoće, kao što su aceton, metanol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scintilacione tečnosti.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Nanošenje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dodavanje i raspodelu u zemljištu, ispitivana supstanca se može rastvoriti u vodi (dejonizovanoj ili destilovanoj), ili kada je potrebno, u minimalnim količinama acetona ili drugog organskog rastvarača</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u kome je ispitivana supstanca dovoljno rastvorljiva i stabilna. Količina izabranog rastvarača ne sme bitnije da utiče na mikrobiološku aktivnost zemljišta (videti odeljke 1.5. i 1.9.2. do 1.9.3. ove metode). Upotrebu rastvarača koji sprečavaju mikrobiološku aktivnost zemljišta, kao što su hloroform, dihlormetan i ostali halogeni rastvarači, izbegavati.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Ispitivana supstanca se može dodati i kao čvrsta supstanca, npr. mešana sa kvarcnim peskom</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ili u malim poduzorcima ispitivanog zemljišta koji su osušeni na vazduhu i sterilisani. Ako se ispitivana supstanca dodaje sa rastvaračem, rastvarač upariti pre nego što se poduzorak doda originalnom nesterilnom uzorku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hemikalija, čiji je glavni put unosa u zemljište kanalizacioni mulj, ili njihova upotreba u poljoprivredi, ispitivanu supstancu prvo dodati u mulj, koji se potom uvodi u uzorak zemljišta (videti odeljke 1.9.2. i 1.9.3.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preporučuje se rutinska upotreba formulisanih proizvoda. Za slabo rastvorljive supstance, upotreba formulisanog materijala može biti primerena alternativa.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1.8.3. Zemljišta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1.8.3.1. Izbor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određivanje puta transformacije može se koristiti reprezentativno zemljište: peskovita ilovača, muljevita ilovača, ilovača ili pesak sa ilovačom (po FAO i USDA klasifikaciji</w:t>
      </w:r>
      <w:r w:rsidRPr="00984859">
        <w:rPr>
          <w:rFonts w:ascii="Arial" w:eastAsia="Times New Roman" w:hAnsi="Arial" w:cs="Arial"/>
          <w:b/>
          <w:bCs/>
          <w:sz w:val="15"/>
          <w:szCs w:val="15"/>
          <w:vertAlign w:val="superscript"/>
          <w:lang w:eastAsia="sr-Latn-RS"/>
        </w:rPr>
        <w:t>18</w:t>
      </w:r>
      <w:r w:rsidRPr="00984859">
        <w:rPr>
          <w:rFonts w:ascii="Arial" w:eastAsia="Times New Roman" w:hAnsi="Arial" w:cs="Arial"/>
          <w:lang w:eastAsia="sr-Latn-RS"/>
        </w:rPr>
        <w:t>) sa pH od 5,5 do 8,0. Preporučuje se udeo organskog ugljenika od 0,5% do 2,5% i mikrobiološke biomase od najmanje 1% od ukupnog organskog ugljenika</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ispitivanje brzine transformacije koristiti najmanje tri dodatna tipa zemljišta koji predstavljaju opseg relevantnih tipova. Zemljišta treba da variraju u udelu organskog ugljenika, pH vrednosti, udelu gline i mikrobiološke biomase</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Sve vrste zemljišta okarakterisati barem po teksturi (% peska, % mulja, % gline, po FAO i USDA klasifikaciji</w:t>
      </w:r>
      <w:r w:rsidRPr="00984859">
        <w:rPr>
          <w:rFonts w:ascii="Arial" w:eastAsia="Times New Roman" w:hAnsi="Arial" w:cs="Arial"/>
          <w:b/>
          <w:bCs/>
          <w:sz w:val="15"/>
          <w:szCs w:val="15"/>
          <w:vertAlign w:val="superscript"/>
          <w:lang w:eastAsia="sr-Latn-RS"/>
        </w:rPr>
        <w:t>18</w:t>
      </w:r>
      <w:r w:rsidRPr="00984859">
        <w:rPr>
          <w:rFonts w:ascii="Arial" w:eastAsia="Times New Roman" w:hAnsi="Arial" w:cs="Arial"/>
          <w:lang w:eastAsia="sr-Latn-RS"/>
        </w:rPr>
        <w:t xml:space="preserve">), pH vrednosti, katjonskom izmenjivačkom kapacitetu, sadržaju </w:t>
      </w:r>
      <w:r w:rsidRPr="00984859">
        <w:rPr>
          <w:rFonts w:ascii="Arial" w:eastAsia="Times New Roman" w:hAnsi="Arial" w:cs="Arial"/>
          <w:lang w:eastAsia="sr-Latn-RS"/>
        </w:rPr>
        <w:lastRenderedPageBreak/>
        <w:t>organskog ugljenika, gustini, kapacitetu zadržavanja</w:t>
      </w:r>
      <w:r w:rsidRPr="00984859">
        <w:rPr>
          <w:rFonts w:ascii="Arial" w:eastAsia="Times New Roman" w:hAnsi="Arial" w:cs="Arial"/>
          <w:b/>
          <w:bCs/>
          <w:sz w:val="15"/>
          <w:szCs w:val="15"/>
          <w:vertAlign w:val="superscript"/>
          <w:lang w:eastAsia="sr-Latn-RS"/>
        </w:rPr>
        <w:t>XXXV</w:t>
      </w:r>
      <w:r w:rsidRPr="00984859">
        <w:rPr>
          <w:rFonts w:ascii="Arial" w:eastAsia="Times New Roman" w:hAnsi="Arial" w:cs="Arial"/>
          <w:lang w:eastAsia="sr-Latn-RS"/>
        </w:rPr>
        <w:t xml:space="preserve"> vode i mikrobiološke biomase (samo za aerobna ispitivanja). Dodatni podaci o karakteristikama zemljišta mogu biti korisni kod tumačenja rezultata. Za određivanje karakteristika zemljišta mogu se koristiti metode navedene u literaturi</w:t>
      </w:r>
      <w:r w:rsidRPr="00984859">
        <w:rPr>
          <w:rFonts w:ascii="Arial" w:eastAsia="Times New Roman" w:hAnsi="Arial" w:cs="Arial"/>
          <w:b/>
          <w:bCs/>
          <w:sz w:val="15"/>
          <w:szCs w:val="15"/>
          <w:vertAlign w:val="superscript"/>
          <w:lang w:eastAsia="sr-Latn-RS"/>
        </w:rPr>
        <w:t>19,20,21,22,23</w:t>
      </w:r>
      <w:r w:rsidRPr="00984859">
        <w:rPr>
          <w:rFonts w:ascii="Arial" w:eastAsia="Times New Roman" w:hAnsi="Arial" w:cs="Arial"/>
          <w:lang w:eastAsia="sr-Latn-RS"/>
        </w:rPr>
        <w:t>. Mikrobiološku biomasu odrediti koristeći metodu</w:t>
      </w:r>
      <w:r w:rsidRPr="00984859">
        <w:rPr>
          <w:rFonts w:ascii="Arial" w:eastAsia="Times New Roman" w:hAnsi="Arial" w:cs="Arial"/>
          <w:b/>
          <w:bCs/>
          <w:sz w:val="15"/>
          <w:szCs w:val="15"/>
          <w:vertAlign w:val="superscript"/>
          <w:lang w:eastAsia="sr-Latn-RS"/>
        </w:rPr>
        <w:t xml:space="preserve">25,26 </w:t>
      </w:r>
      <w:r w:rsidRPr="00984859">
        <w:rPr>
          <w:rFonts w:ascii="Arial" w:eastAsia="Times New Roman" w:hAnsi="Arial" w:cs="Arial"/>
          <w:lang w:eastAsia="sr-Latn-RS"/>
        </w:rPr>
        <w:t>supstrat - indukovanog disanja (SIR) ili alternativnim metodama</w:t>
      </w:r>
      <w:r w:rsidRPr="00984859">
        <w:rPr>
          <w:rFonts w:ascii="Arial" w:eastAsia="Times New Roman" w:hAnsi="Arial" w:cs="Arial"/>
          <w:b/>
          <w:bCs/>
          <w:sz w:val="15"/>
          <w:szCs w:val="15"/>
          <w:vertAlign w:val="superscript"/>
          <w:lang w:eastAsia="sr-Latn-RS"/>
        </w:rPr>
        <w:t>20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XXXV </w:t>
      </w:r>
      <w:r w:rsidRPr="00984859">
        <w:rPr>
          <w:rFonts w:ascii="Arial" w:eastAsia="Times New Roman" w:hAnsi="Arial" w:cs="Arial"/>
          <w:lang w:eastAsia="sr-Latn-RS"/>
        </w:rPr>
        <w:t xml:space="preserve">Kapacitet zadržavanja vode u zemljištu se može meriti kao poljski kapacitet vlažnosti, kao kapacitet zadržavanja vode ili jačina upijanja vode (pF). Za objašnjenja videti Deo drugi ove metode. U izveštaju navesti ako su karakteristike retencije vode i gustoća mase zemljišta određeni u neporemećenim ili poremećenim (obrađenim) uzorcima.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1.8.3.2. Sakupljanje, rukovanje i skladištenje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Treba raspolagati detaljnim podacima o istorijatu lokacije na terenu odakle se skupljaju uzorci ispitivanog zemljišta. Detalji uključuju tačnu lokaciju, biljni pokrivač, tretiranje hemikalijama, tretman sa organskim i mineralnim đubrivima, dodatak bioloških materijala ili druge kontaminacije. Zemljišta tretirana sa ispitivanom supstancom ili njenim strukturnim analozima, u prethodne četiri godine ne smeju se koristiti u ispitivanju transformacije</w:t>
      </w:r>
      <w:r w:rsidRPr="00984859">
        <w:rPr>
          <w:rFonts w:ascii="Arial" w:eastAsia="Times New Roman" w:hAnsi="Arial" w:cs="Arial"/>
          <w:b/>
          <w:bCs/>
          <w:sz w:val="15"/>
          <w:szCs w:val="15"/>
          <w:vertAlign w:val="superscript"/>
          <w:lang w:eastAsia="sr-Latn-RS"/>
        </w:rPr>
        <w:t>10,15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Zemljište za ispitivanje je sveže skupljeno sa polja (od horizonta A ili 20 cm površinskog sloja) sa sadržajem vode koje olakšava prosejavanje. Za sva zemljišta osim onih sa pirinčanih polja, uzorke ne bi trebalo uzimati u toku ili odmah nakon dugih perioda (&gt; 30 dana) suše, smrzavanja ili plavljenja</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xml:space="preserve">. Uzorci se transportuju na način koji minimalizuje promene u sadržaju vode u zemljištu i drže se u mraku, u prisustvu vazduha, koliko god je moguće. Labavo vezana polietilenska vreća je obično dobra za ovu svrhu.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Zemljište obraditi što je ranije moguće nakon uzimanja uzoraka. Vegetaciju, veću faunu zemljišta i kamenje ukloniti pre prosejavanja zemljišta kroz sito promera 2 mm koje uklanja manje kamenje, faunu i ostatke bilja. Treba izbegavati jače sušenje i drobljenje zemljišta pre prosejavanja</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 je uzimanje uzoraka otežano, zimi u polju (zemljište je zamrznuto ili prekriveno slojevima snega), uzorak se može uzeti sa gomile zemljišta uskladištenog u stakleniku pod biljnim pokrivačem (npr. trava ili mešano trava - detelina). Za ispitivanja se strogo preporučuje upotreba uzoraka zemljišta koji su neposredno sakupljeni sa polja, ali ako se obrađeno i procesuirano zemljište skladišti pre početka ispitivanja, potrebno je da uslovi skladištenja biti adekvatni i samo na ograničeno vreme (temperatura od 4° C ±2° C, na maksimalno 3 meseca) da bi se održala mikrobiološka aktivnost</w:t>
      </w:r>
      <w:r w:rsidRPr="00984859">
        <w:rPr>
          <w:rFonts w:ascii="Arial" w:eastAsia="Times New Roman" w:hAnsi="Arial" w:cs="Arial"/>
          <w:b/>
          <w:bCs/>
          <w:sz w:val="15"/>
          <w:szCs w:val="15"/>
          <w:vertAlign w:val="superscript"/>
          <w:lang w:eastAsia="sr-Latn-RS"/>
        </w:rPr>
        <w:t>XXXVI</w:t>
      </w:r>
      <w:r w:rsidRPr="00984859">
        <w:rPr>
          <w:rFonts w:ascii="Arial" w:eastAsia="Times New Roman" w:hAnsi="Arial" w:cs="Arial"/>
          <w:lang w:eastAsia="sr-Latn-RS"/>
        </w:rPr>
        <w:t>. Detaljnija uputstva o sakupljanju, rukovanju i skladištenju zemljišta koja se koriste u metodi ispitivanja transformacije data su u literaturi</w:t>
      </w:r>
      <w:r w:rsidRPr="00984859">
        <w:rPr>
          <w:rFonts w:ascii="Arial" w:eastAsia="Times New Roman" w:hAnsi="Arial" w:cs="Arial"/>
          <w:b/>
          <w:bCs/>
          <w:sz w:val="15"/>
          <w:szCs w:val="15"/>
          <w:vertAlign w:val="superscript"/>
          <w:lang w:eastAsia="sr-Latn-RS"/>
        </w:rPr>
        <w:t>8,10,15,26,27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 ispitivanja zemljište predinkubirati da bi se dopustilo klijanje i uklanjanje semena kako bi se ponovno uspostavila ravnoteža mikrobiološkog metabolizma, prateći promene od uzorkovanja, ili uslova skladištenja do uslova inkubacije. Predinkubacioni period između 2 i 28 dana u toku koga se aproksimiraju uslovi temperature i vlage konkretne metode ispitivanja je opšte prihvaćen</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xml:space="preserve">. Vreme skladištenja i predinkubacije zajedno ne traje duže od tri meseca.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XXXVI</w:t>
      </w:r>
      <w:r w:rsidRPr="00984859">
        <w:rPr>
          <w:rFonts w:ascii="Arial" w:eastAsia="Times New Roman" w:hAnsi="Arial" w:cs="Arial"/>
          <w:lang w:eastAsia="sr-Latn-RS"/>
        </w:rPr>
        <w:t xml:space="preserve"> Rezultati nedavnih istraživanja ukazuju da se zemljišta iz umerenih zona mogu skladištiti na temperaturi -20 °C, više od tri meseca</w:t>
      </w:r>
      <w:r w:rsidRPr="00984859">
        <w:rPr>
          <w:rFonts w:ascii="Arial" w:eastAsia="Times New Roman" w:hAnsi="Arial" w:cs="Arial"/>
          <w:b/>
          <w:bCs/>
          <w:sz w:val="15"/>
          <w:szCs w:val="15"/>
          <w:vertAlign w:val="superscript"/>
          <w:lang w:eastAsia="sr-Latn-RS"/>
        </w:rPr>
        <w:t>28, 29</w:t>
      </w:r>
      <w:r w:rsidRPr="00984859">
        <w:rPr>
          <w:rFonts w:ascii="Arial" w:eastAsia="Times New Roman" w:hAnsi="Arial" w:cs="Arial"/>
          <w:lang w:eastAsia="sr-Latn-RS"/>
        </w:rPr>
        <w:t xml:space="preserve">, bez značajnog gubitka mikrobiološke aktivnosti.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 TOK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1.9.1. Uslovi u toku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1.9.1.1. Temperatura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čitavog ispitivanja, uzorke zemljišta inkubirati u mraku na konstantnoj temperaturi reprezentativnoj za uslove klime gde će se ispitivana supstanca upotrebljavati ili ispuštati. Temperatura od 20° C ± 2° C preporučuje se za sve ispitivane supstance koje mogu dopreti do zemljišta u umerenoj klimi. Temperatura se prati.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hemikalije koje se primenjuju ili ispuštaju u hladnijoj klimi (recimo u severnim zemljama, u toku jeseni/zime) inkubirati dodatne uzorke zemljišta, ali na nižoj temperaturi (10° C ± 2° 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1.9.1.2. Sadržaj vlage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ispitivanje transformacije u aerobnim uslovima, sadržaj vlage u zemljištu</w:t>
      </w:r>
      <w:r w:rsidRPr="00984859">
        <w:rPr>
          <w:rFonts w:ascii="Arial" w:eastAsia="Times New Roman" w:hAnsi="Arial" w:cs="Arial"/>
          <w:b/>
          <w:bCs/>
          <w:sz w:val="15"/>
          <w:szCs w:val="15"/>
          <w:vertAlign w:val="superscript"/>
          <w:lang w:eastAsia="sr-Latn-RS"/>
        </w:rPr>
        <w:t>XXXVII</w:t>
      </w:r>
      <w:r w:rsidRPr="00984859">
        <w:rPr>
          <w:rFonts w:ascii="Arial" w:eastAsia="Times New Roman" w:hAnsi="Arial" w:cs="Arial"/>
          <w:lang w:eastAsia="sr-Latn-RS"/>
        </w:rPr>
        <w:t xml:space="preserve"> prilagoditi i održati na pF između 2,0 i 2,5</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Sadržaj vlage u zemljištu se izražava kao masa vode po masi suvog zemljišta i redovno se kontroliše (npr. u intervalima od 2 nedelje) merenjem boca za inkubaciju, a gubitak vode nadoknaditi njenim dodavanjem (najbolje sterilnom, filtriranom vodovodnom vodom). Treba paziti da se pri dodavanju vode spreče ili minimalizuju gubici ispitivane supstance, odnosno proizvoda transformacije isparavanjem i/ili fotodegradacijom (ako se desi).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ispitivanje transformacije u anaerobnim uslovima i uslovima pirinčanih polja, zemljište da bude saturisano vodom, plavljenjem.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XXXVII</w:t>
      </w:r>
      <w:r w:rsidRPr="00984859">
        <w:rPr>
          <w:rFonts w:ascii="Arial" w:eastAsia="Times New Roman" w:hAnsi="Arial" w:cs="Arial"/>
          <w:lang w:eastAsia="sr-Latn-RS"/>
        </w:rPr>
        <w:t xml:space="preserve"> Zemljište da bude ni previše vlažno ni previše suvo da bi se održala adekvatna aeracija i ishrana zemljišne mikroflore. Sadržaj vlage za optimalni mikrobiološki rast je u rasponu od 40% do 60% kapaciteta zadržavanja vode (water holding capacity, WHC) i od 0,1 bara do 0,33 bara. Taj raspon je ekvivalentan rasponu pF od 2,0 do 2,5 jedinica. Tipičan sadržaj vlage raznih tipova zemljišta dat je u Delu trećem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1.9.1.3. Aerobni uslovi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protočnim sistemima, aerobni uslovi se održavaju isprekidanim ispiranjem ili kontinuiranim provetravanjem vlažnim vazduhom. U bocama tipa biometra, razmena vazduha se postiže difuzijom.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1.9.1.4. Sterilni aerobni uslovi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dobili podaci o značaju abiotičke transformacije ispitivane supstance, uzorci zemljišta se mogu sterilisati (za metode sterilizacije videti u literaturi</w:t>
      </w:r>
      <w:r w:rsidRPr="00984859">
        <w:rPr>
          <w:rFonts w:ascii="Arial" w:eastAsia="Times New Roman" w:hAnsi="Arial" w:cs="Arial"/>
          <w:sz w:val="15"/>
          <w:szCs w:val="15"/>
          <w:vertAlign w:val="superscript"/>
          <w:lang w:eastAsia="sr-Latn-RS"/>
        </w:rPr>
        <w:t>16,29</w:t>
      </w:r>
      <w:r w:rsidRPr="00984859">
        <w:rPr>
          <w:rFonts w:ascii="Arial" w:eastAsia="Times New Roman" w:hAnsi="Arial" w:cs="Arial"/>
          <w:lang w:eastAsia="sr-Latn-RS"/>
        </w:rPr>
        <w:t xml:space="preserve">), tretirani sterilnom ispitivanom supstancom (npr. dodavanje rastvora kroz sterilni filtar) i provetravati ovlaženim, sterilnim vazduhom kako je opisano u odeljku 1.9.1.3. ove metode. Za zemljišta sa pirinčanih polja, voda i zemljište da budu sterilisani, a inkubacija se obavlja kako je opisano u odeljku 1.9.1.6.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1.9.1.5. Anaerobni uslovi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uspostavili i održali anaerobni uslovi, zemljište koje je tretirano sa ispitivanom supstancom i inkubirano u aerobnim uslovima 30 dana ili u toku poluživota ili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(u zavisnosti od toga koje je vreme kraće) stavlja se u vodu (1 cm do 3 cm sloja vode) i inkubacioni sistem se ispere inertnim gasom (npr. azotom ili argonom)</w:t>
      </w:r>
      <w:r w:rsidRPr="00984859">
        <w:rPr>
          <w:rFonts w:ascii="Arial" w:eastAsia="Times New Roman" w:hAnsi="Arial" w:cs="Arial"/>
          <w:b/>
          <w:bCs/>
          <w:sz w:val="15"/>
          <w:szCs w:val="15"/>
          <w:vertAlign w:val="superscript"/>
          <w:lang w:eastAsia="sr-Latn-RS"/>
        </w:rPr>
        <w:t>XXXVIII</w:t>
      </w:r>
      <w:r w:rsidRPr="00984859">
        <w:rPr>
          <w:rFonts w:ascii="Arial" w:eastAsia="Times New Roman" w:hAnsi="Arial" w:cs="Arial"/>
          <w:lang w:eastAsia="sr-Latn-RS"/>
        </w:rPr>
        <w:t xml:space="preserve">. Ispitivani sistem </w:t>
      </w:r>
      <w:r w:rsidRPr="00984859">
        <w:rPr>
          <w:rFonts w:ascii="Arial" w:eastAsia="Times New Roman" w:hAnsi="Arial" w:cs="Arial"/>
          <w:lang w:eastAsia="sr-Latn-RS"/>
        </w:rPr>
        <w:lastRenderedPageBreak/>
        <w:t xml:space="preserve">omogućava merenja poput pH vrednosti, koncentracije kiseonika i redoks potencijala i sadrži aparaturu za hvatanje isparljivih proizvoda. Sistem tipa biometra je zatvoren da se izbegne ulazak vazduha difuzijom.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XXXVIII </w:t>
      </w:r>
      <w:r w:rsidRPr="00984859">
        <w:rPr>
          <w:rFonts w:ascii="Arial" w:eastAsia="Times New Roman" w:hAnsi="Arial" w:cs="Arial"/>
          <w:lang w:eastAsia="sr-Latn-RS"/>
        </w:rPr>
        <w:t xml:space="preserve">Aerobni uslovi su dominantni u površinskom i čak u pod-površinskom zemljištu, kao što je vidljivo iz istraživačkog projekta sponzorisanog od EU [K. Takagi et al. (1992). Microbial diversity and activity in subsoils: Methods, field site, seasonal variation in subsoil temperatures and oxygen contents. Proc. Internat. Symp. Environm. Aspects Pesticides Microbiol., 270-277, 17-21 August 1992, Sigtuna, Sweden]. Anaerobni uslovi se mogu pojaviti samo povremeno, tokom poplava nakon jakih kiša, ili kad se uspostavljaju uslovi posebnog navodnjavanja u pirinčanim poljima.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1.9.1.6. Uslovi inkubacije za zemljišta sa pirinčanih polja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ispitala transformacija u zemljištima pirinčanih polja, zemljište se plavi slojem vode od oko 1 cm do 5 cm i ispitivana supstanca se dodaje u vodenu fazu</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Preporučuje se dubina zemljišta od najmanje 5 cm. Sistem se aeriše u aerobnim uslovima. Vrednost pH, koncentraciju kiseonika i redoks potencijal vodenog sloja pratiti i navesti. Potreban je predinkubacioni period od najmanje dve nedelje pre početka ispitivanja transformacije (videti odeljak 1.8.3.2.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1.9.1.7. Dužina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Ispitivanja brzine i puteva ne treba da budu duža od 120 dana</w:t>
      </w:r>
      <w:r w:rsidRPr="00984859">
        <w:rPr>
          <w:rFonts w:ascii="Arial" w:eastAsia="Times New Roman" w:hAnsi="Arial" w:cs="Arial"/>
          <w:b/>
          <w:bCs/>
          <w:sz w:val="15"/>
          <w:szCs w:val="15"/>
          <w:vertAlign w:val="superscript"/>
          <w:lang w:eastAsia="sr-Latn-RS"/>
        </w:rPr>
        <w:t>XXXIX, 3,6,8</w:t>
      </w:r>
      <w:r w:rsidRPr="00984859">
        <w:rPr>
          <w:rFonts w:ascii="Arial" w:eastAsia="Times New Roman" w:hAnsi="Arial" w:cs="Arial"/>
          <w:lang w:eastAsia="sr-Latn-RS"/>
        </w:rPr>
        <w:t>, jer bi se nakon toga, vremenom, očekivalo smanjenje mikrobiološke aktivnosti, u veštačkom laboratorijskom sistemu, izolovanom od prirodnog nadopunjavanja. Ispitivanja se mogu produžiti na duže periode tamo gde je potrebno okarakterisati smanjenje ispitivane supstance i stvaranje i razlaganje glavnih proizvoda transformacije. (npr. 6 ili 12 meseci)</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Duže periode inkubacije obrazložiti u izveštaju o ispitivanju uz propratna merenja biomase u toku i na kraju ovih perioda.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XXXIX</w:t>
      </w:r>
      <w:r w:rsidRPr="00984859">
        <w:rPr>
          <w:rFonts w:ascii="Arial" w:eastAsia="Times New Roman" w:hAnsi="Arial" w:cs="Arial"/>
          <w:lang w:eastAsia="sr-Latn-RS"/>
        </w:rPr>
        <w:t xml:space="preserve"> Aerobna ispitivanja se mogu prekinuti mnogo pre 120 dana ako se za to vreme utvrde konačni put transformacije i postigne potpuna mineralizacija. Prekid ispitivanja je moguć posle 120 dana, ili kada se barem 90% ispitivane supstance transformiše, ali samo ako se formira najmanje 5%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1.9.2. Tok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Otprilike 50 g do 200 g zemljišta (suve mase) stavlja se u svaku inkubacionu bocu (videti Sliku 1 i 2 u Delu trećem ove metode) i zemljište se tretira ispitivanom supstancom, korišćenjem neke od metoda opisanih u odeljku 1.8.2. ove metode. Ako se koriste organski rastvarači za nanošenje ispitivane supstance, oni se uklone iz zemljišta isparavanjem. Zemljište se dobro promeša spatulom, odnosno boca se protrese. Ako se ispitivanje izvodi u uslovima pirinčanih polja, zemljište dobro promešati sa vodom nakon primene ispitivane supstance. Manje uzorke (npr. od 1 g) tretiranog zemljišta analizirati na ispitivanu supstancu da bi se proverila ravnomernost raspodele.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Ispitivana doza da bude usaglašena sa najvišom primenjenom dozom sredstva za zaštitu bilja preporučenom u uputstvu za upotrebu i ravnomerne primene na odgovarajućim dubinama u polju (u gornjih 10 cm sloja</w:t>
      </w:r>
      <w:r w:rsidRPr="00984859">
        <w:rPr>
          <w:rFonts w:ascii="Arial" w:eastAsia="Times New Roman" w:hAnsi="Arial" w:cs="Arial"/>
          <w:b/>
          <w:bCs/>
          <w:sz w:val="15"/>
          <w:szCs w:val="15"/>
          <w:vertAlign w:val="superscript"/>
          <w:lang w:eastAsia="sr-Latn-RS"/>
        </w:rPr>
        <w:t>XL</w:t>
      </w:r>
      <w:r w:rsidRPr="00984859">
        <w:rPr>
          <w:rFonts w:ascii="Arial" w:eastAsia="Times New Roman" w:hAnsi="Arial" w:cs="Arial"/>
          <w:lang w:eastAsia="sr-Latn-RS"/>
        </w:rPr>
        <w:t xml:space="preserve"> zemljišta). Na primer, za hemikalije koje se primenjuju na lišće ili zemljište, ali bez inkorporacije, 2,5 cm je prikladna dubina za izračunavanje koliko hemikalije dodati u svaku bocu. Za hemikalije unete u zemljište, </w:t>
      </w:r>
      <w:r w:rsidRPr="00984859">
        <w:rPr>
          <w:rFonts w:ascii="Arial" w:eastAsia="Times New Roman" w:hAnsi="Arial" w:cs="Arial"/>
          <w:lang w:eastAsia="sr-Latn-RS"/>
        </w:rPr>
        <w:lastRenderedPageBreak/>
        <w:t xml:space="preserve">prikladna dubina je ona navedena u uputstvima za upotrebu. Uopšteno, za hemikalije brzina primene se procenjuje prema najznačajnijem putu ulaska. Na primer, kad je glavni put ulaska preko kanalizacionog mulja, hemikaliju dozirati u mulj, u koncentraciji koja odražava očekivanu koncentraciju mulja, a količina dodatog mulja odražava uobičajeni mulj koji se dodaje poljoprivrednim zemljištima. Ako ova koncentracija nije dovoljno visoka da omogući identifikaciju glavnih proizvoda transformacije, mogla bi pomoći inkubacija odvojenih uzoraka zemljišta koji sadrže veći opseg, ali izbegavati prevelike količine koje utiču na mikrobiološke funkcije zemljišta (videti odeljke 1.5. i 1.8.2.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Veći komad zemljišta (npr. 1 kg do 2 kg) može se tretirati ispitivanom supstancom, pažljivo pomešati u odgovarajućoj mešalici i podeliti u manje porcije od 50 g do 200 g u boce za inkubaciju (korišćenjem razvodnika). Manje alikvote (npr. 1 g) tretiranog zemljišta analizirati na ispitivanu supstancu da bi se proverila ravnomernost raspodele. Takva procedura ima prednosti jer dopušta ravnomerniju raspodelu ispitivane supstance u zemljištu.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Neobrađeni uzorci se takođe inkubiraju u istim uslovima (aerobnim) kao i uzorci tretirani ispitivanom supstancom. Ti uzorci se koriste za merenje biomase u toku i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Kada se ispitivana supstanca primenjuje na zemljište rastvorena u organskim rastvaračima, uzorci zemljišta tretirani istom količinom rastvarača inkubiraju se u istim uslovima (aerobnim), kao i uzorci tretirani ispitivanom supstancom. Ovi uzorci se koriste za merenje biomase u početku, u toku i na kraju ispitivanja, da bi se proverili efekti rastvarača na mikrobiološku biomasu.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Boce koje sadrže tretirano zemljište se ili spajaju na protočne sisteme opisane na Slici 1, ili se zatvaraju apsorpcionom kolonom prikazanom na Slici 2 (videti Deo četvrti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XL</w:t>
      </w:r>
      <w:r w:rsidRPr="00984859">
        <w:rPr>
          <w:rFonts w:ascii="Arial" w:eastAsia="Times New Roman" w:hAnsi="Arial" w:cs="Arial"/>
          <w:lang w:eastAsia="sr-Latn-RS"/>
        </w:rPr>
        <w:t xml:space="preserve"> Izračunavanje početne koncentracije na bazi površine dato je jednačinom:</w:t>
      </w:r>
      <w:r w:rsidRPr="00984859">
        <w:rPr>
          <w:rFonts w:ascii="Arial" w:eastAsia="Times New Roman" w:hAnsi="Arial" w:cs="Arial"/>
          <w:lang w:eastAsia="sr-Latn-RS"/>
        </w:rPr>
        <w:br/>
      </w:r>
      <w:r>
        <w:rPr>
          <w:rFonts w:ascii="Arial" w:eastAsia="Times New Roman" w:hAnsi="Arial" w:cs="Arial"/>
          <w:noProof/>
          <w:lang w:val="en-US"/>
        </w:rPr>
        <w:drawing>
          <wp:inline distT="0" distB="0" distL="0" distR="0">
            <wp:extent cx="5743575" cy="619125"/>
            <wp:effectExtent l="0" t="0" r="9525" b="9525"/>
            <wp:docPr id="165" name="Picture 165" descr="C:\Program Files (x86)\ParagrafLex\browser\Files\Old\t\t2013_12\t12_0570_s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Program Files (x86)\ParagrafLex\browser\Files\Old\t\t2013_12\t12_0570_s146.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43575" cy="61912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zemljišta</w:t>
      </w:r>
      <w:r w:rsidRPr="00984859">
        <w:rPr>
          <w:rFonts w:ascii="Arial" w:eastAsia="Times New Roman" w:hAnsi="Arial" w:cs="Arial"/>
          <w:lang w:eastAsia="sr-Latn-RS"/>
        </w:rPr>
        <w:t xml:space="preserve"> jeste početna koncentracija u zemljištu (mg/kg); </w:t>
      </w:r>
      <w:r w:rsidRPr="00984859">
        <w:rPr>
          <w:rFonts w:ascii="Arial" w:eastAsia="Times New Roman" w:hAnsi="Arial" w:cs="Arial"/>
          <w:lang w:eastAsia="sr-Latn-RS"/>
        </w:rPr>
        <w:br/>
        <w:t>A jeste doza za primenu (mg/kg);</w:t>
      </w:r>
      <w:r w:rsidRPr="00984859">
        <w:rPr>
          <w:rFonts w:ascii="Arial" w:eastAsia="Times New Roman" w:hAnsi="Arial" w:cs="Arial"/>
          <w:lang w:eastAsia="sr-Latn-RS"/>
        </w:rPr>
        <w:br/>
        <w:t>l jeste debljina zemljišnog sloja u polju [m]; d = gustina suve zemljišne mase (kg/m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w:t>
      </w:r>
      <w:r w:rsidRPr="00984859">
        <w:rPr>
          <w:rFonts w:ascii="Arial" w:eastAsia="Times New Roman" w:hAnsi="Arial" w:cs="Arial"/>
          <w:lang w:eastAsia="sr-Latn-RS"/>
        </w:rPr>
        <w:br/>
        <w:t>Aproksimativno, doza primene od 1 kg/ha jeste približno 1 mg/kg zemljišne koncentracije u sloju od 10 cm (pretpostavljajući gustinu mase od 1 g/cm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1.9.3. Uzimanje uzoraka i merenje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Duple boce za inkubaciju uklanjaju se u odgovarajućim vremenskim intervalima i uzorci zemljišta ekstrahuju odgovarajućim rastvaračima različite polarnosti i analiziraju na ispitivanu supstancu, odnosno proizvode transformacije. Dobro osmišljeno ispitivanje uključuje dovoljno boca tako da se dve boce mogu odbaciti pri svakom uzimanju uzoraka. Rastvori za apsorpciju ili kruti materijali za apsorpciju uklanjaju se u različitim vremenskim intervalima (7-dnevni intervali u toku prvog meseca i 17-dnevni intervali nakon prvog meseca), u toku i na kraju inkubacije svakog uzorka zemljišta i analiziraju na isparljive produkte. Osim uzorka zemljišta uzetog neposredno nakon primene (uzorak, nultog dana) uključiti najmanje 5 dodatnih tačaka uzorkovanja. Vremenske intervale izabrati tako da se obrazac opadanja </w:t>
      </w:r>
      <w:r w:rsidRPr="00984859">
        <w:rPr>
          <w:rFonts w:ascii="Arial" w:eastAsia="Times New Roman" w:hAnsi="Arial" w:cs="Arial"/>
          <w:lang w:eastAsia="sr-Latn-RS"/>
        </w:rPr>
        <w:lastRenderedPageBreak/>
        <w:t xml:space="preserve">ispitivane supstance i obrasci stvaranja i razlaganja produkata transformacije mogu uspostaviti (npr. 0, 1, 3, 7. dan; 2, 3. nedelja; 1, 2, 3. mesec,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Kada se koristi ispitivana supstanca označena ugljenikom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 radioaktivnost koja se ne može ekstrahovati kvantifikovaće se spaljivanjem, a maseni balans će se izračunati za svaki interval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anaerobne inkubacije i inkubacije navodnjavanih uzoraka, faza zemljišta i vode zajedno se analiziraju na ispitivanu supstancu i proizvode transformacije, ili se odvajaju filtracijom, ili centrifugom pre ekstrakcije i analize.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1.9.4. Fakultativna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Aerobna, nesterilna ispitivanja na dodatnim temperaturama mogu biti korisne za procenu uticaja temperature i vlage u zemljištu na brzinu transformacije ispitivane supstance, odnosno njenih proizvoda transformacije u zemljištu.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Dodatna karakterizacija radioaktivnosti koja se ne može ekstrahovati može se pokušati upotrebom, na primer superkritične tečne ekstrakcije.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Količine ispitivane supstance, proizvoda transformacije, isparljivih supstanci (samo u procentima) i supstanci koje se ne mogu ekstrahovati izražavaju se u procentu primenjene početne koncentracije i gde je prikladno, kao mg/kg zemljišta (na bazi suve mase zemljišta) za svaki interval uzorkovanja. Maseni balans se izražava kao procenat primenjene početne koncentracije za svaki interval uzorkovanja. Grafički prikaz koncentracija supstance u funkciji vremena omogućiće procenu poluživota ili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Glavni proizvodi transformacije identifikuju se i njihove koncentracije se takođe prikazuju u funkciji vremena, da bi se pokazala brzina njihovog nastanka i raspada. Glavni proizvod transformacije je bilo koji proizvod koji predstavlja ≥ 10% primenjene doze, u bilo koje vreme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Isparljivi proizvodi koji se uhvate daju naznaku potencijala isparljivosti ispitivane supstance i njenih proizvoda transformacije iz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Preciznija određivanja poluživota ili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i ako je prikladno, DT</w:t>
      </w:r>
      <w:r w:rsidRPr="00984859">
        <w:rPr>
          <w:rFonts w:ascii="Arial" w:eastAsia="Times New Roman" w:hAnsi="Arial" w:cs="Arial"/>
          <w:sz w:val="15"/>
          <w:szCs w:val="15"/>
          <w:vertAlign w:val="subscript"/>
          <w:lang w:eastAsia="sr-Latn-RS"/>
        </w:rPr>
        <w:t>75</w:t>
      </w:r>
      <w:r w:rsidRPr="00984859">
        <w:rPr>
          <w:rFonts w:ascii="Arial" w:eastAsia="Times New Roman" w:hAnsi="Arial" w:cs="Arial"/>
          <w:lang w:eastAsia="sr-Latn-RS"/>
        </w:rPr>
        <w:t xml:space="preserve"> i DT</w:t>
      </w:r>
      <w:r w:rsidRPr="00984859">
        <w:rPr>
          <w:rFonts w:ascii="Arial" w:eastAsia="Times New Roman" w:hAnsi="Arial" w:cs="Arial"/>
          <w:sz w:val="15"/>
          <w:szCs w:val="15"/>
          <w:vertAlign w:val="subscript"/>
          <w:lang w:eastAsia="sr-Latn-RS"/>
        </w:rPr>
        <w:t>90</w:t>
      </w:r>
      <w:r w:rsidRPr="00984859">
        <w:rPr>
          <w:rFonts w:ascii="Arial" w:eastAsia="Times New Roman" w:hAnsi="Arial" w:cs="Arial"/>
          <w:lang w:eastAsia="sr-Latn-RS"/>
        </w:rPr>
        <w:t xml:space="preserve"> vrednosti postižu se primenom odgovarajućih kalkulacija pomoću kinetičkih modela. Poluživot ili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vrednosti navode se u izveštaju zajedno sa opisom modela koji je korišćen, kao i redom kinetike i koeficijentom određivanja (r</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Poželjnija je kinetika prvog reda, osim ako je r</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&lt; 0,7. Ako je prikladno, kalkulacije se takođe primenjuju na glavne proizvode transformacije. Primeri prikladnih modela dati su u literaturi</w:t>
      </w:r>
      <w:r w:rsidRPr="00984859">
        <w:rPr>
          <w:rFonts w:ascii="Arial" w:eastAsia="Times New Roman" w:hAnsi="Arial" w:cs="Arial"/>
          <w:b/>
          <w:bCs/>
          <w:sz w:val="15"/>
          <w:szCs w:val="15"/>
          <w:vertAlign w:val="superscript"/>
          <w:lang w:eastAsia="sr-Latn-RS"/>
        </w:rPr>
        <w:t>31-35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ispitivanja brzina na različitim temperaturama, brzine transformacije opisane su Arenijusovom jednačinom, kao funkcija temperature unutar opsega ispitivane temperature: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 = A x e</w:t>
      </w:r>
      <w:r w:rsidRPr="00984859">
        <w:rPr>
          <w:rFonts w:ascii="Arial" w:eastAsia="Times New Roman" w:hAnsi="Arial" w:cs="Arial"/>
          <w:sz w:val="15"/>
          <w:szCs w:val="15"/>
          <w:vertAlign w:val="superscript"/>
          <w:lang w:eastAsia="sr-Latn-RS"/>
        </w:rPr>
        <w:t>-B/T</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60"/>
        <w:gridCol w:w="796"/>
        <w:gridCol w:w="7156"/>
      </w:tblGrid>
      <w:tr w:rsidR="00984859" w:rsidRPr="00984859" w:rsidTr="00984859">
        <w:trPr>
          <w:tblCellSpacing w:w="0" w:type="dxa"/>
        </w:trPr>
        <w:tc>
          <w:tcPr>
            <w:tcW w:w="1155" w:type="dxa"/>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lnk = ln A - </w:t>
            </w:r>
          </w:p>
        </w:tc>
        <w:tc>
          <w:tcPr>
            <w:tcW w:w="1275" w:type="dxa"/>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 </w:t>
            </w:r>
          </w:p>
        </w:tc>
        <w:tc>
          <w:tcPr>
            <w:tcW w:w="1275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1275" w:type="dxa"/>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 </w:t>
            </w:r>
          </w:p>
        </w:tc>
        <w:tc>
          <w:tcPr>
            <w:tcW w:w="12750" w:type="dxa"/>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ln A i B jesu konstante regresije iz prekida i nagiba, najbolje aproksimiranog pravca generisanog linearnom regresijom ln k prema 1/T;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k</w:t>
      </w:r>
      <w:r w:rsidRPr="00984859">
        <w:rPr>
          <w:rFonts w:ascii="Arial" w:eastAsia="Times New Roman" w:hAnsi="Arial" w:cs="Arial"/>
          <w:lang w:eastAsia="sr-Latn-RS"/>
        </w:rPr>
        <w:t xml:space="preserve"> jeste konstanta brzine na temperaturi 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temperatura u kelvinima (K).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paziti na ograničeni opseg temperatura za koje će Arenijusova relacija biti važeća u slučaju da je transformacija dirigovana mikrobiološkom aktivnošću.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PROCENA I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Iako se ispitivanja izvode u veštačkim laboratorijskim uslovima, rezultati omogućavaju procenu brzine transformacije ispitivane supstance, kao i brzinu stvaranja i raspada proizvoda transformacije u terenskim uslovima</w:t>
      </w:r>
      <w:r w:rsidRPr="00984859">
        <w:rPr>
          <w:rFonts w:ascii="Arial" w:eastAsia="Times New Roman" w:hAnsi="Arial" w:cs="Arial"/>
          <w:b/>
          <w:bCs/>
          <w:sz w:val="15"/>
          <w:szCs w:val="15"/>
          <w:vertAlign w:val="superscript"/>
          <w:lang w:eastAsia="sr-Latn-RS"/>
        </w:rPr>
        <w:t>36,37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Studija puteva transformacije ispitivane supstance daje podatke o načinu na koji se primenjena supstanca strukturno menja u zemljištu hemijskim i mikrobiološkim reakcijama.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ime, hemijski naziv, CAS broj, strukturna formula (naznačujući mesto obeležavanja, kad se koristi materijal označen radioizotopima) i odgovarajuća fizička i hemijska svojstva (videti odeljak 1.5.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čistoća (nečistoće)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radiohemijska čistoća obeležene hemikalije i specifična aktivnost (gde je prikladno);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referentnim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hemijski naziv i struktura referentnih supstanci koje se koriste za karakterizaciju, odnosno identifikaciju proizvoda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ispitivanom zemljištu: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detalji o mestu sakupljanja;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i procedura uzimanja uzoraka zemljišta;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svojstva zemljišta, kao što su pH vrednost, sadržaj organskog ugljenika, tekstura (% peska, % mulja, % gline), katjonski izmenjivački kapacitet, gustoća mase, svojstva zadržavanja vode i mikrobiološka biomasa;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dužina skladištenja zemljišta i uslovi skladištenja (ako je skladišteno);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4) uslovima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datumi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količina primenjene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upotrebljeni rastvarači i metoda njihove primene na ispitivanu supstancu;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masa zemljišta tretiranog u početku i uzorkovanog u svakom intervalu za analizu;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korišćenog sistema za inkubaciju;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protoci vazduha (samo za protočne sisteme);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temperature u ispitivanom sistemu;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sadržaj vlage u zemljištu u toku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mikrobiološka biomasa u početku, u toku i na kraju aerobnih studija;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koncentracija kiseonika i redoks potencijal u početku, u toku i na kraju anaerobnih i studija pirinčanih polja;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ekstrakcije;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za kvantifikaciju i identifikaciju ispitivane supstance i glavnih proizvoda transformacije u zemljištu i apsorpcionim materijalima;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replika i broj kontrola.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 određivanja mikrobiološke aktivnosti;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ponovljivost i osetljivost korišćenih analitičkih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efikasnost primenjene analitičke tehnike (procenat vrednosti za prihvatljivu studiju su date u odeljku 1.7.1.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tabela rezultata izražena u procentima primenjene početne doze i gde je prikladno, u mg/kg tla (na bazi suve 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maseni balans u toku i na kraju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karakterizacija radioaktivnosti koja se ne može ekstrahovati (vezana) ili rezidua u zemljištu;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kvantifikacija ispuštenog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ostalih isparljivih materija;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 prikaz koncentracija u zemljištu u funkciji vremena za ispitivanu supstancu i gde je prikladno, za glavne proizvode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poluživot ili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DT</w:t>
      </w:r>
      <w:r w:rsidRPr="00984859">
        <w:rPr>
          <w:rFonts w:ascii="Arial" w:eastAsia="Times New Roman" w:hAnsi="Arial" w:cs="Arial"/>
          <w:sz w:val="15"/>
          <w:szCs w:val="15"/>
          <w:vertAlign w:val="subscript"/>
          <w:lang w:eastAsia="sr-Latn-RS"/>
        </w:rPr>
        <w:t>75</w:t>
      </w:r>
      <w:r w:rsidRPr="00984859">
        <w:rPr>
          <w:rFonts w:ascii="Arial" w:eastAsia="Times New Roman" w:hAnsi="Arial" w:cs="Arial"/>
          <w:lang w:eastAsia="sr-Latn-RS"/>
        </w:rPr>
        <w:t xml:space="preserve"> i DT</w:t>
      </w:r>
      <w:r w:rsidRPr="00984859">
        <w:rPr>
          <w:rFonts w:ascii="Arial" w:eastAsia="Times New Roman" w:hAnsi="Arial" w:cs="Arial"/>
          <w:sz w:val="15"/>
          <w:szCs w:val="15"/>
          <w:vertAlign w:val="subscript"/>
          <w:lang w:eastAsia="sr-Latn-RS"/>
        </w:rPr>
        <w:t>90</w:t>
      </w:r>
      <w:r w:rsidRPr="00984859">
        <w:rPr>
          <w:rFonts w:ascii="Arial" w:eastAsia="Times New Roman" w:hAnsi="Arial" w:cs="Arial"/>
          <w:lang w:eastAsia="sr-Latn-RS"/>
        </w:rPr>
        <w:t xml:space="preserve"> za ispitivanu supstancu i gde je prikladno, za glavne proizvode transformacije uključujući intervale poverenja;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procena abiotičke degradacije u sterilnim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procena kinetike transformacije za ispitivanu supstancu i gde je prikladno, za glavne proizvode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predložen put transformacije, gde je prikladno;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neobrađeni podaci (npr. primeri hromatograma, uzorci kalkulacija brzina transformacije i načina za identifikaciju proizvoda transformacije).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US - Environmental Protection Agency, (1982) Pesticide Assessment Guidelines, Subdivision N.Chemistry: Environmental Fate.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Agriculture Canada, (1987) Environmental Chemistry and Fate. Guidelines for registration of pesticidesin Canada.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European Union (EU), (1995) Commission Directive 95/36/EC of 14 July 1995 amending CouncilDirective 91/414/EEC concerning the placing of plant protection products on the market. Annex II,Part A and Annex III, Part A: Fate and Behaviour in the Environment.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Dutch Commission for Registration of Pesticides, (1995) Application for registration of a pesticide.Section G: Behaviour of the product and its metabolites in soil, water and air.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BBA, (1986) Richtlinie für die amtliche Prüfung von Pflanzenschutzmitteln, Teil IV, 4-1. Verbleib vonPflanzenschutzmitteln im Boden - Abbau, Umwandlung und Metabolismus.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ISO/DIS 11266-1, (1994) Soil Quality -Guidance on laboratory tests for biodegradation of organicchemicals in soil - Part 1: Aerobic conditions.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ISO 14239, (1997) Soil Quality - Laboratory incubation systems for measuring the mineralisation oforganic chemicals in soil under aerobic conditions.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SETAC, (1995) Procedures for Assessing the Environmental Fate and Ecotoxicity of Pesticides. Mark R.Lynch, 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MAFF - Japan 2000 - Draft Guidelines for transformation studies of pesticides in soil - Aerobicmetabolism study in soil under paddy field conditions (flooded).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OECD, (1995) Final Report of the OECD Workshop on Selection of Soils/Sediments. Belgirate, Italy, 18-20 January 1995.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Guth, J.A., (1980) The study of transformations. In Interactions between Herbicides and the Soil (R.J.Hance, Ed.), Academic Press, p. 123-157.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DFG: Pesticide Bound Residues in Soil. Wiley - VCH (1998).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13. T.R. Roberts: Non-extractable pesticide residue in soils and plants. Pure Appl. Chem. 56, 945-956 (IUPAC1984).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OECD Test Guideline 304 A: Inherent Biodegradability in Soil (adopted 12 May 1981).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ISO 10381-6 (1993) Soil Quality - Sampling - Part 6: Guidance on the collection, handling andstorage of soil for the assessment of aerobic microbial processes in the laboratory.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Appendix V to Directive 67/548/EEC.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Guth, J.A., (1981) Experimental approaches to studying the fate of pesticides in soil. In Progress inPesticide Biochemistry. D.H. Hutson, T.R. Roberts, Eds. J. Wiley &amp; Sons. Vol 1, 85-114.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Soil Texture Classification (US and FAO systems): Weed Science, 33, Suppl. 1 (1985) and Soil Sci. Soc.Amer. Proc. 26:305 (1962).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Methods of Soil Analysis (1986) Part 1, Physical and Mineralogical Methods. A. Klute, Ed.) AgronomySeries No 9, 2nd Edition.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Methods of Soil Analysis (1982) Part 2, Chemical and Microbiological Properties. A.L. Page, R.H. Millerand D.R. Kelney, Eds. Agronomy Series No 9, 2nd Edition.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ISO Standard Compendium Environment (1994) Soil Quality - General aspects; chemical and physicalmethods of analysis; biological methods of analysis. First Edition.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Mückenhausen, E., (1975) Die Bodenkunde und ihre geologischen, geomorphologischen, mineralogischenund petrologischen Grundlagen. DLG-Verlag, Frankfurt, Main.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Scheffer, F., Schachtschabel, P., (1975) Lehrbuch der Bodenkunde. F. Enke Verlag, Stuttgart.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Anderson, J.P.E., Domsch, K.H., (1978) A physiological method for the quantitative measurement ofmicrobial biomass in soils. Soil Biol. Biochem. 10, p. 215-221.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 ISO 14240-1 and 2 (1997) Soil Quality - Determination of soil microbial biomass - Part 1: Substrateinducedrespiration method. Part 2: fumigation-extraction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 Anderson, J.P.E., (1987) Handling and storage of soils for pesticide experiments. In Pesticide Effects onSoil Microflora. L. Somerville, M.P. Greaves, Eds. Taylor &amp; Francis, 45-60.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27. Kato, Yasuhiro. (1998) Mechanism of pesticide transformation in the environment: Aerobic and biotransformationof pesticides in aqueous environment. Proceedings of the 16th Symposium on Environmental Science of Pesticide, p. 105-120.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28. Keuken O., Anderson J.P.E., (1996) Influence of storage on biochemical processes in soil. In Pesticides,Soil Microbiology and Soil Quality, 59-63 (SETAC-Europe).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29. Stenberg B., Johansson M., Pell M., Sjödahl-Svensson K., Stenström J., Torstensson L. (1996) Effect offreeze and cold storage of soil on microbial activities and biomass. In Pesticides, Soil Microbiology andSoil Quality, 68-69 (SETAC-Europe).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30. Gennari, M., Negre, M., Ambrosoli, R., (1987) Effects of ethylene oxide on soil microbial content andsome chemical characteristics. Plant and Soil 102, p. 197-200.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31. Anderson, J.P.E. (1975) Einfluss von Temperatur und Feuchte auf Verdampfung, Abbau und Festlegungvon Diallat im Boden. Z. PflKrankh Pflschutz, Sonderheft VII, p. 141-146.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32. Hamaker, J.W., (1976) The application of mathematical modelling to the soil persistence and accumulation of pesticides. Proc. BCPC Symposium: Persistence of Insecticides and Herbicides, p. 181-199.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33. Goring, C.A.I., Laskowski, D.A., Hamaker, J.W., Meikle, R.W., (1975) Principles of pesticide degradation in soil. In 'Environmental Dynamics of Pesticides'. R. Haque and V.H. Freed, Eds., p. 135-172.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34. Timme, G., Frehse, H., Laska, V., (1986) Statistical interpretation and graphic representation of the degradational behaviour of pesticide residues. II. Pflanzenschutz - Nachrichten Bayer 39, p. 188-204.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35. Timme, G., Frehse, H., (1980) Statistical interpretation and graphic representation of the degradational behaviour of pesticide residues. I. Pflanzenschutz - Nachrichten Bayer 33, p. 47-60.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36. Gustafson D.I., Holden L.R., (1990) Non-linear pesticide dissipation in soil; a new model based on spatial variability. Environm. Sci. Technol. 24, p. 1032-1041.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37. Hurle K., Walker A., (1980) Persistence and its prediction. In Interactions between Herbicides and the Soil (R.J. Hance, Ed.), Academic Press, p. 83-122.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NAPON VODE, POLJSKI KAPACITET ZEMLJIŠTA (FC) I KAPACITET ZADRŽAVANJA VODE (WHC)</w:t>
      </w:r>
      <w:r w:rsidRPr="00984859">
        <w:rPr>
          <w:rFonts w:ascii="Arial" w:eastAsia="Times New Roman" w:hAnsi="Arial" w:cs="Arial"/>
          <w:b/>
          <w:bCs/>
          <w:sz w:val="15"/>
          <w:szCs w:val="15"/>
          <w:vertAlign w:val="superscript"/>
          <w:lang w:eastAsia="sr-Latn-RS"/>
        </w:rPr>
        <w:t>XLI</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73"/>
        <w:gridCol w:w="615"/>
        <w:gridCol w:w="873"/>
        <w:gridCol w:w="4371"/>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Visina vodenog stupa (cm)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pF</w:t>
            </w:r>
            <w:r w:rsidRPr="00984859">
              <w:rPr>
                <w:rFonts w:ascii="Arial" w:eastAsia="Times New Roman" w:hAnsi="Arial" w:cs="Arial"/>
                <w:b/>
                <w:bCs/>
                <w:sz w:val="15"/>
                <w:szCs w:val="15"/>
                <w:vertAlign w:val="superscript"/>
                <w:lang w:eastAsia="sr-Latn-RS"/>
              </w:rPr>
              <w:t>XLII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bap</w:t>
            </w:r>
            <w:r w:rsidRPr="00984859">
              <w:rPr>
                <w:rFonts w:ascii="Arial" w:eastAsia="Times New Roman" w:hAnsi="Arial" w:cs="Arial"/>
                <w:b/>
                <w:bCs/>
                <w:sz w:val="15"/>
                <w:szCs w:val="15"/>
                <w:vertAlign w:val="superscript"/>
                <w:lang w:eastAsia="sr-Latn-RS"/>
              </w:rPr>
              <w:t>XLIII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Napomene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Suvo zemljište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 x 104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Tačka uvenuća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 x 102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 x 102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0,33</w:t>
            </w:r>
            <w:r w:rsidRPr="00984859">
              <w:rPr>
                <w:rFonts w:ascii="Arial" w:eastAsia="Times New Roman" w:hAnsi="Arial" w:cs="Arial"/>
                <w:b/>
                <w:bCs/>
                <w:sz w:val="15"/>
                <w:szCs w:val="15"/>
                <w:vertAlign w:val="superscript"/>
                <w:lang w:eastAsia="sr-Latn-RS"/>
              </w:rPr>
              <w:t>XLIV</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87"/>
              <w:gridCol w:w="3818"/>
            </w:tblGrid>
            <w:tr w:rsidR="00984859" w:rsidRPr="00984859">
              <w:trPr>
                <w:trHeight w:val="509"/>
                <w:tblCellSpacing w:w="0" w:type="dxa"/>
              </w:trPr>
              <w:tc>
                <w:tcPr>
                  <w:tcW w:w="0" w:type="auto"/>
                  <w:vMerge w:val="restar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r>
                    <w:rPr>
                      <w:rFonts w:ascii="Arial" w:eastAsia="Times New Roman" w:hAnsi="Arial" w:cs="Arial"/>
                      <w:noProof/>
                      <w:lang w:val="en-US"/>
                    </w:rPr>
                    <w:drawing>
                      <wp:inline distT="0" distB="0" distL="0" distR="0">
                        <wp:extent cx="219075" cy="942975"/>
                        <wp:effectExtent l="0" t="0" r="9525" b="9525"/>
                        <wp:docPr id="164" name="Picture 164" descr="C:\Program Files (x86)\ParagrafLex\browser\Files\Old\t\t2013_12\t12_0570_s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Program Files (x86)\ParagrafLex\browser\Files\Old\t\t2013_12\t12_0570_s147.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9075" cy="942975"/>
                                </a:xfrm>
                                <a:prstGeom prst="rect">
                                  <a:avLst/>
                                </a:prstGeom>
                                <a:noFill/>
                                <a:ln>
                                  <a:noFill/>
                                </a:ln>
                              </pic:spPr>
                            </pic:pic>
                          </a:graphicData>
                        </a:graphic>
                      </wp:inline>
                    </w:drawing>
                  </w:r>
                </w:p>
              </w:tc>
              <w:tc>
                <w:tcPr>
                  <w:tcW w:w="0" w:type="auto"/>
                  <w:vMerge w:val="restart"/>
                  <w:vAlign w:val="center"/>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Opseg poljskog kapaciteta tla</w:t>
                  </w:r>
                  <w:r w:rsidRPr="00984859">
                    <w:rPr>
                      <w:rFonts w:ascii="Arial" w:eastAsia="Times New Roman" w:hAnsi="Arial" w:cs="Arial"/>
                      <w:sz w:val="15"/>
                      <w:szCs w:val="15"/>
                      <w:vertAlign w:val="superscript"/>
                      <w:lang w:eastAsia="sr-Latn-RS"/>
                    </w:rPr>
                    <w:t>XLV</w:t>
                  </w:r>
                </w:p>
              </w:tc>
            </w:tr>
            <w:tr w:rsidR="00984859" w:rsidRPr="00984859">
              <w:trPr>
                <w:trHeight w:val="276"/>
                <w:tblCellSpacing w:w="0" w:type="dxa"/>
              </w:trPr>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trPr>
                <w:trHeight w:val="276"/>
                <w:tblCellSpacing w:w="0" w:type="dxa"/>
              </w:trPr>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r w:rsidR="00984859" w:rsidRPr="00984859">
              <w:trPr>
                <w:trHeight w:val="276"/>
                <w:tblCellSpacing w:w="0" w:type="dxa"/>
              </w:trPr>
              <w:tc>
                <w:tcPr>
                  <w:tcW w:w="0" w:type="auto"/>
                  <w:vMerge/>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0,06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0,033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WHC (približno)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0,001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Tlo zasićeno vodom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Napon vode meri se u centimetrima vodenog stuba ili u barima. Zahvaljujući velikom opsegu sukcijske tenzije, izražava se kao pF vrednost koja je ekvivalent logaritmu cm vodenog stuba.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Poljski kapacitet se definiše kao količina vode koja se može zadržati u zemljištu suprotno sili teže dva dana nakon dužeg kišnog perioda, ili nakon dovoljno navodnjavanja. Određuje se u neporemećenom zemljištu na terenu </w:t>
      </w:r>
      <w:r w:rsidRPr="00984859">
        <w:rPr>
          <w:rFonts w:ascii="Arial" w:eastAsia="Times New Roman" w:hAnsi="Arial" w:cs="Arial"/>
          <w:i/>
          <w:iCs/>
          <w:lang w:eastAsia="sr-Latn-RS"/>
        </w:rPr>
        <w:t>in situ</w:t>
      </w:r>
      <w:r w:rsidRPr="00984859">
        <w:rPr>
          <w:rFonts w:ascii="Arial" w:eastAsia="Times New Roman" w:hAnsi="Arial" w:cs="Arial"/>
          <w:lang w:eastAsia="sr-Latn-RS"/>
        </w:rPr>
        <w:t xml:space="preserve">. Merenja nisu primenjiva na poremećene laboratorijske uzorke zemljišta. FC-vrednosti određene u poremećenim zemljištima mogu pokazati velike sistemske varijanse.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Kapacitet zadržavanja vode</w:t>
      </w:r>
      <w:r w:rsidRPr="00984859">
        <w:rPr>
          <w:rFonts w:ascii="Arial" w:eastAsia="Times New Roman" w:hAnsi="Arial" w:cs="Arial"/>
          <w:b/>
          <w:bCs/>
          <w:sz w:val="15"/>
          <w:szCs w:val="15"/>
          <w:vertAlign w:val="superscript"/>
          <w:lang w:eastAsia="sr-Latn-RS"/>
        </w:rPr>
        <w:t>XII</w:t>
      </w:r>
      <w:r w:rsidRPr="00984859">
        <w:rPr>
          <w:rFonts w:ascii="Arial" w:eastAsia="Times New Roman" w:hAnsi="Arial" w:cs="Arial"/>
          <w:lang w:eastAsia="sr-Latn-RS"/>
        </w:rPr>
        <w:t xml:space="preserve"> (water holding capacity, u daljem tekstu: WHC) određuje se u laboratoriji sa neporemećenim i poremećenim zemljištima zasićenjem zemljišnog stuba vodom, kapilarnim transportom. Posebno je korisno za poremećena zemljišta i može biti i do 30% veći od poljskog kapaciteta. Ispitivanjem je lakše odrediti WHC od pouzdane FC-vrednosti.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XLI </w:t>
      </w:r>
      <w:r w:rsidRPr="00984859">
        <w:rPr>
          <w:rFonts w:ascii="Arial" w:eastAsia="Times New Roman" w:hAnsi="Arial" w:cs="Arial"/>
          <w:lang w:eastAsia="sr-Latn-RS"/>
        </w:rPr>
        <w:t>Mückenhausen, E. (1975). Die Bodenkunde und ihre geologischen, geomorphologischen, mineralogischen und petrologischen Grundlagen. DLG-Verlag, Frankfurt, Main.</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XLII</w:t>
      </w:r>
      <w:r w:rsidRPr="00984859">
        <w:rPr>
          <w:rFonts w:ascii="Arial" w:eastAsia="Times New Roman" w:hAnsi="Arial" w:cs="Arial"/>
          <w:lang w:eastAsia="sr-Latn-RS"/>
        </w:rPr>
        <w:t xml:space="preserve"> pF = log visine vodenog stuba</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XLIII</w:t>
      </w:r>
      <w:r w:rsidRPr="00984859">
        <w:rPr>
          <w:rFonts w:ascii="Arial" w:eastAsia="Times New Roman" w:hAnsi="Arial" w:cs="Arial"/>
          <w:lang w:eastAsia="sr-Latn-RS"/>
        </w:rPr>
        <w:t xml:space="preserve"> 1 bar = 105 Pa</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XLIV</w:t>
      </w:r>
      <w:r w:rsidRPr="00984859">
        <w:rPr>
          <w:rFonts w:ascii="Arial" w:eastAsia="Times New Roman" w:hAnsi="Arial" w:cs="Arial"/>
          <w:lang w:eastAsia="sr-Latn-RS"/>
        </w:rPr>
        <w:t xml:space="preserve"> Odgovara približnom sadržaju vode od 10% u pesku, 35% u ilovači i 45% u glini.</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XLV</w:t>
      </w:r>
      <w:r w:rsidRPr="00984859">
        <w:rPr>
          <w:rFonts w:ascii="Arial" w:eastAsia="Times New Roman" w:hAnsi="Arial" w:cs="Arial"/>
          <w:lang w:eastAsia="sr-Latn-RS"/>
        </w:rPr>
        <w:t xml:space="preserve"> Poljski kapacitet nije konstantan nego varira sa tipom zemljišta između pF 1,5 i 2,5.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SADRŽAJ VLAGE U TLU (G VODE NA 100 G SUVOG TLA) RAZLIČITIH TIPOVA ZEMLJIŠTA IZ RAZLIČITIH DRŽAVA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175"/>
        <w:gridCol w:w="1903"/>
        <w:gridCol w:w="1126"/>
        <w:gridCol w:w="1464"/>
        <w:gridCol w:w="1464"/>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tip zemljišta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država </w:t>
            </w:r>
          </w:p>
        </w:tc>
        <w:tc>
          <w:tcPr>
            <w:tcW w:w="0" w:type="auto"/>
            <w:gridSpan w:val="3"/>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sadržaj vlage u tlu pri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WHC*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pF = 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pF = 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Pesak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Nemačka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3,9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Pesak sa ilovačom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Nemačka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Pesak sa ilovačom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Švajcarska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Muljevita ilovača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Švajcarska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56,6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Glinena ilovača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Brazil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69,7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38,4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Glinena ilovača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Japan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57,8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31,4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Peščana ilovača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Japan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82,4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Muljevita ilovača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33,2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Peščana ilovača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SAD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25,2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13,3 </w:t>
            </w:r>
          </w:p>
        </w:tc>
      </w:tr>
      <w:tr w:rsidR="00984859" w:rsidRPr="00984859" w:rsidTr="00984859">
        <w:trPr>
          <w:tblCellSpacing w:w="0" w:type="dxa"/>
        </w:trPr>
        <w:tc>
          <w:tcPr>
            <w:tcW w:w="0" w:type="auto"/>
            <w:gridSpan w:val="5"/>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Kapacitet zadržavanja vode (water holding capacity) </w:t>
            </w:r>
          </w:p>
        </w:tc>
      </w:tr>
    </w:tbl>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četvrti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Slika 1: Primer protočne aparature za ispitivanje transformacije hemikalija u zemljištu</w:t>
      </w:r>
      <w:r w:rsidRPr="00984859">
        <w:rPr>
          <w:rFonts w:ascii="Arial" w:eastAsia="Times New Roman" w:hAnsi="Arial" w:cs="Arial"/>
          <w:b/>
          <w:bCs/>
          <w:sz w:val="15"/>
          <w:szCs w:val="15"/>
          <w:vertAlign w:val="superscript"/>
          <w:lang w:eastAsia="sr-Latn-RS"/>
        </w:rPr>
        <w:t>XLVI, XLVII</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905375" cy="1209675"/>
            <wp:effectExtent l="0" t="0" r="9525" b="9525"/>
            <wp:docPr id="163" name="Picture 163" descr="C:\Program Files (x86)\ParagrafLex\browser\Files\Old\t\t2013_12\t12_0570_s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Program Files (x86)\ParagrafLex\browser\Files\Old\t\t2013_12\t12_0570_s148.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05375" cy="12096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Pri čemu 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 igličasti ventil;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 boca za ispiranje vazduhom koja sadrži vodu;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 ultramembrana (samo sterilni uslovi) veličina pora: 0,2 µm;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 boca za metabolizam zemljišta (uronjena u vodu samo za aerobne uslove i uslove pirinčanih polja);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 etilenglikol za hvatanje organskih isparljivih jedinjenja;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 sumporna kiselina za hvatanje alkalnih isparljivih jedinjenja;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7, 8 - natrijum hidroksid za hvatanje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drugih kiselih isparljivih materija;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 merač protoka.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Slika 2: Primer boca tipa biometra za ispitivanje transformacije hemikalija u zemljištu</w:t>
      </w:r>
      <w:r w:rsidRPr="00984859">
        <w:rPr>
          <w:rFonts w:ascii="Arial" w:eastAsia="Times New Roman" w:hAnsi="Arial" w:cs="Arial"/>
          <w:b/>
          <w:bCs/>
          <w:sz w:val="15"/>
          <w:szCs w:val="15"/>
          <w:vertAlign w:val="superscript"/>
          <w:lang w:eastAsia="sr-Latn-RS"/>
        </w:rPr>
        <w:t>XLVIII</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195"/>
        <w:gridCol w:w="6917"/>
      </w:tblGrid>
      <w:tr w:rsidR="00984859" w:rsidRPr="00984859" w:rsidTr="00984859">
        <w:trPr>
          <w:tblCellSpacing w:w="0" w:type="dxa"/>
        </w:trPr>
        <w:tc>
          <w:tcPr>
            <w:tcW w:w="0" w:type="auto"/>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1362075" cy="1247775"/>
                  <wp:effectExtent l="0" t="0" r="9525" b="9525"/>
                  <wp:docPr id="162" name="Picture 162" descr="C:\Program Files (x86)\ParagrafLex\browser\Files\Old\t\t2013_12\t12_0570_s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Program Files (x86)\ParagrafLex\browser\Files\Old\t\t2013_12\t12_0570_s149.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2075" cy="1247775"/>
                          </a:xfrm>
                          <a:prstGeom prst="rect">
                            <a:avLst/>
                          </a:prstGeom>
                          <a:noFill/>
                          <a:ln>
                            <a:noFill/>
                          </a:ln>
                        </pic:spPr>
                      </pic:pic>
                    </a:graphicData>
                  </a:graphic>
                </wp:inline>
              </w:drawing>
            </w:r>
          </w:p>
        </w:tc>
        <w:tc>
          <w:tcPr>
            <w:tcW w:w="0" w:type="auto"/>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 - kreč za apsorbovanje CO</w:t>
            </w:r>
            <w:r w:rsidRPr="00984859">
              <w:rPr>
                <w:rFonts w:ascii="Arial" w:eastAsia="Times New Roman" w:hAnsi="Arial" w:cs="Arial"/>
                <w:sz w:val="15"/>
                <w:szCs w:val="15"/>
                <w:vertAlign w:val="subscript"/>
                <w:lang w:eastAsia="sr-Latn-RS"/>
              </w:rPr>
              <w:t>2</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Staklena vuna tretirana uljem ili poliuretenskom penom za apsorbovanje organskih isparljivih jedinjenja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Zemljište + ispitivana supstanca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XLVI</w:t>
      </w:r>
      <w:r w:rsidRPr="00984859">
        <w:rPr>
          <w:rFonts w:ascii="Arial" w:eastAsia="Times New Roman" w:hAnsi="Arial" w:cs="Arial"/>
          <w:lang w:eastAsia="sr-Latn-RS"/>
        </w:rPr>
        <w:t xml:space="preserve"> Guth, J.A. (1980). The study of transformations. In Interactions between Herbicides and the Soil (R.J. Hance, Ed.), Academic Press, 123-157.</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XLVII </w:t>
      </w:r>
      <w:r w:rsidRPr="00984859">
        <w:rPr>
          <w:rFonts w:ascii="Arial" w:eastAsia="Times New Roman" w:hAnsi="Arial" w:cs="Arial"/>
          <w:lang w:eastAsia="sr-Latn-RS"/>
        </w:rPr>
        <w:t>Guth, J.A. (1981). Experimental approaches to studying the fate of pesticides in soil. In Progress in Pesticide Biochemistry. D.H. Hutson, T.R. Roberts, Eds. J. Wiley &amp; Sons. Vol 1, 85-114.</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XLVIII </w:t>
      </w:r>
      <w:r w:rsidRPr="00984859">
        <w:rPr>
          <w:rFonts w:ascii="Arial" w:eastAsia="Times New Roman" w:hAnsi="Arial" w:cs="Arial"/>
          <w:lang w:eastAsia="sr-Latn-RS"/>
        </w:rPr>
        <w:t xml:space="preserve">Anderson, J.P.E. (1975). Einfluss von Temperatur und Feuchte auf Verdampfung, Abbau und Festlegung von Diallat im Boden. Z. PflKrankh Pflschutz, Sonderheft VII, p.141-146.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C.24. AEROBNE I ANAEROBNE TRANSFORMACIJE U SISTEMIMA VODA - SEDIMENT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zasniva na Uputstvu za ispitivanje OECD 308 (2002).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Hemikalije dospevaju u plitke ili duboke površinske vode usled neposredne primene, putem raspršivanja, spiranja, drenaže, odlaganja otpada, otpadnih voda iz industrije, domaćinstava ili poljoprivrede i atmosferskog taloženja. Ova metoda ispitivanja opisuje laboratorijski postupak za procenu aerobne i anaerobne konverzije organskih hemikalija u sistemima </w:t>
      </w:r>
      <w:r w:rsidRPr="00984859">
        <w:rPr>
          <w:rFonts w:ascii="Arial" w:eastAsia="Times New Roman" w:hAnsi="Arial" w:cs="Arial"/>
          <w:lang w:eastAsia="sr-Latn-RS"/>
        </w:rPr>
        <w:lastRenderedPageBreak/>
        <w:t>voda-sediment. Metoda se zasniva na uputstvima koja su navedena u literaturi</w:t>
      </w:r>
      <w:r w:rsidRPr="00984859">
        <w:rPr>
          <w:rFonts w:ascii="Arial" w:eastAsia="Times New Roman" w:hAnsi="Arial" w:cs="Arial"/>
          <w:b/>
          <w:bCs/>
          <w:sz w:val="15"/>
          <w:szCs w:val="15"/>
          <w:vertAlign w:val="superscript"/>
          <w:lang w:eastAsia="sr-Latn-RS"/>
        </w:rPr>
        <w:t>1,2,3,4,5,6</w:t>
      </w:r>
      <w:r w:rsidRPr="00984859">
        <w:rPr>
          <w:rFonts w:ascii="Arial" w:eastAsia="Times New Roman" w:hAnsi="Arial" w:cs="Arial"/>
          <w:lang w:eastAsia="sr-Latn-RS"/>
        </w:rPr>
        <w:t>. Broj i tip sedimenata koji se koriste u ovom ispitivanju utvrđen je na OECD radionici o izboru zemljišta/sedimenta</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Tom prilikom date su preporuke za sakupljanje, rukovanje i skladištenje uzoraka sedimenata zasnovane na ISO standardu</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Ispitivanje je neophodno za hemikalije koje se neposredno dodaju u vodu ili dospevaju u vodu ostalim navedenim putevima.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Uslovi u prirodnim sistemima voda-sediment su često aerobni u gornjoj vodenoj fazi. Površinski sloj sedimenta je ili aeroban ili anaeroban, dok je dublji sediment najčešće anaeroban. Da bi se obuhvatile sve ove mogućnosti, pojedinačno su opisana i aerobna i anaerobna ispitivanja. Aerobno ispitivanje simulira aerobni vodeni stub iznad aerobnog sloja sedimenta koji je naglašen anaerobnim gradijentom. Anaerobno ispitivanje simulira potpuno anaerobni sistem voda-sediment. U slučaju značajnog odstupanja od navedenih postavki, npr. kada se koriste intaktna sedimentna jezgra ili sedimenti koji su već bili izloženi ispitivanim supstancama, na raspolaganju su druge metode ispitivanja</w:t>
      </w:r>
      <w:r w:rsidRPr="00984859">
        <w:rPr>
          <w:rFonts w:ascii="Arial" w:eastAsia="Times New Roman" w:hAnsi="Arial" w:cs="Arial"/>
          <w:b/>
          <w:bCs/>
          <w:sz w:val="15"/>
          <w:szCs w:val="15"/>
          <w:vertAlign w:val="superscript"/>
          <w:lang w:eastAsia="sr-Latn-RS"/>
        </w:rPr>
        <w:t>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standardne međunarodne merne jedinice (SI).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Ispitivana supstanca jeste bilo koja supstanca, bilo da je u pitanju polazna supstanca ili odgovarajući proizvodi konverzije.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Proizvodi transformacije jesu sve supstance koje proističu iz biotičkih i abiotičkih reakcija transformacije ispitivane supstance uključujući i CO</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xml:space="preserve">i vezane ostatke.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Vezani ostaci jesu jedinjenja u zemljištu, biljkama ili životinjama koja opstaju u matriksu bilo u obliku polazne supstance, ili njenih metabolita nakon procesa ekstrakcije. Metoda ekstrakcije ne sme ne sme da dovede do značajne izmene samih jedinjenja ili strukture matriksa. Priroda veze može se delom objasniti metodama ekstrakcije koje menjaju matriks i sofisticiranim analitičkim tehnikama. Do danas su, npr. na ovaj način otkrivene kovalente jonske i sorptivne veze, kao i molekulske klopke. U principu, obrazovanje vezanih ostataka značajno smanjuje biodostupnost i bioraspoloživost</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(modifikovani IUPAC 1984</w:t>
      </w:r>
      <w:r w:rsidRPr="00984859">
        <w:rPr>
          <w:rFonts w:ascii="Arial" w:eastAsia="Times New Roman" w:hAnsi="Arial" w:cs="Arial"/>
          <w:b/>
          <w:bCs/>
          <w:sz w:val="15"/>
          <w:szCs w:val="15"/>
          <w:vertAlign w:val="superscript"/>
          <w:lang w:eastAsia="sr-Latn-RS"/>
        </w:rPr>
        <w:t>11izveštaj</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Aerobna konverzija jesu oksidujuće reakcije koje se odvijaju u prisustvu molekularnog kiseonika</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Anaerobna konverzija jesu redukujuće reakcije koje se odvijaju u odsustvu molekularnog kiseonika</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Prirodne vode jesu površinske vode iz jezera, reka ili potoka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Sediment jeste mešavina neorganskih i organskih hemijskih sastojka. Organski sastojci sadrže jedinjenja sa visokim sadržajem ugljenika i azota i visoke molekulske mase. Taloži se putem prirodne vode i integriše se sa tom vodom.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Mineralizacija jeste potpuna razgradnja nekog organskog jedinjenja do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H </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 u aerobnim uslovima, ili do CH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 u anaerobnim uslovima. U ovoj metodi ispitivanja, kada se koristi jedinjenje obeleženo radioizotopom, mineralizacija označava sveobuhvatnu razgradnju molekula u toku koje se obeleženi atom ugljenika oksiduje ili se redukuje srazmerno oslobođenoj količini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ili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Vreme poluraspada (t</w:t>
      </w:r>
      <w:r w:rsidRPr="00984859">
        <w:rPr>
          <w:rFonts w:ascii="Arial" w:eastAsia="Times New Roman" w:hAnsi="Arial" w:cs="Arial"/>
          <w:sz w:val="15"/>
          <w:szCs w:val="15"/>
          <w:vertAlign w:val="subscript"/>
          <w:lang w:eastAsia="sr-Latn-RS"/>
        </w:rPr>
        <w:t>0,5</w:t>
      </w:r>
      <w:r w:rsidRPr="00984859">
        <w:rPr>
          <w:rFonts w:ascii="Arial" w:eastAsia="Times New Roman" w:hAnsi="Arial" w:cs="Arial"/>
          <w:lang w:eastAsia="sr-Latn-RS"/>
        </w:rPr>
        <w:t xml:space="preserve">) jeste vreme potrebno za konverziju 50% ispitivane supstance, u slučaju kada se konverzija može objasniti kinetikom prvog reda, nezavisno od početne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Vreme poluraspada 50 (u daljem tekstu: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jeste vreme tokom kojeg je početna koncentracija ispitivane supstance smanjena za 50%.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Vreme poluraspada 75 (u daljem tekstu: DT</w:t>
      </w:r>
      <w:r w:rsidRPr="00984859">
        <w:rPr>
          <w:rFonts w:ascii="Arial" w:eastAsia="Times New Roman" w:hAnsi="Arial" w:cs="Arial"/>
          <w:sz w:val="15"/>
          <w:szCs w:val="15"/>
          <w:vertAlign w:val="subscript"/>
          <w:lang w:eastAsia="sr-Latn-RS"/>
        </w:rPr>
        <w:t>75</w:t>
      </w:r>
      <w:r w:rsidRPr="00984859">
        <w:rPr>
          <w:rFonts w:ascii="Arial" w:eastAsia="Times New Roman" w:hAnsi="Arial" w:cs="Arial"/>
          <w:lang w:eastAsia="sr-Latn-RS"/>
        </w:rPr>
        <w:t xml:space="preserve">)jeste vreme tokom kojeg je početna koncentracija ispitivane supstance smanjena za 75%.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Vreme poluraspada 90 (u daljem tekstu: DT</w:t>
      </w:r>
      <w:r w:rsidRPr="00984859">
        <w:rPr>
          <w:rFonts w:ascii="Arial" w:eastAsia="Times New Roman" w:hAnsi="Arial" w:cs="Arial"/>
          <w:sz w:val="15"/>
          <w:szCs w:val="15"/>
          <w:vertAlign w:val="subscript"/>
          <w:lang w:eastAsia="sr-Latn-RS"/>
        </w:rPr>
        <w:t>90</w:t>
      </w:r>
      <w:r w:rsidRPr="00984859">
        <w:rPr>
          <w:rFonts w:ascii="Arial" w:eastAsia="Times New Roman" w:hAnsi="Arial" w:cs="Arial"/>
          <w:lang w:eastAsia="sr-Latn-RS"/>
        </w:rPr>
        <w:t xml:space="preserve">)jeste vreme tokom kojeg je početna koncentracija ispitivane supstance smanjena za 90%.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Referentne supstance se koriste za indentifikaciju i kvantifikaciju proizvoda konverzije uz pomoć spektroskopskih i hromatografsih metoda.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PODACI O ISPITIVANIM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Neobeležene ispitivane supstance kao i ispitivane supstance obeležene izotopima mogu se koristiti u merenju stope transformacije iako se za ovo preporučuje obeleženi materijal. Obeleženi materijal je potreban za proučavanje puteva transformacije i za utvrđivanje masenog bilansa.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 označavanje se preporučuje ali i upotreba ostalih izotopa kao što su C</w:t>
      </w:r>
      <w:r w:rsidRPr="00984859">
        <w:rPr>
          <w:rFonts w:ascii="Arial" w:eastAsia="Times New Roman" w:hAnsi="Arial" w:cs="Arial"/>
          <w:sz w:val="15"/>
          <w:szCs w:val="15"/>
          <w:vertAlign w:val="superscript"/>
          <w:lang w:eastAsia="sr-Latn-RS"/>
        </w:rPr>
        <w:t>13</w:t>
      </w:r>
      <w:r w:rsidRPr="00984859">
        <w:rPr>
          <w:rFonts w:ascii="Arial" w:eastAsia="Times New Roman" w:hAnsi="Arial" w:cs="Arial"/>
          <w:lang w:eastAsia="sr-Latn-RS"/>
        </w:rPr>
        <w:t>, N</w:t>
      </w:r>
      <w:r w:rsidRPr="00984859">
        <w:rPr>
          <w:rFonts w:ascii="Arial" w:eastAsia="Times New Roman" w:hAnsi="Arial" w:cs="Arial"/>
          <w:sz w:val="15"/>
          <w:szCs w:val="15"/>
          <w:vertAlign w:val="superscript"/>
          <w:lang w:eastAsia="sr-Latn-RS"/>
        </w:rPr>
        <w:t>15</w:t>
      </w:r>
      <w:r w:rsidRPr="00984859">
        <w:rPr>
          <w:rFonts w:ascii="Arial" w:eastAsia="Times New Roman" w:hAnsi="Arial" w:cs="Arial"/>
          <w:lang w:eastAsia="sr-Latn-RS"/>
        </w:rPr>
        <w:t>, H</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P</w:t>
      </w:r>
      <w:r w:rsidRPr="00984859">
        <w:rPr>
          <w:rFonts w:ascii="Arial" w:eastAsia="Times New Roman" w:hAnsi="Arial" w:cs="Arial"/>
          <w:sz w:val="15"/>
          <w:szCs w:val="15"/>
          <w:vertAlign w:val="superscript"/>
          <w:lang w:eastAsia="sr-Latn-RS"/>
        </w:rPr>
        <w:t>32</w:t>
      </w:r>
      <w:r w:rsidRPr="00984859">
        <w:rPr>
          <w:rFonts w:ascii="Arial" w:eastAsia="Times New Roman" w:hAnsi="Arial" w:cs="Arial"/>
          <w:lang w:eastAsia="sr-Latn-RS"/>
        </w:rPr>
        <w:t>, može biti korisna. Kadagod je moguće, izotopska oznaka treba da bude ugrađena u najstabilniji deo molekula</w:t>
      </w:r>
      <w:r w:rsidRPr="00984859">
        <w:rPr>
          <w:rFonts w:ascii="Arial" w:eastAsia="Times New Roman" w:hAnsi="Arial" w:cs="Arial"/>
          <w:b/>
          <w:bCs/>
          <w:sz w:val="15"/>
          <w:szCs w:val="15"/>
          <w:vertAlign w:val="superscript"/>
          <w:lang w:eastAsia="sr-Latn-RS"/>
        </w:rPr>
        <w:t>XLIX</w:t>
      </w:r>
      <w:r w:rsidRPr="00984859">
        <w:rPr>
          <w:rFonts w:ascii="Arial" w:eastAsia="Times New Roman" w:hAnsi="Arial" w:cs="Arial"/>
          <w:lang w:eastAsia="sr-Latn-RS"/>
        </w:rPr>
        <w:t xml:space="preserve">. Hemijska, odnosno radiohemijska čistoća ispitivane supstance je najmanje 95%. Pre početka ispitivanja neophodne su sledeće informacije o supstanci koja se ispituje: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vodi (videti metodu A.6. u Prilogu 1 ovog pravilnika);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organskim rastvaračima;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pritisak pri isparavanju (videti metodu A.4. u Prilogu 1 ovog pravilnika) i Henrijeva konstanta;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koeficijent raspodele u sistemun-oktanol/voda (videti metodu A.8. u Prilogu 1 ovog pravilnika);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koeficijent adsorpcije -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K</w:t>
      </w:r>
      <w:r w:rsidRPr="00984859">
        <w:rPr>
          <w:rFonts w:ascii="Arial" w:eastAsia="Times New Roman" w:hAnsi="Arial" w:cs="Arial"/>
          <w:sz w:val="15"/>
          <w:szCs w:val="15"/>
          <w:vertAlign w:val="subscript"/>
          <w:lang w:eastAsia="sr-Latn-RS"/>
        </w:rPr>
        <w:t>f</w:t>
      </w:r>
      <w:r w:rsidRPr="00984859">
        <w:rPr>
          <w:rFonts w:ascii="Arial" w:eastAsia="Times New Roman" w:hAnsi="Arial" w:cs="Arial"/>
          <w:lang w:eastAsia="sr-Latn-RS"/>
        </w:rPr>
        <w:t xml:space="preserve"> ili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kada je moguće (videti metodu C.18. ovog priloga);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hidroliza (videti metodu C.7. ovog priloga);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konstanta disocijacije - pK</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(smernice OEBS 112)</w:t>
      </w:r>
      <w:r w:rsidRPr="00984859">
        <w:rPr>
          <w:rFonts w:ascii="Arial" w:eastAsia="Times New Roman" w:hAnsi="Arial" w:cs="Arial"/>
          <w:b/>
          <w:bCs/>
          <w:sz w:val="15"/>
          <w:szCs w:val="15"/>
          <w:vertAlign w:val="superscript"/>
          <w:lang w:eastAsia="sr-Latn-RS"/>
        </w:rPr>
        <w:t>13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hemijska struktura ispitivane supstance i mesto vezivanja izotopa, ukoliko je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zabeležiti temperaturu na kojoj su rađena merenja.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Korisno je imati i podatke o toksičnosti ispitivane supstance pomikroorganizme, podatke o brzoj, odnosno inherentnoj biorazgradljivosti i podatke o aerobnoj i anaerobnoj konverziji u zemljištu.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Potrebno je da budu dostupne analitičke metode (uključujući i metode ekstrakcije i ispiranja) za identifikaciju i kvantifikaciju ispitivane supstance i proizvoda njene konverzije u vodi i sedimentu (videti odeljak 1.7.2.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______________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XLIX</w:t>
      </w:r>
      <w:r w:rsidRPr="00984859">
        <w:rPr>
          <w:rFonts w:ascii="Arial" w:eastAsia="Times New Roman" w:hAnsi="Arial" w:cs="Arial"/>
          <w:lang w:eastAsia="sr-Latn-RS"/>
        </w:rPr>
        <w:t xml:space="preserve"> Na primer, ukoliko supstanca sadrži samo jedan prsten, on se obavezno obeležava. Ukoliko ispitivana supstanca sadrži dva ili više prstenova, mogubiti neophodna pojedinačna istraživanja da bi se procenila sudbina svakog obeleženog prstena i dobili odgovarajući podaci o formiranju proizvoda konverzije.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PRINCIP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ispitivanju se koristi aerobni i anaerobni sistem voda-sediment (videti Deo drugi ove metode) koji omogućava: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merenje stope konverzije ispitivane supstance u sistemu voda-sediment;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merenje stope konverzije ispitivane supstance u sedimentu;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merenje stope mineralizacije ispitivane supstance, odnosno produkata konverzije (kada se koristi ispitivana supstanca obeležena radioizotopom C</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identifikaciju i kvantifikaciju proizvoda konverzije u vodi i sedimentu uključujući i maseni bilans (kada se koristi obeležena ispitivana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merenje distribucije ispitivane supstance i njenih proizvoda konverzije između dve faze u periodu inkubacije u zamračenim uslovima na konstantnoj temperaturi (da bi se izbeglo, npr. cvetanje algi).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DT</w:t>
      </w:r>
      <w:r w:rsidRPr="00984859">
        <w:rPr>
          <w:rFonts w:ascii="Arial" w:eastAsia="Times New Roman" w:hAnsi="Arial" w:cs="Arial"/>
          <w:sz w:val="15"/>
          <w:szCs w:val="15"/>
          <w:vertAlign w:val="subscript"/>
          <w:lang w:eastAsia="sr-Latn-RS"/>
        </w:rPr>
        <w:t>75</w:t>
      </w:r>
      <w:r w:rsidRPr="00984859">
        <w:rPr>
          <w:rFonts w:ascii="Arial" w:eastAsia="Times New Roman" w:hAnsi="Arial" w:cs="Arial"/>
          <w:lang w:eastAsia="sr-Latn-RS"/>
        </w:rPr>
        <w:t xml:space="preserve"> i DT</w:t>
      </w:r>
      <w:r w:rsidRPr="00984859">
        <w:rPr>
          <w:rFonts w:ascii="Arial" w:eastAsia="Times New Roman" w:hAnsi="Arial" w:cs="Arial"/>
          <w:sz w:val="15"/>
          <w:szCs w:val="15"/>
          <w:vertAlign w:val="subscript"/>
          <w:lang w:eastAsia="sr-Latn-RS"/>
        </w:rPr>
        <w:t>90</w:t>
      </w:r>
      <w:r w:rsidRPr="00984859">
        <w:rPr>
          <w:rFonts w:ascii="Arial" w:eastAsia="Times New Roman" w:hAnsi="Arial" w:cs="Arial"/>
          <w:lang w:eastAsia="sr-Latn-RS"/>
        </w:rPr>
        <w:t xml:space="preserve"> vrednosti se određuju u kratkom roku nakon ispitivanja i ne mogu biti izvedene mnogo posle perioda ispitivanja (videti odeljak 1.2.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Potrebna su najmanje dva tipa sedimenta i odgovarajućih uzoraka vodenog stuba kako za aerobno tako i za anaerobno ispitivanje</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Postoje slučajevi kada bi trebalo koristiti više od dva tipa sedimenta, npr. za hemikalije koje se mogu naći u slatkovodnom, odnosno morskom okruženju.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PRIMENA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u većini slučajeva primenjuje za ispitivanje supstanci (obeleženih ili neobeleženih) za koje postoji dovoljno precizan i osetljiv analitički postupak. Primenjuje se na jedinjenja koja su minimalno isparljiva, neisparljiva, rastvorljiva i nerastvorna u vodi. Ova ispitivanja ne primenjivati na hemikalije koje su visoko isparljive iz vodenog rastvora (npr. fumiganti, organski rastvarači) i zbog toga se u ne mogu zadržati u vodi, odnosno sedimentu pod ispitivanim uslovima.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 sada se ovaj metod primenjivao da bi se izučile konverzije hemikalija u slatkoj vodi i sedimentima, ali može primeniti i na estuarske/morske ekosisteme. Nije preporučljivo da se simuliraju uslovi u tekućim vodama (npr. reke) ili otvorenom moru.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KRITERIJUM KVALITETA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Efikasnost primenjene analitičke tehnike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Ekstrakcija i analiza, najmanje u duplikatu, svih uzoraka vode i sedimenta, odmah nakon dodavanja ispitivane supstance, daje prve indikacije o efikasnosti analitičke metode i identičnosti postupaka koji se primenjuju na supstance. Efikasnost u kasnijim fazama ispitivanja su data u odgovarajućem balansu mase (onda kada se koristi obeleženi materijal). </w:t>
      </w:r>
      <w:r w:rsidRPr="00984859">
        <w:rPr>
          <w:rFonts w:ascii="Arial" w:eastAsia="Times New Roman" w:hAnsi="Arial" w:cs="Arial"/>
          <w:lang w:eastAsia="sr-Latn-RS"/>
        </w:rPr>
        <w:lastRenderedPageBreak/>
        <w:t>Efikasnost je u opsegu od 90% do 110% za obeležene hemikalije</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i od 70% do 110% za neobeležene hemikalije.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Ponovljivost i osetljivost analitičke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Ponovljivost analitičke metode (isključujući inicijalnu efikasnost ekstrakcije) radi kvantifikacije ispitivane supstance i proizvoda transformacije se može proveravati ponovljenom analizom (dva ponavljanja) istog ekstrakta vode ili uzorka sedimenta koji su bili inkubirani dovoljno dugo da bi se formirali proizvodi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Granica detekcije (LOD) analitičke metode za ispitivane supstance i proizvode konverzije je najmanje 0,01 mg/kg u vodi ili sedimentu (kao ispitivana supstanca) ili 1% početne količine koja je primenjena na ispitivanjalni sistem. Kao granica detekcije primenjuje se uvek niža vrednost. Takođe navesti granicu kvantifikacije (LOQ).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1.7.3. Preciznost podataka konverzije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Regresiona analiza koncentracije ispitivane supstance u funkciji vremena daje odgovarajuće informacije o preciznosti krive konverzije i omogućava izračunavanje intervala poverenja za vrednosti poluraspada (ako se može primeniti pseudo kinetika prvog reda) ili vrednosti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ako više odgovara, vrednosti DT</w:t>
      </w:r>
      <w:r w:rsidRPr="00984859">
        <w:rPr>
          <w:rFonts w:ascii="Arial" w:eastAsia="Times New Roman" w:hAnsi="Arial" w:cs="Arial"/>
          <w:sz w:val="15"/>
          <w:szCs w:val="15"/>
          <w:vertAlign w:val="subscript"/>
          <w:lang w:eastAsia="sr-Latn-RS"/>
        </w:rPr>
        <w:t>75</w:t>
      </w:r>
      <w:r w:rsidRPr="00984859">
        <w:rPr>
          <w:rFonts w:ascii="Arial" w:eastAsia="Times New Roman" w:hAnsi="Arial" w:cs="Arial"/>
          <w:lang w:eastAsia="sr-Latn-RS"/>
        </w:rPr>
        <w:t xml:space="preserve"> i DT</w:t>
      </w:r>
      <w:r w:rsidRPr="00984859">
        <w:rPr>
          <w:rFonts w:ascii="Arial" w:eastAsia="Times New Roman" w:hAnsi="Arial" w:cs="Arial"/>
          <w:sz w:val="15"/>
          <w:szCs w:val="15"/>
          <w:vertAlign w:val="subscript"/>
          <w:lang w:eastAsia="sr-Latn-RS"/>
        </w:rPr>
        <w:t>90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Ispitivanjalni sistem i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Istraživanje se sprovodi u staklenim posudama (npr. flaše, kivete), osem ukoliko prethodne informacije (poput koeficijenta raspodele u sistemu n-oktanol/voda, podaci o sorpciji, itd.) pokažu da ispitivana supstanca prijanja uz staklo, u tom slučaju se koristi altrenativni materijal (kao što je teflon). Ako je poznato da ispitivana supstanca prijanja uz staklo moguće je prevazići ovaj problem korišćenjem jednog ili više navedenih postupaka: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odrediti masu ispitivane supstance i proizvoda konverzije koji prijanjaju uz staklo;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 kraju ispitivanja obezbediti ispiranje sudova rastvaračem;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korišćenje formulisanih proizvoda (videti odeljak 1.9.2.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uvećavanjem količine ko-rastvarača radi dodavanja ispitivane supstance u sistem; ukoliko se koristi ko-rastvarač onda je on takav da ne rastvori ispitivanu supstancu.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Primeri tipične ispitivane aparature odnosno gas-protočnog i biometarskog sistema, su dati u Delu trećem i četvrtom</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Ostali korisni inkubacioni sistemi su opisani u literaturi</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Dizajn aparature koja se koristi pri eksperimentu bi trebalo da omogući razmenu vazduha ili azota i hvatanje isparljivih proizvoda. Dimenzije aparature su takve da ispunjavaju uslove koji se zahtevaju u ispitivanju (videti odeljak 1.9.1. ove metode). Ventilacija se može obezbediti bilo laganim mešanjem ili propuštanjem vazduha ili azota po vodenoj površini. U drugom slučaju preporučljivo je lagano mešanje vode odozgo radi bolje distribucije kiseonika ili azota u vodi. Vazduh koji ne sadrži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se ne koristi jer bi to dovelo do povećanja pH vode. U svakom slučaju poremećaji sedmenta su nepoželjni i izbegavaju se koliko god je to moguće. Blago isparljive hemikalije da se ispituju u sistemu biometarskog tipa pri laganom mešanju vodene površine. Koriste se i zatvorene posude sa slobodnim prostorom na vrhu, bilo za atmosferski vazduh ili azot i unutrašnjim sistemom koji služi za zadržavanje isparljivih proizvoda </w:t>
      </w:r>
      <w:r w:rsidRPr="00984859">
        <w:rPr>
          <w:rFonts w:ascii="Arial" w:eastAsia="Times New Roman" w:hAnsi="Arial" w:cs="Arial"/>
          <w:lang w:eastAsia="sr-Latn-RS"/>
        </w:rPr>
        <w:lastRenderedPageBreak/>
        <w:t>konverzije</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xml:space="preserve">. Kod ispitivanja aerobnih konverzija neophodna je redovna razmena gasa na vrhu epruvete da bi se kompenzovala potrošnja kiseonika od strane biomase.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sakupljanje isparljivih proizvoda konverzije koristi se 1 mol/dm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rastvora natrijum-hidroksida ili kalijum-hydroksida za ugljen dioksid</w:t>
      </w:r>
      <w:r w:rsidRPr="00984859">
        <w:rPr>
          <w:rFonts w:ascii="Arial" w:eastAsia="Times New Roman" w:hAnsi="Arial" w:cs="Arial"/>
          <w:b/>
          <w:bCs/>
          <w:sz w:val="15"/>
          <w:szCs w:val="15"/>
          <w:vertAlign w:val="superscript"/>
          <w:lang w:eastAsia="sr-Latn-RS"/>
        </w:rPr>
        <w:t>L</w:t>
      </w:r>
      <w:r w:rsidRPr="00984859">
        <w:rPr>
          <w:rFonts w:ascii="Arial" w:eastAsia="Times New Roman" w:hAnsi="Arial" w:cs="Arial"/>
          <w:lang w:eastAsia="sr-Latn-RS"/>
        </w:rPr>
        <w:t xml:space="preserve"> i etilen glukol, etanolamin ili 2% parafinske kiseline za organska jedinjenja. Isparljiva jedinjenja koja nastaju u anaerobnim uslovima, kao što je metan, mogu se sakupiti npr. pomoću molekulskih sita. Takva isparenja se npr. sagorevaju do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prilikom propuštanja gasa kroz kvarcnu cev napunjenu sa CuO na temperaturi od 900 °C i hvatanjem nastalog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absorber sa bazama</w:t>
      </w:r>
      <w:r w:rsidRPr="00984859">
        <w:rPr>
          <w:rFonts w:ascii="Arial" w:eastAsia="Times New Roman" w:hAnsi="Arial" w:cs="Arial"/>
          <w:b/>
          <w:bCs/>
          <w:sz w:val="15"/>
          <w:szCs w:val="15"/>
          <w:vertAlign w:val="superscript"/>
          <w:lang w:eastAsia="sr-Latn-RS"/>
        </w:rPr>
        <w:t>17</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Potrebni su laboratorijski merni instrumenti za hemijsku analizu ispitivane supstance i proizvoda konverzije (npr. hromatografija tečnog gasa - GLC, tečna hromatografija visokih performansi - HPLC, hromatografija tankog sloja - TLC, spektroskopija mase - MS), hromatografija gasa - spektroskopija mase - GC-MS, tečna hromatografija - spektroskopija mase - LC-MS, nuklearna magnetska rezonanca - NMR, itd), uključujući i sisteme za otkrivanje hemikalija koje su obeležene ili neobeležene radioizotopima, kada je to moguće. Kada se koristi materijal radio izotopski obeležen takođe je potreban i tečni scintilacioni brojač i oksidant sagorevanja (za sagorevanje uzoraka sedimenta pre radioaktivne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 potrebi, može biti neophodna i ostala standardna laboratorijska oprema za fizičko hemijska i biološka određivanja (videti Tabelu 1. u odeljku 1.8.2.2. ove metode), laboratorijsko staklo, hemikalije i reagensi.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L</w:t>
      </w:r>
      <w:r w:rsidRPr="00984859">
        <w:rPr>
          <w:rFonts w:ascii="Arial" w:eastAsia="Times New Roman" w:hAnsi="Arial" w:cs="Arial"/>
          <w:lang w:eastAsia="sr-Latn-RS"/>
        </w:rPr>
        <w:t xml:space="preserve"> Kako ovi alkalni apsorpcioni rastvori apsorbuju i ugljen dioksid iz ventilacionog vazduha i ugljen dioksid koji nastaje u precesudisanjapri aerobnom ispitivanju, oni se zamenjuju u redovnim intervalima da bi se izbeglo njihovozasićenje, a time i gubitak apsorbcionog kapaciteta.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Izbor i broj uzoraka vodenih sedimenata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Mesto za uzimanje uzorka sedimenta se određuje za svaku posebnu situaciju u skladu sa svrhom ispitivanja. Prilikom izbora mesta za uzimanje uzorka, uzeti u obzir prethodni uticaj poljoprivrede, industrije i domaćinstava na slivno područje, kao i na sektor neposredno uzvodno od lokaliteta. Sedimenti se ne smeju koristiti ukoliko su zagađeni ispitivanom supstancom ili njenim strukturnim analozima u prethodne četiri godine.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1.8.2.1. Izbor sedimenta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Dva tipa sedimenta se obično koriste pri aerobnim studijama</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Dva izabrana uzorka sedimenta se razlikuju po sadržaju organskog ugljenika i granulometrijskom sastavu. Jedan sediment ima visok sadržaj organskog ugljenika (2,5-7,5%) i dominantno ga čine fine frakcije, a drugi sediment ima niži sadržaj organskog ugljenika (0,5-2,5%) i dominiraju krupne frakcije. Razlika u sadržaju organskog ugljenika je najmanje 2%. Muljevito - glinoviti</w:t>
      </w:r>
      <w:r w:rsidRPr="00984859">
        <w:rPr>
          <w:rFonts w:ascii="Arial" w:eastAsia="Times New Roman" w:hAnsi="Arial" w:cs="Arial"/>
          <w:b/>
          <w:bCs/>
          <w:sz w:val="15"/>
          <w:szCs w:val="15"/>
          <w:vertAlign w:val="superscript"/>
          <w:lang w:eastAsia="sr-Latn-RS"/>
        </w:rPr>
        <w:t>LI</w:t>
      </w:r>
      <w:r w:rsidRPr="00984859">
        <w:rPr>
          <w:rFonts w:ascii="Arial" w:eastAsia="Times New Roman" w:hAnsi="Arial" w:cs="Arial"/>
          <w:lang w:eastAsia="sr-Latn-RS"/>
        </w:rPr>
        <w:t xml:space="preserve"> sediment sadrži &gt; 50% fine frakcije, za razliku odglinovito - muljevitog sedimenta kod koga je taj sadržaj &lt; 50%. Razlika između sadržaja mulja i gline dva sedimenta je najmanje 20%. U slučajevima kada hemikalija dospe u morske vode, najmanje jedan od sistema sediment - voda je morskog porekla.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striktno anaerobna istraživanja, dva uzorka sedmimenta (uključujući i pripadajuće vode) uzeti iz anaerobnih zona površinske vode</w:t>
      </w:r>
      <w:r w:rsidRPr="00984859">
        <w:rPr>
          <w:rFonts w:ascii="Arial" w:eastAsia="Times New Roman" w:hAnsi="Arial" w:cs="Arial"/>
          <w:b/>
          <w:bCs/>
          <w:sz w:val="15"/>
          <w:szCs w:val="15"/>
          <w:vertAlign w:val="superscript"/>
          <w:lang w:eastAsia="sr-Latn-RS"/>
        </w:rPr>
        <w:t>7</w:t>
      </w:r>
      <w:r w:rsidRPr="00984859">
        <w:rPr>
          <w:rFonts w:ascii="Arial" w:eastAsia="Times New Roman" w:hAnsi="Arial" w:cs="Arial"/>
          <w:lang w:eastAsia="sr-Latn-RS"/>
        </w:rPr>
        <w:t xml:space="preserve">. I uzorci vode i uzorci sedimenta se pažljivo transportuju bez prisustva kiseonika.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Ostali parametri koji mogu biti od važnosti prilikom izbora sedimenta posmatraće se od slučaja do slučaja. Npr. pH vrednost sedimenta je važan parametar za ispitivanje hemikalija čija razgradljivost, odnosno sorpcija zavisi od pH vrednosti. pH zavisnost može da se ogleda preko pK</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xml:space="preserv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LI</w:t>
      </w:r>
      <w:r w:rsidRPr="00984859">
        <w:rPr>
          <w:rFonts w:ascii="Arial" w:eastAsia="Times New Roman" w:hAnsi="Arial" w:cs="Arial"/>
          <w:lang w:eastAsia="sr-Latn-RS"/>
        </w:rPr>
        <w:t xml:space="preserve"> Glina - mulj je mineralna frakcija sedimenta veličine&lt; 50 μm.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1.8.2.2. Karakterizacija uzoraka sistema voda-sediment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Ključni parametri koji se mere i beleže (uz navođenje upotrebljene metode) kako u vodi tako i u sedimentu, kao i vremenska dinamika merenja, navedeni su u tabeli ispod. Informativno, metode za određivanje ovih parametara date su u literaturi</w:t>
      </w:r>
      <w:r w:rsidRPr="00984859">
        <w:rPr>
          <w:rFonts w:ascii="Arial" w:eastAsia="Times New Roman" w:hAnsi="Arial" w:cs="Arial"/>
          <w:b/>
          <w:bCs/>
          <w:sz w:val="15"/>
          <w:szCs w:val="15"/>
          <w:vertAlign w:val="superscript"/>
          <w:lang w:eastAsia="sr-Latn-RS"/>
        </w:rPr>
        <w:t>17,18,19,20</w:t>
      </w:r>
      <w:r w:rsidRPr="00984859">
        <w:rPr>
          <w:rFonts w:ascii="Arial" w:eastAsia="Times New Roman" w:hAnsi="Arial" w:cs="Arial"/>
          <w:lang w:eastAsia="sr-Latn-RS"/>
        </w:rPr>
        <w:t>. Zavisno od slučaja ukazuje se potreba za merenjem i prikazivanjem vrednosti i drugih parametara (npr. za svežu vodu - čestice, alkalitet, tvrdoća, provodljivost, 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odnos i pojedinačne vrednosti; za sedimente - jonska izmena, vodni kapacitet, karbonati, ukupni azot i fosfor; za morske sisteme - salinitet). Analiza sedimenata i vode na nitrate, sulfate, biodostupno gvožđe i moguće druge elektron akceptore može biti od koristi u proceni redukcionih procesa, naročito kod anaerobne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Merenje parametara za karakterizaciju uzoraka sistema sediment - voda</w:t>
      </w:r>
      <w:r w:rsidRPr="00984859">
        <w:rPr>
          <w:rFonts w:ascii="Arial" w:eastAsia="Times New Roman" w:hAnsi="Arial" w:cs="Arial"/>
          <w:b/>
          <w:bCs/>
          <w:sz w:val="15"/>
          <w:szCs w:val="15"/>
          <w:vertAlign w:val="superscript"/>
          <w:lang w:eastAsia="sr-Latn-RS"/>
        </w:rPr>
        <w:t>7,21,22</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77"/>
        <w:gridCol w:w="1389"/>
        <w:gridCol w:w="1311"/>
        <w:gridCol w:w="1492"/>
        <w:gridCol w:w="1150"/>
        <w:gridCol w:w="1125"/>
        <w:gridCol w:w="1088"/>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gridSpan w:val="6"/>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Faza postupka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uzimanje uzoraka na terenu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naknadno rukovanje uzorkom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početak aklimatizacije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početak ispitivanja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u toku ispitivanja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kraj ispitivanja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Poreklo/ izvor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pH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Konc. O</w:t>
            </w:r>
            <w:r w:rsidRPr="00984859">
              <w:rPr>
                <w:rFonts w:ascii="Arial" w:eastAsia="Times New Roman" w:hAnsi="Arial" w:cs="Arial"/>
                <w:sz w:val="15"/>
                <w:szCs w:val="15"/>
                <w:vertAlign w:val="subscript"/>
                <w:lang w:eastAsia="sr-Latn-RS"/>
              </w:rPr>
              <w:t>2</w:t>
            </w:r>
            <w:r w:rsidRPr="00984859">
              <w:rPr>
                <w:rFonts w:ascii="Arial" w:eastAsia="Times New Roman" w:hAnsi="Arial" w:cs="Arial"/>
                <w:b/>
                <w:bCs/>
                <w:sz w:val="15"/>
                <w:szCs w:val="15"/>
                <w:vertAlign w:val="superscript"/>
                <w:lang w:eastAsia="sr-Latn-RS"/>
              </w:rPr>
              <w:t>LII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Oksido-redukcioni potencijal</w:t>
            </w:r>
            <w:r w:rsidRPr="00984859">
              <w:rPr>
                <w:rFonts w:ascii="Arial" w:eastAsia="Times New Roman" w:hAnsi="Arial" w:cs="Arial"/>
                <w:b/>
                <w:bCs/>
                <w:sz w:val="15"/>
                <w:szCs w:val="15"/>
                <w:vertAlign w:val="superscript"/>
                <w:lang w:eastAsia="sr-Latn-RS"/>
              </w:rPr>
              <w:t>XLVII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Sediment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Poreklo/ izvor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Dubina sloja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pH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Granulo-metrijski sastav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Biomasa mikroorga-nizama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Oksido-redukcioni potencijal</w:t>
            </w:r>
            <w:r w:rsidRPr="00984859">
              <w:rPr>
                <w:rFonts w:ascii="Arial" w:eastAsia="Times New Roman" w:hAnsi="Arial" w:cs="Arial"/>
                <w:b/>
                <w:bCs/>
                <w:sz w:val="15"/>
                <w:szCs w:val="15"/>
                <w:vertAlign w:val="superscript"/>
                <w:lang w:eastAsia="sr-Latn-RS"/>
              </w:rPr>
              <w:t>LIII</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Opažanje (boja/miris)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x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LII</w:t>
      </w:r>
      <w:r w:rsidRPr="00984859">
        <w:rPr>
          <w:rFonts w:ascii="Arial" w:eastAsia="Times New Roman" w:hAnsi="Arial" w:cs="Arial"/>
          <w:lang w:eastAsia="sr-Latn-RS"/>
        </w:rPr>
        <w:t xml:space="preserve"> Metoda stope mikrobne respiracije</w:t>
      </w:r>
      <w:r w:rsidRPr="00984859">
        <w:rPr>
          <w:rFonts w:ascii="Arial" w:eastAsia="Times New Roman" w:hAnsi="Arial" w:cs="Arial"/>
          <w:b/>
          <w:bCs/>
          <w:sz w:val="15"/>
          <w:szCs w:val="15"/>
          <w:vertAlign w:val="superscript"/>
          <w:lang w:eastAsia="sr-Latn-RS"/>
        </w:rPr>
        <w:t>26</w:t>
      </w:r>
      <w:r w:rsidRPr="00984859">
        <w:rPr>
          <w:rFonts w:ascii="Arial" w:eastAsia="Times New Roman" w:hAnsi="Arial" w:cs="Arial"/>
          <w:lang w:eastAsia="sr-Latn-RS"/>
        </w:rPr>
        <w:t>, metod fumigacije</w:t>
      </w:r>
      <w:r w:rsidRPr="00984859">
        <w:rPr>
          <w:rFonts w:ascii="Arial" w:eastAsia="Times New Roman" w:hAnsi="Arial" w:cs="Arial"/>
          <w:b/>
          <w:bCs/>
          <w:sz w:val="15"/>
          <w:szCs w:val="15"/>
          <w:vertAlign w:val="superscript"/>
          <w:lang w:eastAsia="sr-Latn-RS"/>
        </w:rPr>
        <w:t>27</w:t>
      </w:r>
      <w:r w:rsidRPr="00984859">
        <w:rPr>
          <w:rFonts w:ascii="Arial" w:eastAsia="Times New Roman" w:hAnsi="Arial" w:cs="Arial"/>
          <w:lang w:eastAsia="sr-Latn-RS"/>
        </w:rPr>
        <w:t xml:space="preserve"> ili brojanje na Petrijevim šoljama (npr. broj bakterija, aktinomiceta, gljiva i ukupan broj kolonija) za aerobne studije, a stopa metanogeneze za anaerobne studije.</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LIII</w:t>
      </w:r>
      <w:r w:rsidRPr="00984859">
        <w:rPr>
          <w:rFonts w:ascii="Arial" w:eastAsia="Times New Roman" w:hAnsi="Arial" w:cs="Arial"/>
          <w:lang w:eastAsia="sr-Latn-RS"/>
        </w:rPr>
        <w:t xml:space="preserve"> Rezultati novijih istraživanja su pokazali da merenja koncentracije kiseonika u vodi i oksidaciono redukcionog potencijala nemaju ni mehanističku niti vrednost u cilju predviđanja rasta i razvoja populacije mikroorganizama u površinskim slojevima voda</w:t>
      </w:r>
      <w:r w:rsidRPr="00984859">
        <w:rPr>
          <w:rFonts w:ascii="Arial" w:eastAsia="Times New Roman" w:hAnsi="Arial" w:cs="Arial"/>
          <w:b/>
          <w:bCs/>
          <w:sz w:val="15"/>
          <w:szCs w:val="15"/>
          <w:vertAlign w:val="superscript"/>
          <w:lang w:eastAsia="sr-Latn-RS"/>
        </w:rPr>
        <w:t>24,25</w:t>
      </w:r>
      <w:r w:rsidRPr="00984859">
        <w:rPr>
          <w:rFonts w:ascii="Arial" w:eastAsia="Times New Roman" w:hAnsi="Arial" w:cs="Arial"/>
          <w:lang w:eastAsia="sr-Latn-RS"/>
        </w:rPr>
        <w:t xml:space="preserve">. Određivanje biohemijske potrošnje kiseonika (BPK), prilikom uzimanja uzoraka na terenu, na početku i na kraju ispitivanja) i koncentracija mikro/makro nutrijenata Ca, Mg i Mn (na početku i kraju ispitivanja) u vodi kao i ukupni N i ukupni P u sedimentu (prilikom uzimanja uzoraka na terenu i na kraju ispitivanja) predstavljaju bolje parametre za tumačenje i procenu i stope i puteva biotransformacije.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1.8.3. Sakupljanje, rukovanje i skladištenje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1.8.3.1. Sakupljanje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uzorkovanje sedimenta dna koristi se ISO standard</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Uzorci se uzimaju iz gornjeg sloja sedimenta dubine 5 cm do 10 cm. Voda koja se koristi uzima se sa istog mesta ili lokacije i u isto vreme kada i sediment. Za anaerobnu studiju, uzorci sedimenta i vode koji se koriste uzeti su bez kiseonika</w:t>
      </w:r>
      <w:r w:rsidRPr="00984859">
        <w:rPr>
          <w:rFonts w:ascii="Arial" w:eastAsia="Times New Roman" w:hAnsi="Arial" w:cs="Arial"/>
          <w:b/>
          <w:bCs/>
          <w:sz w:val="15"/>
          <w:szCs w:val="15"/>
          <w:vertAlign w:val="superscript"/>
          <w:lang w:eastAsia="sr-Latn-RS"/>
        </w:rPr>
        <w:t>27</w:t>
      </w:r>
      <w:r w:rsidRPr="00984859">
        <w:rPr>
          <w:rFonts w:ascii="Arial" w:eastAsia="Times New Roman" w:hAnsi="Arial" w:cs="Arial"/>
          <w:lang w:eastAsia="sr-Latn-RS"/>
        </w:rPr>
        <w:t xml:space="preserve"> (videti odeljak 1.8.2.1. ove metode). Neki od uređaja za uzimanje uzoraka opisani su u literaturi</w:t>
      </w:r>
      <w:r w:rsidRPr="00984859">
        <w:rPr>
          <w:rFonts w:ascii="Arial" w:eastAsia="Times New Roman" w:hAnsi="Arial" w:cs="Arial"/>
          <w:b/>
          <w:bCs/>
          <w:sz w:val="15"/>
          <w:szCs w:val="15"/>
          <w:vertAlign w:val="superscript"/>
          <w:lang w:eastAsia="sr-Latn-RS"/>
        </w:rPr>
        <w:t>8,22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1.8.3.2. Rukovanje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Sediment se odvaja filtracijom kroz sito promera 2 mm pomoću viška vode koja se potom odbacuje. Poznata količina sedimenta i vode meša se u potrebnom odnosu (videti odeljak 1.9.1. ove metode) u inkubacionim bocama i priprema za period inkubacije (videti odeljak 1.8.4. ove metode). Za anaerbonu studiju svi koraci u postupku se sprovode bez prisustva kiseonika</w:t>
      </w:r>
      <w:r w:rsidRPr="00984859">
        <w:rPr>
          <w:rFonts w:ascii="Arial" w:eastAsia="Times New Roman" w:hAnsi="Arial" w:cs="Arial"/>
          <w:b/>
          <w:bCs/>
          <w:sz w:val="15"/>
          <w:szCs w:val="15"/>
          <w:vertAlign w:val="superscript"/>
          <w:lang w:eastAsia="sr-Latn-RS"/>
        </w:rPr>
        <w:t>28,1,30,31,32</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1.8.3.3. Skladištenje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Preporučuje se korišćenje svežeg sedimenta i vode, ali ukoliko je potrebno skladištenje, sediment i voda se prosejavaju na gore opisan načini i skladište se zajedno, vodeni stub (6 cm do 10 cm vodenog sloja), u mračnoj prostoriji, najduže dve nedelje</w:t>
      </w:r>
      <w:r w:rsidRPr="00984859">
        <w:rPr>
          <w:rFonts w:ascii="Arial" w:eastAsia="Times New Roman" w:hAnsi="Arial" w:cs="Arial"/>
          <w:b/>
          <w:bCs/>
          <w:sz w:val="15"/>
          <w:szCs w:val="15"/>
          <w:vertAlign w:val="superscript"/>
          <w:lang w:eastAsia="sr-Latn-RS"/>
        </w:rPr>
        <w:t xml:space="preserve">7,8,22 </w:t>
      </w:r>
      <w:r w:rsidRPr="00984859">
        <w:rPr>
          <w:rFonts w:ascii="Arial" w:eastAsia="Times New Roman" w:hAnsi="Arial" w:cs="Arial"/>
          <w:lang w:eastAsia="sr-Latn-RS"/>
        </w:rPr>
        <w:t xml:space="preserve">na temperaturi od (4 ± 2)° C. Uzorci koji se koriste u aerobnim studijama se skladište tako da imaju dotok vazduha (npr. otvoreni kontejneri), dok se oni koji se koriste za anaerobne studije skladište bez kiseonika. Zamrzavanje sedimenta i vode ili isušivanje sedimenta se ne sme dogoditi u toku transporta i skladištenja.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1.8.4. Priprema uzoraka sedimenta/vode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Period aklimatizacije je pre dodavanja ispitivane supstance i svaki od uzoraka sediment/voda koji se koristi u glavnom ispitivanju stavlja se u inkubacioni sud. Aklimatizacija je pod istim uslovima kao i inkubacija (videti odeljak 1.9.1. ove metode). Pod periodom aklimatizacije se podrazumeva vremenski period potreban za postizanje određene stabilnosti, na šta ukazuju pH vrednost, koncentracija kiseonika u vodi, oksido-redukcioni potencijal sedimenta u vodi i makroskopska podela faza. Period aklimatizacije uobičajeno traje jednu do dve nedelje, a ne bi trebalo da traje duže od četiri nedelje. Rezultate ispitivanja koja su urađena u ovom periodu zabeležiti.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1.9. IZVOĐENJE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lastRenderedPageBreak/>
        <w:t xml:space="preserve">1.9.1. Uslovi pod kojima se obavlja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se izvodi u inkubcionoj aparaturi (videti odeljak 1.8.1. ove metode) u zapreminskom odnosu voda: sediment između 3:1 i 4:1 i sloja sedimenta dubine 2,5 cm (± 0,5 cm)</w:t>
      </w:r>
      <w:r w:rsidRPr="00984859">
        <w:rPr>
          <w:rFonts w:ascii="Arial" w:eastAsia="Times New Roman" w:hAnsi="Arial" w:cs="Arial"/>
          <w:b/>
          <w:bCs/>
          <w:sz w:val="15"/>
          <w:szCs w:val="15"/>
          <w:vertAlign w:val="superscript"/>
          <w:lang w:eastAsia="sr-Latn-RS"/>
        </w:rPr>
        <w:t>LIV</w:t>
      </w:r>
      <w:r w:rsidRPr="00984859">
        <w:rPr>
          <w:rFonts w:ascii="Arial" w:eastAsia="Times New Roman" w:hAnsi="Arial" w:cs="Arial"/>
          <w:lang w:eastAsia="sr-Latn-RS"/>
        </w:rPr>
        <w:t xml:space="preserve">. Minimalna preporučena količina sedimenta je 50 g suve mase po inkubacionom sudu.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izvodi u mračnoj prostoriji na ujednačenoj temperaturi od 10° C do 30° C. Odgovarajuća temperatura je 20° C ± 2° C. Ukoliko je moguće, zavisno od slučaja do slučaja, može se uzeti u obzir dodatna niža temperatura (npr. 10° C), zavisno od informacije koja se dobija iz ispitivanja. Inkubaciona temperatura se kontroliše i beleži.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LIV</w:t>
      </w:r>
      <w:r w:rsidRPr="00984859">
        <w:rPr>
          <w:rFonts w:ascii="Arial" w:eastAsia="Times New Roman" w:hAnsi="Arial" w:cs="Arial"/>
          <w:lang w:eastAsia="sr-Latn-RS"/>
        </w:rPr>
        <w:t xml:space="preserve"> Preporučuje se količina od najmanje 50 g sedimenta (suve mase) po inkubacionoj posudi.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1.9.2. Priprema i uvođenje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Koristi se uvek jedna doza ispitivane hemikalije</w:t>
      </w:r>
      <w:r w:rsidRPr="00984859">
        <w:rPr>
          <w:rFonts w:ascii="Arial" w:eastAsia="Times New Roman" w:hAnsi="Arial" w:cs="Arial"/>
          <w:b/>
          <w:bCs/>
          <w:sz w:val="15"/>
          <w:szCs w:val="15"/>
          <w:vertAlign w:val="superscript"/>
          <w:lang w:eastAsia="sr-Latn-RS"/>
        </w:rPr>
        <w:t>LV</w:t>
      </w:r>
      <w:r w:rsidRPr="00984859">
        <w:rPr>
          <w:rFonts w:ascii="Arial" w:eastAsia="Times New Roman" w:hAnsi="Arial" w:cs="Arial"/>
          <w:lang w:eastAsia="sr-Latn-RS"/>
        </w:rPr>
        <w:t xml:space="preserve">. U slučajevima u kojima su sredstva za zaštitu bilja direktno uneta u vodu, smatra se da je maksimalno dozvoljena količina navedena na etiketi datog sredstva maksimalna koncentracija na površini suda u kome se obavlja eksperiment. Koristi se maksimalna doza koja je data na etiketi. U svim ostalim slučajevima, koncentracija koja se koristi bazira se na proračunima iz emisija u životnu sredinu. Vodi se računa da se obezbedi primena odgovarajuće količine ispitivane supstance kako bi se izvršila karakterizacija puteva konverzije, kao i obrazovanje i razgradnja proizvoda konverzije. Možda je potrebno upotrebiti veće doze (npr. 10 puta) u situacijama kada su koncentracije ispitivane supstance blizu granice detekcije na početku studije, odnosno kada se glavni produkti konverzije ne mogu odmah opaziti kada su prisutni u udelu od najmanje 10% u odnosu na ispitivanu supstancu. Međutim, ukoliko se koriste veće ispitivane koncentracije one ne bi trebalo da imaju značajnije štetno dejstvo na aktivnosti mikroorganizama sistema voda-sediment. Da bi se postigla stalna koncentracija ispitivane supstance u posudama različitih dimenzija, može se uzeti u obzir prilagođavanje količine materijala koji se koristi, na osnovu dubine vodenog stuba u posudi u odnosu na dubinu vode na terenu (pretpostavlja se da je 100 cm, ali i ostale dubine se mogu uzeti u obzir). Primer kalkulacije videti u Delu petom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idealnim okolnostima ispitivana supstanca se primenjuje kao vodeni rastvor u vodenoj fazi sistema za ispitivanje. Ukoliko se ne može izbeći, dozvoljeno je korišćenje male količine rastvarača koji se mešaju sa vodom (kao što je aceton, etanol) radi upotrebe i distribucije ispitivane supstance, ali ona ne sme da bude veća od 1% v/v i ne sme da ima štetno dejstvo na mikrobnu aktivnost sistema za ispitivanje. Treba obratiti pažnju na sakupljanje vodenog rastvora ispitivane supstance - korišćenje generatora kolone i prethodno mešanje se može koristiti da bi se obezbedila totalna homogenost. Nakon dodavanja vodenog rastvora u ispitivanjalni sistem, preporučuje se lagano mešanje vodene faze, vodeći računa da se što manje narušava sediment.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 preporučuje se rutinsko korišćenje formulisanih produkata pošto sastojci formulacije mogu da utiču na raspored ispitivane supstance, odnosno proizvoda konverzije između vodene i sedimentne faza. Međutim, korišćenje formulisanih materijala može biti odgovarajuća alternative za supstance koje se slabo rastvaraju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Broj inkubacionih posuda zavisi od različite dužine vremena prilikom uzimanja uzoraka (videti odeljak 1.9.3. ove metode). Trebalo bi uključiti dovoljno veliki broj ispitivanih sistema da bi se dva eksperimentalna sistema mogla žrtvovati pri svakom uzorkovanju. Kada se koriste </w:t>
      </w:r>
      <w:r w:rsidRPr="00984859">
        <w:rPr>
          <w:rFonts w:ascii="Arial" w:eastAsia="Times New Roman" w:hAnsi="Arial" w:cs="Arial"/>
          <w:lang w:eastAsia="sr-Latn-RS"/>
        </w:rPr>
        <w:lastRenderedPageBreak/>
        <w:t xml:space="preserve">kontrolne jedinice svakog sistema voda-sediment, ne bi trebalo da se drže zajedno sa ispitivanom supstancom.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Kontrolne jedinice se mogu koristiti za određivanje biomase mikroorganizama sedimenta i ukupnog organskog ugljenika vode i sedimenta prilikom završetka studije. Dve kontrolne jedinice (odnosno jedna kontrolna jedinica za svaki sistem voda sediment) se može koristiti da bi se pratili traženi parametri u sedimentu i vodi u toku perioda aklimatizacije (videti tabelu u odeljku 1.8.2.2. ove metode). Dve dodatne kontrolne jedinice uključiti u slučaju da se ispitivana supstanca primenjuje putem rastvarača da bi se izmerila štetna dejstva na aktivnosti mikroorganizama u ispitivanjalnom sistemu.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 xml:space="preserve">LV </w:t>
      </w:r>
      <w:r w:rsidRPr="00984859">
        <w:rPr>
          <w:rFonts w:ascii="Arial" w:eastAsia="Times New Roman" w:hAnsi="Arial" w:cs="Arial"/>
          <w:lang w:eastAsia="sr-Latn-RS"/>
        </w:rPr>
        <w:t xml:space="preserve">Ispitivanje sa drugom koncentracijom može biti od koristi za hemikalije koje dospevaju u površinske vode različitim putevima unosa i kao rezultat imaju dramatično različitu koncentraciju, sve dok se niža koncentracija može analizirati sa dovoljnom preciznošću.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1.9.3. Trajanje ispitivanja i uzimanje 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Eksperiment ne bi trebalo da traje duže od 100 dana</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i nastavlja se sve dok se ne uspostave putevi konverzije i distribucije vode/sedimetna ili kada kada dođe do raspada ispitivane supstance od 90% bilo razgradnjom, odnosno isparavanjem. Broj uzoraka u toku trajanja ispitivanja bi trebalo da bude najmanje šest (uključujući i nulto vreme), uz korišćenje opcione preliminarne studije (videti odeljak 1.9.4. ove metode) da bi se ustanovio pravilan režim uzimanja uzoraka i dužina trajanja ispitivanja, osem ukoliko ne postoje dovoljne informacije o ispitivanoj supstanci iz prethodnih studija. Za hidrofobne supstance, u toku inicijalnog perioda studije je možda potrebno uzeti dodatne uzorke, da bi se odredila stopa distribucije između vode i sedimentih faza.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Pri odgovarajućem vremenu uzorkovanja, celi inkubacioni sudovi (u kopiji) se sklanjaju radi analize. Sediment koji se nalazi u vodi analizira se posebno</w:t>
      </w:r>
      <w:r w:rsidRPr="00984859">
        <w:rPr>
          <w:rFonts w:ascii="Arial" w:eastAsia="Times New Roman" w:hAnsi="Arial" w:cs="Arial"/>
          <w:b/>
          <w:bCs/>
          <w:sz w:val="15"/>
          <w:szCs w:val="15"/>
          <w:vertAlign w:val="superscript"/>
          <w:lang w:eastAsia="sr-Latn-RS"/>
        </w:rPr>
        <w:t>LVI</w:t>
      </w:r>
      <w:r w:rsidRPr="00984859">
        <w:rPr>
          <w:rFonts w:ascii="Arial" w:eastAsia="Times New Roman" w:hAnsi="Arial" w:cs="Arial"/>
          <w:lang w:eastAsia="sr-Latn-RS"/>
        </w:rPr>
        <w:t xml:space="preserve">. Površinske vode se pažljivo uklanjaju uz minimalno uznemiravanje sedimenta. Ekstrakcija i karakterizacija ispitivane supstance i proizvoda konverzije prati odgovarajuće analitičke procedure. Treba voditi računa da se ukloni materijal koji se absorbovao u inkubacionom sudu ili u povezanim epruvetama koje se koriste za sakupljanje isparenja.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____________</w:t>
      </w:r>
      <w:r w:rsidRPr="00984859">
        <w:rPr>
          <w:rFonts w:ascii="Arial" w:eastAsia="Times New Roman" w:hAnsi="Arial" w:cs="Arial"/>
          <w:lang w:eastAsia="sr-Latn-RS"/>
        </w:rPr>
        <w:br/>
      </w:r>
      <w:r w:rsidRPr="00984859">
        <w:rPr>
          <w:rFonts w:ascii="Arial" w:eastAsia="Times New Roman" w:hAnsi="Arial" w:cs="Arial"/>
          <w:b/>
          <w:bCs/>
          <w:sz w:val="15"/>
          <w:szCs w:val="15"/>
          <w:vertAlign w:val="superscript"/>
          <w:lang w:eastAsia="sr-Latn-RS"/>
        </w:rPr>
        <w:t>LVI</w:t>
      </w:r>
      <w:r w:rsidRPr="00984859">
        <w:rPr>
          <w:rFonts w:ascii="Arial" w:eastAsia="Times New Roman" w:hAnsi="Arial" w:cs="Arial"/>
          <w:lang w:eastAsia="sr-Latn-RS"/>
        </w:rPr>
        <w:t xml:space="preserve"> U slučajevima kada može da dođe do rapidne re-oksidacije anaerobnih proizvoda razgradnje, anerobni uslovi se održavaju tokom analize i uzimanja uzoraka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1.9.4. Opciona preliminarna studija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Ukoliko se režim uzimanja uzoraka i njegova dužina ne mogu odrediti iz ostalih relevantnih studija na ispitivanoj supstanci, može se uzeti u razmatranje opciono preliminarno ispitivanje, koja se izvodi u istim uslovima koji su predloženi za krajnju studiju. U slučaju da se preliminarno ispitivanje izvodi, ukratko navesti merodavne uslove ispitivanja i dobijene rezultate.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1.9.5. Merenja i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ispitivane supstance i proizvoda konverzije pri svakom uzorkovanju u vodi i sedimentu meri se i zapisuje (ili kao koncentracija ili kao procenat od nanete supstance). U bilo kom vremenu uzimanja uzoraka identifikuju se proizvodi konverzije uočeni na ≥ 10% primenjene radioaktivnosti u ukupnom sistemu voda-sediment, osim ukoliko ne postoje opravdani razlozi da se drugačije postupi. Prilikom identifikacije uzimaju se u obzir i proizvodi </w:t>
      </w:r>
      <w:r w:rsidRPr="00984859">
        <w:rPr>
          <w:rFonts w:ascii="Arial" w:eastAsia="Times New Roman" w:hAnsi="Arial" w:cs="Arial"/>
          <w:lang w:eastAsia="sr-Latn-RS"/>
        </w:rPr>
        <w:lastRenderedPageBreak/>
        <w:t xml:space="preserve">konverzije čije se koncentracije konstantno povećavaju tokom ispitivanja, čak i ako njihove koncentracije ne prelaze utvrđene nivoe, jer ovo ukazuje na njihovu perzistenciju. Perzistentnost supstance se razmatra od slučaja do slučaja i obrazlaže u izveštaju.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Rezultati dobijeni iz sistema za hvatanje gasova/isparenja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ostali, odnosno isparljiva organska jedinjenja) beleže se pri svakom uzorkovanju. Stope mineralizacije se beleže. Neizdvojivi (vezani) ostaci u sedimentu se beleže prilikom svakog uzimanja uzoraka.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POSTUPANJE SA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Ukupan maseni balans ili efikasnost (videti odeljak 1.7.1. ove metode) dodate radioaktivnosti se izračunava pri svakom uzimanju uzoraka. Rezultati se beleže kao procenat dodate radioaktivnosti. Distribucija radioaktivnosti između vode i sedimenta se beleže ili kao koncentracija ili kao procenat, pri svakom uzimanju 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ukoliko je moguće, DT</w:t>
      </w:r>
      <w:r w:rsidRPr="00984859">
        <w:rPr>
          <w:rFonts w:ascii="Arial" w:eastAsia="Times New Roman" w:hAnsi="Arial" w:cs="Arial"/>
          <w:sz w:val="15"/>
          <w:szCs w:val="15"/>
          <w:vertAlign w:val="subscript"/>
          <w:lang w:eastAsia="sr-Latn-RS"/>
        </w:rPr>
        <w:t xml:space="preserve">75 </w:t>
      </w:r>
      <w:r w:rsidRPr="00984859">
        <w:rPr>
          <w:rFonts w:ascii="Arial" w:eastAsia="Times New Roman" w:hAnsi="Arial" w:cs="Arial"/>
          <w:lang w:eastAsia="sr-Latn-RS"/>
        </w:rPr>
        <w:t>i DT</w:t>
      </w:r>
      <w:r w:rsidRPr="00984859">
        <w:rPr>
          <w:rFonts w:ascii="Arial" w:eastAsia="Times New Roman" w:hAnsi="Arial" w:cs="Arial"/>
          <w:sz w:val="15"/>
          <w:szCs w:val="15"/>
          <w:vertAlign w:val="subscript"/>
          <w:lang w:eastAsia="sr-Latn-RS"/>
        </w:rPr>
        <w:t>90</w:t>
      </w:r>
      <w:r w:rsidRPr="00984859">
        <w:rPr>
          <w:rFonts w:ascii="Arial" w:eastAsia="Times New Roman" w:hAnsi="Arial" w:cs="Arial"/>
          <w:lang w:eastAsia="sr-Latn-RS"/>
        </w:rPr>
        <w:t xml:space="preserve"> ispitivane supstance se izračunava zajedno sa odgovarajućim intervalima poverenja (videti odeljak 1.7.3. ove metode). Podaci o stopi rasipanja ispitivane supstance u vodi i sedimentu se mogu dobiti korišćenjem odgovarajuće pseudo kinetike prvog reda, odnosno tehnike empirijskog određivanja krive koja primenjuje grafička ili numerička rešenja ili još kompleksnijih procena u vidu pojedinačnih ili multi-dimenzionalnih modela. Detaljnije videti u literaturi</w:t>
      </w:r>
      <w:r w:rsidRPr="00984859">
        <w:rPr>
          <w:rFonts w:ascii="Arial" w:eastAsia="Times New Roman" w:hAnsi="Arial" w:cs="Arial"/>
          <w:b/>
          <w:bCs/>
          <w:sz w:val="15"/>
          <w:szCs w:val="15"/>
          <w:vertAlign w:val="superscript"/>
          <w:lang w:eastAsia="sr-Latn-RS"/>
        </w:rPr>
        <w:t>34,35,36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Svi ovi pristupi imaju svoje dobre i loše strane i značajno variraju u svojoj kompleksnosti. Pretpostavljena kinetika prvog reda može biti preterano pojednostavljenje konverzije i procesa raspodele, ali kada je god je to moguće daje vremensku odrednicu (stopu konstante ili poluživot), koja se jednostavno razume i od velikog je značaja u modelima simulacije i kalkulacijama procesa konverzije i raspodele predviđenih koncentracija u životnoj sredini. Empirijski pristupi ili linearna transformacija mogu dovesti do boljeg prilagođavanja krive podacima i doprineti boljoj proceni poluživota, DT</w:t>
      </w:r>
      <w:r w:rsidRPr="00984859">
        <w:rPr>
          <w:rFonts w:ascii="Arial" w:eastAsia="Times New Roman" w:hAnsi="Arial" w:cs="Arial"/>
          <w:sz w:val="15"/>
          <w:szCs w:val="15"/>
          <w:vertAlign w:val="subscript"/>
          <w:lang w:eastAsia="sr-Latn-RS"/>
        </w:rPr>
        <w:t xml:space="preserve">50 </w:t>
      </w:r>
      <w:r w:rsidRPr="00984859">
        <w:rPr>
          <w:rFonts w:ascii="Arial" w:eastAsia="Times New Roman" w:hAnsi="Arial" w:cs="Arial"/>
          <w:lang w:eastAsia="sr-Latn-RS"/>
        </w:rPr>
        <w:t>i kad god je moguće, vrednosti DT</w:t>
      </w:r>
      <w:r w:rsidRPr="00984859">
        <w:rPr>
          <w:rFonts w:ascii="Arial" w:eastAsia="Times New Roman" w:hAnsi="Arial" w:cs="Arial"/>
          <w:sz w:val="15"/>
          <w:szCs w:val="15"/>
          <w:vertAlign w:val="subscript"/>
          <w:lang w:eastAsia="sr-Latn-RS"/>
        </w:rPr>
        <w:t xml:space="preserve">75 </w:t>
      </w:r>
      <w:r w:rsidRPr="00984859">
        <w:rPr>
          <w:rFonts w:ascii="Arial" w:eastAsia="Times New Roman" w:hAnsi="Arial" w:cs="Arial"/>
          <w:lang w:eastAsia="sr-Latn-RS"/>
        </w:rPr>
        <w:t>i DT</w:t>
      </w:r>
      <w:r w:rsidRPr="00984859">
        <w:rPr>
          <w:rFonts w:ascii="Arial" w:eastAsia="Times New Roman" w:hAnsi="Arial" w:cs="Arial"/>
          <w:sz w:val="15"/>
          <w:szCs w:val="15"/>
          <w:vertAlign w:val="subscript"/>
          <w:lang w:eastAsia="sr-Latn-RS"/>
        </w:rPr>
        <w:t>90</w:t>
      </w:r>
      <w:r w:rsidRPr="00984859">
        <w:rPr>
          <w:rFonts w:ascii="Arial" w:eastAsia="Times New Roman" w:hAnsi="Arial" w:cs="Arial"/>
          <w:lang w:eastAsia="sr-Latn-RS"/>
        </w:rPr>
        <w:t xml:space="preserve">. Korišćenje izvedenih konstanti je ograničeno. Modeli odvojenih posuda mogu generisati znatan broj korisnih vrednosnih konstanti u proceni rizika koje opisuje stopu konverzije u različitim posudama i raspodele hemikalije. Izbor metode u svakom slučaju se opravdava a eksperimentator grafički ili statistički dokumentuje da je izbor metoda odgovarajući.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uobičajeni naziv, hemijski naziv, CAS broj, strukturnu formulu (naznačiti poziciju izotop kada se koristi radio obeleženi materijal) i relevantna fizička i hemijska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čistoća (nečistoća)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radiohemijska čistoća obeležene hemikalije i aktivnosti molekula (kada je to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referentnim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hemijski naziv i struktura referentne supstance koja se koristi za karakterizaciju, odnosno identifikaciju proizvoda konverzije;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Sediment i voda korišćeni u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lokacija i opis mesta na kome su uzeti uzorci sedimenta, uključujući, ukoliko ih imamo, podatke o prethodnom zagađenju;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sve informacije vezane za sakupljanje, skladištenje (ukoliko postoje) i aklimatizaciju sistema voda-sediment;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svojstva sistema voda-sediment na način prikazan u tabeli u odeljku 1.8.2.2;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pod kojima se obavlja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ispitivanjalni sistem koji se koristi (npr. protočni sistem, biometar, način ventilacije, metod mešanja, zapremina vode, masa sedimenta, visina vode i sedimentnog sloja, dimenzije posuda u kojima se obavlja ispitivanje,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uvođenje ispitivane supstance u ispitivanjalni sistem: korišćena koncentracija, broj duplikata i kontrola, način primene ispitivane supstance (npr. korišćenje rastvarača ukoliko ih ima), itd;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uzimanja 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ekstrakcione metode i efikasnost kao i analitičke metode i granice detekcije;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metode za karakterizaciju/identifikaciju proizvoda konverzije;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odstupanja od protokola metode ispitivanja ili uslova u kojim se odvija ispitivanje u toku studije;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neobrađeni podaci reprezentativnih analiza (svi neobrađeni podaci se arhiviraju u skladu sa principima dobre laboratorijske prakse - GLP);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ponovljivost i osetljivost korišćenog analitičkog metoda;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efikasnost analitičke tehnike (% vrednosti validne studije su dati u odeljku 1.7.1);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tabele sa rezultatima izražene u % primenjene doze i u mg/kg vode, sedimenta i ukupnog sistema (samo u %) za ispitivanu supstancu i ukoliko je moguće za proizvode konverzije i neizdvojivu radioaktivnost;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maseni balans u toku i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 prikaz tranformacije posebno u vodi i sedimentu kao i u ukupnom sistemu (uključujući i mineralizaciju);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stope mineralizacije;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poluživot,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ukoliko je moguće, DT</w:t>
      </w:r>
      <w:r w:rsidRPr="00984859">
        <w:rPr>
          <w:rFonts w:ascii="Arial" w:eastAsia="Times New Roman" w:hAnsi="Arial" w:cs="Arial"/>
          <w:sz w:val="15"/>
          <w:szCs w:val="15"/>
          <w:vertAlign w:val="subscript"/>
          <w:lang w:eastAsia="sr-Latn-RS"/>
        </w:rPr>
        <w:t>75</w:t>
      </w:r>
      <w:r w:rsidRPr="00984859">
        <w:rPr>
          <w:rFonts w:ascii="Arial" w:eastAsia="Times New Roman" w:hAnsi="Arial" w:cs="Arial"/>
          <w:lang w:eastAsia="sr-Latn-RS"/>
        </w:rPr>
        <w:t xml:space="preserve"> i DT</w:t>
      </w:r>
      <w:r w:rsidRPr="00984859">
        <w:rPr>
          <w:rFonts w:ascii="Arial" w:eastAsia="Times New Roman" w:hAnsi="Arial" w:cs="Arial"/>
          <w:sz w:val="15"/>
          <w:szCs w:val="15"/>
          <w:vertAlign w:val="subscript"/>
          <w:lang w:eastAsia="sr-Latn-RS"/>
        </w:rPr>
        <w:t>90</w:t>
      </w:r>
      <w:r w:rsidRPr="00984859">
        <w:rPr>
          <w:rFonts w:ascii="Arial" w:eastAsia="Times New Roman" w:hAnsi="Arial" w:cs="Arial"/>
          <w:lang w:eastAsia="sr-Latn-RS"/>
        </w:rPr>
        <w:t xml:space="preserve"> vrednosti za ispitivanu supstancu, i gde postoji mogućnost za glavne proizvode konverzije, uključiti i intervale poverenja u vodi sedimentu i ukupnom sistemu;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procena kinetike transformacije ispitivane supstance, i kada je moguće glavnih proizvoda konverzije;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predložene puteve transformacije, kada je to moguće;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prodiskutovati rezultate.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BBA-Guidelines for the examination of plant protectors in the registration process., (1990) Part IV, Section 5-1: Degradability and fate of plant protectors in the water/sediment system. Germany.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Commission for registration of pesticides: Application for registration of a pesticide., (1991) Part G. Behaviour of the product and its metabolites in soil, water and air, Section G.2.1 (a). The Netherlands.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MAFF Pesticides Safety Directorate., (1992) Preliminary guideline for the conduct of biodegradability tests on pesticides in natural sediment/water systems. Ref No SC 9046. United-Kingdom.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Agriculture Canada: Environmental chemistry and fate., (1987) Guidelines for registration of pesticides in Canada. Aquatic (Laboratory) - Anaerobic and aerobic. Canada. p. 35-37.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US-EPA: Pesticide assessment guidelines, Subdivision N. Chemistry: Environmental fate (1982) Section 162-3, Anaerobic aquatic metabolism.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SETAC-Europe publication., (1995) Procedures for assessing the environmental fate and eCOtoxicity of pesticides. Ed. Dr Mark R. Lynch. SETAC-Europe, Brussels.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OECD Test Guidelines Programme., (1995) Final Report of the OECD Workshop on Selection of Soils/sediments, Belgirate, Italy, 18-20 January 1995.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ISO/DIS 5667-12., (1994) Water quality - Sampling - Part 12: Guidance on sampling of bottom sediments.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US-EPA (1998a) Sediment/water microcosm biodegradation test. Harmonised Test Guidelines (OPPTS 835.3180). EPA 712-C-98-080.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DFG: Pesticide Bound Residues in Soil. Wiley-VCH (1998).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T.R. Roberts: Non-extractable pesticide residues in soils and plants. Pure Appl. Chem. 56, 945-956 (IUPAC 1984).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OECD Test Guideline 304A: Inherent Biodegradability in Soil (adopted 12 May 1981).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OECD (1993): Guidelines for Testing of Chemicals. Paris. OECD (1994-2000): Addenda 6-11 to Guidelines for the Testing of Chemicals.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14. Scholz, K., Fritz R., Anderson C. and Spiteller M. (1988) Degradation of pesticides in an aquatic model ecosystem. BCPC - Pests and Diseases, 3B-4, p. 149-158.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Guth, J.A., (1981) Experimental approaches to studying the fate of pesticides in soil. In Progress in Pesticide Biochemistry (D.H. Hutson, T.R. Roberts, Eds.), Vol. 1, 85-114. J. Wiley &amp; Sons.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Madsen, T., Kristensen, P. (1997) Effects of bacterial inoculation and non-ionic surfactants on degradation of polycyclic aromatic hydrocarbons in soil. Environ. ToxiCOl. Chem. 16, p. 631-637.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Steber, J., Wierich, P. (1987) The anaerobic degradation of detergent range fatty alCOhol ethoxylates. Studies with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C-labelled model surfactants. Water Research 21, p. 661-667.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Black, C.A. (1965). Methods of Soil Analysis. Agronomy Monograph No 9. American Society of Agronomy, Madison.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19.APHA (1989) Standard Methods for Examination of Water and Wastewater (17th edition). American Public Health Association, American Water Works Association and Water Pollution Control Federation, Washington D.C.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Rowell, D.L. (1994) Soil Science Methods and Applications. Longman.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Light, T.S., (1972). Standard solution for redox potential measurements. Anal. Chemistry 44, p. 1038-1039.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SETAC-Europe publication (1991) Guidance document on testing procedures for pesticides in freshwater mesocosms. From the Workshop 'A Meeting of Experts on Guidelines for Static Field Mesocosms Tests', 3-4 July 1991.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23. SETAC-Europe publication. (1993) Guidance document on sediment toxicity tests and bioassays for freshwater and marine environments. From the Workshop on Sediment Toxicity Assessment (WOSTA), 8-10 November 1993. Eds.: I.R. Hill, P. Matthiessen and F. Heimbach.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Vink, J.P.M., van der Zee, S.E.A.T.M. (1997) Pesticide biotransformation in surface waters: multivariate analyses of environmental factors at field sites. Water Research 31, p. 2858-2868.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 Vink, J.P.M., Schraa, G., van der Zee, S.E.A.T.M. (1999) Nutrient effects on microbial transformation of pesticides in nitrifying waters. Environ. Toxicol, p. 329-338.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26. Anderson, T.H., Domsch, K.H. (1985) Maintenance carbon requirements of actively-metabolising microbial populations under in-situ Conditions. Soil Biol. Biochem. 17, p. 197-203.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27. ISO-14240-2., (1997) Soil quality - Determination of soil microbial biomass - Part 2: Fumigationextraction method.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28. Beelen, P. Van and F. Van Keulen., (1990), The Kinetics of the Degradation of Chloroform and Benzene in Anaerobic Sediment from the River Rhine. Hydrobiol. Bull. 24 (1), p. 13-21.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29. Shelton, D.R. and Tiedje, J.M. (1984) General method for determining anaerobic biodegradation potential. App. Environ. Microbiol. 47, p. 850-857.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30. Birch, R.R., Biver, C., Campagna, R., Gledhill, W.E., Pagga, U., Steber, J., Reust, H. and Bontinck, W.J. (1989) Screening of chemicals for anaerobic biodegradation. Chemosphere 19, p. 1527-1550.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31. Pagga, U. and Beimborn, D.B. (1993) Anaerobic biodegradation tests for organic Compounds. Chemoshpere 27, p. 1499-1509.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32. Nuck, B.A. and Federle, T.W., (1986) A batch test for assessing the mineralisation of 14C-radiolabelled Compounds under realistic anaerobic Conditions. Environ. Sci. Technol. 30, p. 3597-3603.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33. US-EPA (1998b). Anaerobic biodegradability of organic chemicals. Harmonised Test Guidelines (OPPTS 835.3400). EPA 712-C-98-090.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34. Sijm, Haller and Schrap (1997) Influence of storage on sediment characteristics and drying sediment on sorption Coefficients of organic Contaminants. Bulletin Environ. Contam. ToxiCol. 58, p. 961-968.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35. Timme, G., Frehse H. and Laska V. (1986) Statistical interpretation and graphic representation of the degradational behaviour of pesticide residues II. Pflanzenschutz - Nachrichten Bayer, 39, p. 187-203.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36. Timme, G., Frehse, H. (1980) Statistical interpretation and graphic representation of the degradational behaviour of pesticide residues I. Pflanzenschutz - Nachrichten Bayer, 33, p. 47-60.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37. Carlton, R.R., and Allen, R., (1994) The use of a Compartment model for evaluating the fate of pesticides in sediment/water systems. Brighton Crop Protection Conference - Pest and Diseases, p. 1349-1354.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SMERNICE ZA AEROBNE I ANAEROBNE SISTEME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Aerobni sistem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Aerobni sistem za ispitivanje opisan u ovoj metodi ispitivanja sastoji se od aerobnog vodenog sloja (tipična koncentracija kiseonika varira od 7 mg/l do 10 mg/l) i sedimentnog sloja, koji je aeroban na površini a anaerobni ispod površine (tipični prosečni redoks potencijal (Ex) u anaerobnoj zoni sedimenta varira od - 80 mV do - 190 mV). Vlažni vazduh se pušta po površini vode u svakoj inkubacionoj jedinici da bi se održao odgovarajući nivo kiseonika u svakoj gornjem delu suda.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Anaerobni sistem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anaerobne ispitivane sisteme, postupak ispitivanja je u suštini isti kao i kod opisanog aerobnog sistema, sa izuzetkom da se vlažni azot pušta po površini vode u svakoj inkubacionoj jedinici da bi se održao novo azota u gornjem delu suda. Sediment i voda se smatraju anaerobnim ako je redoks potencijal (E</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niži od - 100 mV.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anaerobnoj studiji, procena mineralizacije uključuje merenje ugljen dioksida i metana.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treći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PRIMER GAS - PROTOČNE APARATURE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9972675" cy="6696075"/>
            <wp:effectExtent l="0" t="0" r="9525" b="9525"/>
            <wp:docPr id="161" name="Picture 161" descr="C:\Program Files (x86)\ParagrafLex\browser\Files\Old\t\t2013_12\t12_0570_s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Program Files (x86)\ParagrafLex\browser\Files\Old\t\t2013_12\t12_0570_s150.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972675" cy="66960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četvrti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PRIMER BIOMETARSKOG APARATA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6838950" cy="7762875"/>
            <wp:effectExtent l="0" t="0" r="0" b="9525"/>
            <wp:docPr id="160" name="Picture 160" descr="C:\Program Files (x86)\ParagrafLex\browser\Files\Old\t\t2013_12\t12_0570_s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Program Files (x86)\ParagrafLex\browser\Files\Old\t\t2013_12\t12_0570_s151.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38950" cy="7762875"/>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peti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PRIMER RAČUNANJA ZA PRIMENU DOZE NA POSUDE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Unutrašnji promer cilindra: 8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Dubina kolone sa vodom ne uključujući sediment: 12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Površina: 3,142 × 42 = 50,3 cm</w:t>
      </w:r>
      <w:r w:rsidRPr="00984859">
        <w:rPr>
          <w:rFonts w:ascii="Arial" w:eastAsia="Times New Roman" w:hAnsi="Arial" w:cs="Arial"/>
          <w:sz w:val="15"/>
          <w:szCs w:val="15"/>
          <w:vertAlign w:val="superscript"/>
          <w:lang w:eastAsia="sr-Latn-RS"/>
        </w:rPr>
        <w:t>2</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Doza koja se preporučuje za primenu: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500 g ispitivane substance/ha odgovara 5 μg/cm</w:t>
      </w:r>
      <w:r w:rsidRPr="00984859">
        <w:rPr>
          <w:rFonts w:ascii="Arial" w:eastAsia="Times New Roman" w:hAnsi="Arial" w:cs="Arial"/>
          <w:sz w:val="15"/>
          <w:szCs w:val="15"/>
          <w:vertAlign w:val="superscript"/>
          <w:lang w:eastAsia="sr-Latn-RS"/>
        </w:rPr>
        <w:t>2</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Ukupno μg: 5 × 50,3 = 251,5 μg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Podesiti količinu u odnosu na dubinu od 100 cm: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 251,5 ÷ 100 = 30,18 μg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Zapremina kolone sa vodom: 50,3 × 12 = 603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Koncentracija u vodi: 30,18 ÷ 603= 0,050 μg/ml ili 50 μg/l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C.25. AEROBNA MINERALIZACIJA U POVRŠINSKIM VODAMA - ISPITIVANJE BIORAZGRADNJE U SIMULACIONIM USLOVIMA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zasniva se na Uputstvu za ispitivanje OECD 309 (2004)</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Svrha ovog ispitivanja je da se odredi vreme potrebno za biorazgradnju ispitivane supstance koja je prisutna u aerobnim prirodnim vodama u niskoj koncentraciji i kvantifikuje kinetička brzina. Ovo simulaciono ispitivanje predstavlja šaržni postupak koji se izvodi u laboratorijskim uslovima u sudovima na tresilici čime se određuje brzina biorazgradnje organske supstance u aerobnim uslovima u uzorcima prirodnih površinskih voda (slatka, brakična ili morska). Zasniva se na standardu ISO 14592-1</w:t>
      </w:r>
      <w:r w:rsidRPr="00984859">
        <w:rPr>
          <w:rFonts w:ascii="Arial" w:eastAsia="Times New Roman" w:hAnsi="Arial" w:cs="Arial"/>
          <w:b/>
          <w:bCs/>
          <w:sz w:val="15"/>
          <w:szCs w:val="15"/>
          <w:vertAlign w:val="superscript"/>
          <w:lang w:eastAsia="sr-Latn-RS"/>
        </w:rPr>
        <w:t>2</w:t>
      </w:r>
      <w:r w:rsidRPr="00984859">
        <w:rPr>
          <w:rFonts w:ascii="Arial" w:eastAsia="Times New Roman" w:hAnsi="Arial" w:cs="Arial"/>
          <w:lang w:eastAsia="sr-Latn-RS"/>
        </w:rPr>
        <w:t xml:space="preserve"> a sadrži i elemente metoda ispitivanja C.23. i C.24.</w:t>
      </w:r>
      <w:r w:rsidRPr="00984859">
        <w:rPr>
          <w:rFonts w:ascii="Arial" w:eastAsia="Times New Roman" w:hAnsi="Arial" w:cs="Arial"/>
          <w:b/>
          <w:bCs/>
          <w:sz w:val="15"/>
          <w:szCs w:val="15"/>
          <w:vertAlign w:val="superscript"/>
          <w:lang w:eastAsia="sr-Latn-RS"/>
        </w:rPr>
        <w:t>3,4</w:t>
      </w:r>
      <w:r w:rsidRPr="00984859">
        <w:rPr>
          <w:rFonts w:ascii="Arial" w:eastAsia="Times New Roman" w:hAnsi="Arial" w:cs="Arial"/>
          <w:lang w:eastAsia="sr-Latn-RS"/>
        </w:rPr>
        <w:t xml:space="preserve">. U slučaju dužeg trajanja ispitivanja, postupak se može dopuniti periodičnim dodavanjem vode (polukontinualni postupak) kako se ne bi narušio ispitivani mikrosistem. Glavni cilj simulacionog ispitivanja je određivanje mineralizacije ispitivane supstance u površinskim vodama, koja čini osnovu za određivanje kinetike razgradnje. Ispitivanje ima i fakultativni sekundarni cilj - dobijanje informacija o primarnoj razgradnji i formiranju glavnih proizvoda razgradnje. Utvrđivanje proizvoda transformacije i, ako je moguće, kvantifikovanje njihovih koncentracija je naročito važno za supstance koje se vrlo sporo mineralizuju (npr. gde vreme poluživota ukupnog preostalog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iznosi više od 60 dana). Zbog analitičkih ograničenja, za identifikaciju i kvantifikaciju značajnih proizvoda transformacije po pravilu koristiti više koncentracije ispitivane supstance (npr. &gt; 100 μg/l).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okviru ovog ispitivanja niska koncentracija podrazumeva koncentraciju dovoljno nisku (npr. manje od 1 μg/l do 100 μg/l) da se prilikom ispitivanja postigne kinetika biorazgradnje kakva se može očekivati u životnoj sredini. U poređenju sa ukupnom količinom biorazgradljivih jedinjenja ugljenika u prirodnim vodama koja se koristi u ispitivanju, niska koncentracija ispitivane supstance će služiti kao sekundarni supstrat. To znači da je očekivana kinetika biorazgradnje kinetika prvog reda (kinetika "bez rasta") i da se ispitivana supstanca može razgraditi "kometabolizmom". Kinetika prvog reda podrazumeva da je brzina razgradnje </w:t>
      </w:r>
      <w:r w:rsidRPr="00984859">
        <w:rPr>
          <w:rFonts w:ascii="Arial" w:eastAsia="Times New Roman" w:hAnsi="Arial" w:cs="Arial"/>
          <w:lang w:eastAsia="sr-Latn-RS"/>
        </w:rPr>
        <w:lastRenderedPageBreak/>
        <w:t xml:space="preserve">(mg/l/dan) srazmerna koncentraciji supstrata, koja opada sa vremenom. Kod prave kinetike prvog reda konstanta specifične brzine razgradnje (k) je nezavisna od vremena i koncentracije. Prema tome, k se ne menja značajnije tokom jednog eksperimenta, ali ni sa povećanjem koncentracije između eksperimenata. Prema definiciji, konstanta specifične brzine razgradnje jednaka je relativnoj promeni koncentracije po jedinici vremena: k = (1/C) × (dC/dt). Iako se u propisanim uslovima u pravilu očekuje kinetika prvog reda, u određenim okolnostima mogu više odgovarati druge vrste kinetike. Odstupanja od kinetike prvog reda mogu se zapaziti kad brzinu biorazgradnje više ograničava pojava prenosa mase, npr. brzina difuzije, nego brzina biološke reakcije. Podaci se gotovo uvek mogu opisati kinetikom pseudoprvog reda, ako se prihvati konstanta brzine koja zavisi od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Informacije o biorazgradljivosti ispitivane supstance pri višim koncentracijama (npr. iz standardnih brzih skrining testova) kao i podaci o abiotičkoj razgradljivosti, proizvodima transformacije i relevantnim fizičko-hemijskim svojstvima, potrebno je da budu na raspolaganju pre ispitivanja da pomognu planiranju eksperimenta i tumačenju rezultata. Sposobnost potpune biorazgradnje može se odrediti primenom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obeležene ispitivane supstance i određivanjem fazne raspodele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na kraju ispitivanja. Ako se koristi neobeležena ispitivana supstanca, konačna biorazgradnja se može proceniti samo ako se ispituje viša koncentracija i ako su poznati svi glavni proizvodi razgradnje.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Primarna biorazgradnja jeste promena strukture (transformacija) hemijske supstance delovanjem mikroorganizama koja dovodi do gubitka identiteta hemikalije.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Funkcionalna biorazgradnja jeste promena strukture (transformacija) hemijske supstance delovanjem mikroorganizama koja dovodi do gubitka određenog svojstva.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Potpuna aerobna biorazgradnja jeste razgradnja hemijske supstance delovanjem mikroorganizama u prisustvu kiseonika na ugljen-dioksid, vodu i mineralne soli drugih prisutnih elemenata (mineralizacija) i stvaranje nove biomase i organskih proizvoda mikrobiološke biosinteze.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Mineralizacija jeste razgradnja hemijske supstance odnosno organskog sadržaja delovanjem mikroorganizama u prisustvu kiseonika na ugljen-dioksid, vodu i mineralne soli drugih prisutnih elemenata.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Faza prilagođavanja (lag faza) jeste vreme od početka ispitivanja koje je potrebno da se mikroorganizmi koji vrše razgradnju prilagode i da stepen biorazgradnje hemijske supstance odnosno organskog sadržaja dostigne nivo detekcije (npr. 10% maksimalne teoretske biorazgradnje ili manje, zavisno od tačnosti merne tehnike).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Maksimalna biorazgradnja jeste stepen biorazgradnje hemijske supstance odnosno organskog sadržaja u okviru ispitivanja, izražen u procentima, iznad kojeg više nema biorazgradnje tokom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Primarni supstrat jeste skup organski vezanog ugljenika i izvora energije koji obezbeđuju rast i održavanje biomase mikroorganizama.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Sekundarni supstrat jeste komponenta supstrata koja je prisutna u tako niskoj koncentraciji da njenom razgradnjom relevantni mikroorganizmi primaju tek neznatne količine ugljenika i energije u odnosu na ugljenik i energiju koja se obezbeđuje razgradnjom glavnih komponenata supstrata (primarni supstrati).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Konstanta brzine razgradnje jeste konstanta brzine kinetike prvog reda ili pseudoprvog reda k (d</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kojom se označava brzina procesa razgradnje. U slučaju šaržnih eksperimenata k se procenjuje iz početnog dela krive razgradnje dobijene po završetku faze prilagođavanja.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Vreme poluživota, t</w:t>
      </w:r>
      <w:r w:rsidRPr="00984859">
        <w:rPr>
          <w:rFonts w:ascii="Arial" w:eastAsia="Times New Roman" w:hAnsi="Arial" w:cs="Arial"/>
          <w:sz w:val="15"/>
          <w:szCs w:val="15"/>
          <w:vertAlign w:val="subscript"/>
          <w:lang w:eastAsia="sr-Latn-RS"/>
        </w:rPr>
        <w:t xml:space="preserve">1/2 </w:t>
      </w:r>
      <w:r w:rsidRPr="00984859">
        <w:rPr>
          <w:rFonts w:ascii="Arial" w:eastAsia="Times New Roman" w:hAnsi="Arial" w:cs="Arial"/>
          <w:lang w:eastAsia="sr-Latn-RS"/>
        </w:rPr>
        <w:t>(d) jeste izraz koji se koristi za opisivanje brzine reakcije prvog reda. To je vremenski interval koji odgovara smanjenju koncentracije za faktor 2. Odnos između vremena poluživota i konstante brzine razgradnje opisan je jednačinom t</w:t>
      </w:r>
      <w:r w:rsidRPr="00984859">
        <w:rPr>
          <w:rFonts w:ascii="Arial" w:eastAsia="Times New Roman" w:hAnsi="Arial" w:cs="Arial"/>
          <w:sz w:val="15"/>
          <w:szCs w:val="15"/>
          <w:vertAlign w:val="subscript"/>
          <w:lang w:eastAsia="sr-Latn-RS"/>
        </w:rPr>
        <w:t xml:space="preserve">1/2 </w:t>
      </w:r>
      <w:r w:rsidRPr="00984859">
        <w:rPr>
          <w:rFonts w:ascii="Arial" w:eastAsia="Times New Roman" w:hAnsi="Arial" w:cs="Arial"/>
          <w:lang w:eastAsia="sr-Latn-RS"/>
        </w:rPr>
        <w:t xml:space="preserve">= ln2/k.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Vreme polurazgradnje,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(d) jeste izraz koji se koristi za kvantifikaciju rezultata ispitivanja biorazagradnje. To je vreme koje je potrebno da se dostigne 50% biorazgradnje, uključujući fazu prilagođavanja.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Granica detekcije (Limit of detection, u daljem tekstu: LOD) jeste koncentracija supstance ispod koje se supstanca više ne može razlikovati od analitičkih artefakata.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Granica kvantifikacije (Limit of quantification, u daljem tekstu: LOQ) jeste koncentracija supstance ispod koje se koncentracija ne može odrediti sa prihvatljivom tačnošću.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Rastvoreni organski ugljenik (u daljem tekstu: DOC) jeste deo organski vezanog ugljenika u uzorku vode koji se ne može ukloniti predviđenim razdvajanjem faza, npr. 15-minutnim centrifugiranjem na 40 000 ms</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ili membranskom filtracijom pomoću membrana veličine pora 0,2 μm do 0,45 μm.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aktivnost organskog ugljenika (Total organic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activity, u daljem tekstu: TOA) jeste ukupna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aktivnost koja potiče od organski vezanog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aktivnost rastvorenog organskog ugljenika (Dissolved organic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activity, u daljem tekstu: DOA) jeste ukupna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aktivnost koja potiče od rastvorenog organski vezanog ugljenika.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aktivnost organskog ugljenika u čvrstom obliku (Particulate organic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activity, u daljem tekstu: POA) jeste ukupna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aktivnost koja potiče od organski vezanog ugljenika u čvrstom obliku.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PRIMENLJIVOST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Simulaciono ispitivanje je primenljivo u slučaju neisparljivih i blago isparljivih organskih supstanci koje se ispituju pri niskim koncentracijama. Ako se koriste sudovi sa razmenom vazduha iz atmosfere (npr. zatvoreni čepom od vate), supstance sa Henrijevom konstantom ispod oko 1 Pa·m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/mol (oko 10-5 atm·m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/mol) mogu se u praksi smatrati neisparljivima. Ako se koriste zatvoreni sudovi za analizu supstance iz gasne faze (headspace), mogu se ispitivati i slabo isparljive supstance (sa Henrijevom konstantom &lt; 100 Pa 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/mol ili &lt; 1 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atm·m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/mol) bez gubitaka mase iz ispitivanog sistema. Pri oslobađanju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može doći do gubitaka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 obeležene supstance ako se ne sprovedu odgovarajuće mere predostrožnosti. U takvim situacijama ponekad je potrebno odvajati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na unutrašnjem apsorberu sa bazama ili koristiti spoljni apsorber sistem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(direktno određivanje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videti Dodatak treći ove metode). Za određivanje kinetike biorazgradnje, koncentracije ispitivane supstance su ispod rastvorljivosti u vodi. Ipak, imati na umu da vrednosti rastvorljivosti u vodi koje se navode u literaturi mogu biti znatno više od rastvorljivosti ispitivane supstance u prirodnim vodama. Rastvorljivosti ispitivanih supstanci koje su izrazito slabo rastvorljive u vodi mogu se utvrditi i pomoću prirodnih voda koje se ispituju.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Metoda se može koristiti za simulaciju biorazgradnje u površinskim vodama bez krupnih čestica (pelagički test) ili u mutnim površinskim vodama kakva se npr. može naći u blizini međuprostora voda/sediment (ispitivanje sa suspendovanim sedimentom).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lastRenderedPageBreak/>
        <w:t xml:space="preserve">1.4. PRINCIP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sprovodi u šaržama inkubiranjem ispitivane supstance bilo samo sa površinskom vodom (pelagički test) ili sa površinskom vodom kojoj je dodata suspendovana čvrsta supstanca/sediment u koncentraciji od 0,01 g/l do 1 g/l suve mase (ispitivanjem sa suspendovanim sedimentom) radi simulacije vodene sredine sa suspendovanim čvrstim supstancama ili resuspendovanim sedimentom. Koncentracija suspendovane čvrste supstance/sedimenta u donjem opsegu ovog intervala tipična je za većinu površinskih voda. Sudovi sa ispitivanim uzorkom se inkubiraju u mraku na sobnoj temperaturi u aerobnim uslovima, uz mućkanje. Za određivanje kinetike razgradnje koriste se najmanje dve koncentracije ispitivane supstance. Koncentracije se razlikuju za faktor 5 do 10 i predstavljaju očekivani opseg koncentracija u životnoj sredini. Maksimalna koncentracija ispitivane supstance ne sme biti viša od 100 µg/l, a poželjno je da maksimalne ispitivane koncentracije budu od 10 µg/l ili niže kako bi se obezbedilo da biorazgradnja bude u skladu sa kinetikom prvog reda. Najniža koncentracija ne sme biti viša od 10 µg/l, a prednost dati koncentracijama 1 µg/l do 2 µg/l ili manje od 1 µg/l. Obično se tako niske koncentracije mogu dovoljno dobro analizirati upotrebom 14S obeleženih supstanci koje su dostupne na tržištu. Ako se ispitivana supstanca primenjuje u koncentraciji ≤ 100 µg/L, koncentraciju često nije moguće izmeriti sa potrebnom tačnošću zbog analitičkih ograničenja (videti odeljak 1.7.2. ove metode). Više koncentracije ispitivane supstance (&gt; 100 µg/L, a ponekad i &gt; 1 mg/L) mogu se koristiti za identifikaciju i kvantifikaciju glavnih proizvoda transformacije i u slučajevima kad nije raspoloživa specifična analitička metoda sa niskom granicom detekcije. Ako se ispituju visoke koncentracije ispitivane supstance, ponekad nije moguće odrediti konstantu brzine razgradnje prvog reda i vreme poluživota na osnovu dobijenih rezultata budući da razgradnja verovatno neće slediti kinetiku prvog reda.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Razgradnja se prati u odgovarajućim vremenskim razmacima, merenjem preostalog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 ili preostale koncentracije ispitivane supstance, ako se vrši specifična hemijska analiza.</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obeležavanjem najstabilnijeg dela molekula može se odrediti ukupna mineralizacija, dok se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obeležavanjem manje stabilnog dela molekula i primenom specifične analize može odrediti samo primarna biorazgradnja. Međutim, najstabilniji deo ne uključuje obavezno relevantni funkcionalni deo molekula (koji je povezan sa specifičnim svojstvom, kao što su toksičnost, bioakumulacija itd). U tom slučaju, kod ispitivanja je možda primerenije koristiti ispitivanu supstancu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obeleženu u funkcionalnom delu da bi se pratio gubitak specifičnog svojstva.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INFORMACIJE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ovo ispitivanje mogu se koristiti i radioaktivno obeležene i neobeležene ispitivane supstance. Preporučuje se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tehnika obeležavanja, i po pravilu se nalazi na najstabilnijem delu ili delovima molekula (videti i odeljak 1.4. ove metode). Kod supstanci koje sadrže više od jednog aromatičnog prstena po mogućstvu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obeležiti jedan ili više ugljenika u svakom prstenu. Osim toga, poželjno 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obeležiti jedan ili više ugljenika sa obe strane lako razgradljivih veza. Hemijska i/ili radioaktivna čistoća ispitivane supstance je &gt; 95%. Kod radioaktivno obeleženih supstanci, poželjna je specifična aktivnost od oko 50 μCi/mg (1,85 MBq) ili više, kako bi se olakšala merenja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kod ispitivanja sa niskim početnim koncentracijama. Potrebne su sledeće informacije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vodi (metoda A.6.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rastvorljivost u organskom rastvaraču ili rastvaračima (ako se supstanca primenjuje pomoću rastvarača ili ima nisku rastvorljivost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konstanta disocijacije (pKa), ako je supstanca podložna protonizaciji ili deprotonizaciji (Uputstvo za ispitivanje OECD TG 112)</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napon pare (metoda A.4. koja je data u ovom pravilniku) i Henrijeva konstanta,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hemijska stabilnost u vodi i u mraku (hidroliza) (metoda C.7.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supstance koje su slabo rastvorljive u vodi ispituju u morskoj vodi, korisno je znati konstantu isoljavanja (ili "Sečenovu konstantu") K</w:t>
      </w:r>
      <w:r w:rsidRPr="00984859">
        <w:rPr>
          <w:rFonts w:ascii="Arial" w:eastAsia="Times New Roman" w:hAnsi="Arial" w:cs="Arial"/>
          <w:sz w:val="15"/>
          <w:szCs w:val="15"/>
          <w:vertAlign w:val="superscript"/>
          <w:lang w:eastAsia="sr-Latn-RS"/>
        </w:rPr>
        <w:t>s</w:t>
      </w:r>
      <w:r w:rsidRPr="00984859">
        <w:rPr>
          <w:rFonts w:ascii="Arial" w:eastAsia="Times New Roman" w:hAnsi="Arial" w:cs="Arial"/>
          <w:lang w:eastAsia="sr-Latn-RS"/>
        </w:rPr>
        <w:t>, koja se definiše izrazom: log (S/S') = K</w:t>
      </w:r>
      <w:r w:rsidRPr="00984859">
        <w:rPr>
          <w:rFonts w:ascii="Arial" w:eastAsia="Times New Roman" w:hAnsi="Arial" w:cs="Arial"/>
          <w:sz w:val="15"/>
          <w:szCs w:val="15"/>
          <w:vertAlign w:val="superscript"/>
          <w:lang w:eastAsia="sr-Latn-RS"/>
        </w:rPr>
        <w:t>s</w:t>
      </w:r>
      <w:r w:rsidRPr="00984859">
        <w:rPr>
          <w:rFonts w:ascii="Arial" w:eastAsia="Times New Roman" w:hAnsi="Arial" w:cs="Arial"/>
          <w:lang w:eastAsia="sr-Latn-RS"/>
        </w:rPr>
        <w:t xml:space="preserve"> C</w:t>
      </w:r>
      <w:r w:rsidRPr="00984859">
        <w:rPr>
          <w:rFonts w:ascii="Arial" w:eastAsia="Times New Roman" w:hAnsi="Arial" w:cs="Arial"/>
          <w:sz w:val="15"/>
          <w:szCs w:val="15"/>
          <w:vertAlign w:val="subscript"/>
          <w:lang w:eastAsia="sr-Latn-RS"/>
        </w:rPr>
        <w:t>m</w:t>
      </w:r>
      <w:r w:rsidRPr="00984859">
        <w:rPr>
          <w:rFonts w:ascii="Arial" w:eastAsia="Times New Roman" w:hAnsi="Arial" w:cs="Arial"/>
          <w:lang w:eastAsia="sr-Latn-RS"/>
        </w:rPr>
        <w:t>, gde su S i S' rastvorljivosti supstance u slatkoj, odnosno morskoj vodi, a C</w:t>
      </w:r>
      <w:r w:rsidRPr="00984859">
        <w:rPr>
          <w:rFonts w:ascii="Arial" w:eastAsia="Times New Roman" w:hAnsi="Arial" w:cs="Arial"/>
          <w:sz w:val="15"/>
          <w:szCs w:val="15"/>
          <w:vertAlign w:val="subscript"/>
          <w:lang w:eastAsia="sr-Latn-RS"/>
        </w:rPr>
        <w:t>m</w:t>
      </w:r>
      <w:r w:rsidRPr="00984859">
        <w:rPr>
          <w:rFonts w:ascii="Arial" w:eastAsia="Times New Roman" w:hAnsi="Arial" w:cs="Arial"/>
          <w:lang w:eastAsia="sr-Latn-RS"/>
        </w:rPr>
        <w:t xml:space="preserve"> je molarna koncentracija soli.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ispitivanje obavlja kao ispitivanje sa suspendovanim sedimentom, dostupne su i sledeće informacije: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koeficijent raspodele - oktanol/voda (metoda A.8.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koeficijent adsorpcije (metoda C.18.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Ostale korisne informacije mogu da obuhvataju: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u životnoj sredini, ako je poznata ili procenjena,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toksičnost ispitivane supstance za mikroorganizme (metoda C.11. koja je data u ovom pravilniku),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laka i/ili inherentna biorazgradljivost (metode C.4 A-F, C.12. i C.9. koje su date u ovom pravilniku, Uputstvo za ispitivanje OECD TG 302</w:t>
      </w:r>
      <w:r w:rsidRPr="00984859">
        <w:rPr>
          <w:rFonts w:ascii="Arial" w:eastAsia="Times New Roman" w:hAnsi="Arial" w:cs="Arial"/>
          <w:b/>
          <w:bCs/>
          <w:sz w:val="15"/>
          <w:szCs w:val="15"/>
          <w:vertAlign w:val="superscript"/>
          <w:lang w:eastAsia="sr-Latn-RS"/>
        </w:rPr>
        <w:t>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aerobna ili anaerobna biorazgradljivost u zemljištu i studije transformacije u sistemima voda-sediment (metode C.23. i C.24. koje su date u ovom pravilniku).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REFERENTNA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Kao referentnu supstancu koristiti supstancu koja se po pravilu lako razgrađuje u aerobnim uslovima (npr. anilin ili natrijum benzoat). Očekivano vreme razgradnje anilina i natrijum benzoata obično je kraće od 2 nedelje. Svrha korišćenja referentnih supstanci je da se proveri se da li se mikrobiološka aktivnost u ispitivanoj vodi kreće unutar određenih granica, tj. da li voda sadrži aktivnu mikrobiološku populaciju.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KRITERIJUMI KVALITETA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Efikasnost primenjene analitičke tehnike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Svaku početnu koncentraciju proveriti odmah nakon dodavanja ispitivane supstance u najmanje dva ponavljanja merenjem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aktivnosti ili, u slučaju neobeleženih supstanci, hemijskom analizom. Time se dobijaju informacije o primenljivosti i ponovljivosti analitičke metode i homogenosti raspodele ispitivane supstance. Kod kasnijih analiza podataka obično se ne koristi nominalna koncentracija već izmerena početna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aktivnost odnosno izmerena koncentracija ispitivane supstance, jer se time ispravljaju gubici usled sorpcije i greške u doziranju. Kod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obeležene supstance efikasnost na kraju eksperimenta proizlazi iz bilansa mase (videti odeljak 1.8.9.4. ove metode). U idealnom slučaju bilans mase radioaktivno obeležene supstance kreće se u opsegu od 90% do 110% dok analitička tačnost kod </w:t>
      </w:r>
      <w:r w:rsidRPr="00984859">
        <w:rPr>
          <w:rFonts w:ascii="Arial" w:eastAsia="Times New Roman" w:hAnsi="Arial" w:cs="Arial"/>
          <w:lang w:eastAsia="sr-Latn-RS"/>
        </w:rPr>
        <w:lastRenderedPageBreak/>
        <w:t xml:space="preserve">neobeleženih ispitivanih supstanci je takva da se dobije početna efikasnost u opsegu od 70% do 110%. Ove opsege shvatiti kao ciljne vrednosti, a ne kao kriterijum za prihvatanje ispitivanja. Analitička tačnost se može opciono odrediti pri koncentraciji ispitivane supstance koja je niža od početne kao i za glavne proizvode transformacije.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Ponovljivost i osetljivost analitičke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Ponovljivost analitičke metode (uključujući efikasnost početne ekstrakcije) za kvantifikaciju ispitivane supstance i proizvoda transformacije (prema potrebi) proveriti analizom pojedinačnih ekstrakata površinske vode u pet ponavljanja.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Granica detekcije (LOD) analitičke metode za ispitivanu supstancu i proizvode transformacije po mogućstvu je najmanje 1% od početne količine koja je primenjena na sistem za ispitivanje. Granica kvantifikacije (LOQ) je jednaka ili manja od 10% od primenjene koncentracije. Za hemijske analize mnogih organskih supstanci i njihovih proizvoda transformacije često su potrebne relativno visoke koncentracije ispitivane supstance tj. &gt; 100 μg/L.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 OPIS METODE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1.8.1.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Ispitivanje se može obaviti u erlenmajerima ili bocama odgovarajuće zapremine (npr. 0,5 litar ili 1,0 litar) zatvorenim silikonskim ili gumenim čepovima ili u serumskim bocama sa zatvaračima koji ne propuštaju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(npr. sa zatvaračem od butilne gume). Druga mogućnost je da se ispitivanje sprovede tako što se upotrebi veći broj sudova i uzima se čitav sadržaj suda za analizu, najmanje dva ponavljanja za svaki interval uzorkovanja (videti odeljak 1.8.9.1. ove metode). Kod neisparljivih ispitivanih supstanci koje nisu radioaktivno obeležene nisu potrebni čepovi ili zatvarači koji ne propuštaju gas; dovoljno ih je zatvoriti vatom koja sprečava zagađenje iz vazduha (videti odeljak 1.8.9.1. ove metode). Blago isparljive supstance ispitati u sistemu biometarskog tipa uz blago mešanje vodene površine. Da bi se izbeglo zagađenje bakterijama, sudovi se mogu pre upotrebe sterilisati suvom sterilizacijom ili parom u autoklavu. Osim toga, koristi se sledeća standardna laboratorijska oprema: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tresilica ili magnetne mešalice za neprekidno mućkanje sudova sa uzorcima,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centrifuga,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pH-metar,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turbidimetar za nefelometrijska merenja zamućenosti,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peć za žarenje ili mikrotalasna peć za pripremu uzorka za određivanje suve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sistem za membransku filtraciju,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autoklav ili suvi sterilizator za termičku sterilizaciju staklene opreme,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oprema za rukovanje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obeleženim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oprema za kvantifikaciju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 aktivnosti u uzorcima iz rastvora za izdvajanje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po potrebi, iz uzoraka sedimenta,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analitička oprema za određivanje ispitivane (i referentne) supstance, ako se koristi specifična hemijska analiza (npr. gasni hromatograf, tečni hromatograf pod visokim pritiskom).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1.8.2. Radni rastvori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pripremu radnih rastvora ispitivanih i referentnih supstanci koristiti dejonizovanu vodu (videti odeljak 1.8.7. ove metode). U dejonizovanoj vodi ne sme biti supstanci koje bi mogle biti toksične za mikroorganizme, a udeo rastvorenog organskog ugljenika (DOC) ne sme biti viši od 1 mg/L</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1.8.3. Uzorkovanje i transport uzoraka površinskih voda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Mesto za uzorkovanje površinskih voda odabrati u skladu sa svrhom ispitivanja u svakoj datoj situaciji. Kod izbora mesta za uzorkovanje uzeti u obzir moguću istoriju unosa materijala iz poljoprivrede, industrije i domaćinstava. Voda za ispitivanje ne sme se skupljati na mestima za koja se zna da su u prethodne četiri godine bila zagađena ispitivanom supstancom ili njenim strukturnim analozima, osim ako je svrha istraživanja da se ispita brzina razgradnje na zagađenim lokacijama. Na mestu uzorkovanja izmeriti pH vrednost i temperaturu vode. Pored toga, zabeležiti dubinu uzorkovanja i izgled vodenog uzorka (npr. boja i mutnoća) (videti odeljak 3. ove metode). Da bi se dokazali aerobni uslovi, izmeriti koncentraciju kiseonika i/ili redoks potencijal u vodi i površinskom sloju sedimenta, osim ako je to očigledno u odnosu na izgled i ranija iskustva sa ovom lokacijom. Površinsku vodu prevoziti u temeljno očišćenim bocama. Za vreme transporta, temperatura uzorka ne sme biti značajno viša od temperature ispitivanja. Ako transport traje više od 2 do 3 sata, preporučuje se hlađenje na 4 °C.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1.8.4. Skladištenje i priprema uzoraka površinske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po mogućstvu započeti u roku od jednog dana od uzimanja uzorka. Skladištenje vode, ako je potrebno, svesti na najmanju moguću meru, a u svakom slučaju ne sme da traje duže od 4 nedelje. Vodeni uzorak do upotrebe držati na temperaturi od 4° C, uz provetravanje. Pre upotrebe ukloniti krupne čestice npr. filtriranjem kroz filter veličine pora od 100 μm kroz grubi filter-papir ili taloženjem.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1.8.5. Priprema vode sa sedimentom (opciono)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ispitivanja sa suspendovanim sedimentom, površinski sediment se dodaje u uzorke koje sadrže prirodnu vodu (koja je prethodno filtrirana radi uklanjanja krupnih čestica, kako je opisano u odeljku 1.8.4. ove metode) da se dobije suspenzija pri čemu je koncentracija suspendovane čvrste supstance između 0,01 i 1 g/L. Površinski sediment potiče sa istog mesta kao i vodeni uzorak. Zavisno od konkretne vodene sredine, površinski sediment može imati visok sadržaj organskog ugljenika (2,5% do 7,5%) i finu teksturu ili nizak sadržaj organskog ugljenika (0,5% do 2,5%) i grubu teksturu</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xml:space="preserve">. Površinski sediment se može pripremiti na sledeći način: uz pomoć providne plastične cevčice izvuče se nekoliko sedimentnih jezgara; odmah nakon uzorkovanja odstrane se gornji aerobni slojevi (od površine do dubine od najviše 5 mm) i sastave. Dobijeni uzorak sedimenta se transportuje u sudu sa velikim vazdušnim prostorom kako bi se osigurali aerobni uslovi (uz hlađenje na 4 °C ako prevoz traje više od 2 odnosno 3 sata). Uzorak sedimenta se suspenduje u uzorku ispitivane vode u razmeri 1:10 i drži do upotrebe na temperaturi od 4 °C uz provetravanje. Skladištenje sedimenta, ako je ono potrebno, svesti na najmanju moguću meru, a u svakom slučaju ne sme da traje duže od 4 nedelje.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1.8.6. Polukontinuirani postupak (opciono)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Inkubaciju je ponekad potrebno produžiti (na nekoliko meseci) ako se značajna razgradnja ispitivane supstance izmeri tek nakon dugog vremena prilagođavanja. Ako je to poznato iz ranijeg ispitivanja supstance, ispitivanje se može započeti polukontinuiranim postupkom, koji omogućava periodično obnavljanje dela uzorka ispitivane vode odnosno suspenzije (videti Dodatak drugi ove metode). Druga mogućnost je da se uobičajeno šaržno ispitivanje pretvori u polukontinuirano ako tokom približno 60 dana ispitivanja šaržnim postupkom nije došlo do razgradnje ispitivane supstance (videti odeljak 1.8.8.3.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1.8.7. Dodavanje ispitivane (ili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Kada su u pitanju supstance visoke rastvorljivosti u vodi (&gt; 1 mg/L) i niske isparljivosti (Henrijeva konstanta &lt; 1 Pa·m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/mol ili &lt; 10</w:t>
      </w:r>
      <w:r w:rsidRPr="00984859">
        <w:rPr>
          <w:rFonts w:ascii="Arial" w:eastAsia="Times New Roman" w:hAnsi="Arial" w:cs="Arial"/>
          <w:sz w:val="15"/>
          <w:szCs w:val="15"/>
          <w:vertAlign w:val="superscript"/>
          <w:lang w:eastAsia="sr-Latn-RS"/>
        </w:rPr>
        <w:t>-5</w:t>
      </w:r>
      <w:r w:rsidRPr="00984859">
        <w:rPr>
          <w:rFonts w:ascii="Arial" w:eastAsia="Times New Roman" w:hAnsi="Arial" w:cs="Arial"/>
          <w:lang w:eastAsia="sr-Latn-RS"/>
        </w:rPr>
        <w:t xml:space="preserve"> atm·m</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/mol) može se pripremiti radni rastvor u dejonizovanoj vodi (videti odeljak 1.8.2. ove metode); u uzorke za ispitivanje se doda odgovarajuća zapremina radnog rastvora da bi se dobila željena koncentracija. Zapreminu svakog dodatog radnog rastvora koji se dodaje u posudu svesti na najmanju moguću meru (po mogućstvu &lt; 10% konačne zapremine tečnosti). Druga mogućnost je da se ispitivana supstanca rastvori u većoj zapremini ispitivane vode, što se može smatrati zamenom za korišćenje organskih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kod pripreme radnih rastvora neisparljivih supstanci koje su slabo rastvorljive u vodi nije moguće izbeći primenu rastvarača, koristiti isparljive organske rastvarače, s tim da količina rastvarača koja se unosi u sistem za ispitivanje ne sme biti viša od 1% v/v i ne sme imati štetne efekte po mikrobiološku aktivnost. Rastvarač ne sme uticati na stabilnost ispitivane supstance u vodi. Rastvarač se odstrani do najmanje moguće količine kako ne bi došlo do značajnog povećanja koncentracije DOC u ispitivanoj vodi, odnosno suspenziji. Ovo proveriti specifičnom analizom supstanci odnosno, ukoliko je to moguće, analizom DOC</w:t>
      </w:r>
      <w:r w:rsidRPr="00984859">
        <w:rPr>
          <w:rFonts w:ascii="Arial" w:eastAsia="Times New Roman" w:hAnsi="Arial" w:cs="Arial"/>
          <w:b/>
          <w:bCs/>
          <w:sz w:val="15"/>
          <w:szCs w:val="15"/>
          <w:vertAlign w:val="superscript"/>
          <w:lang w:eastAsia="sr-Latn-RS"/>
        </w:rPr>
        <w:t>6</w:t>
      </w:r>
      <w:r w:rsidRPr="00984859">
        <w:rPr>
          <w:rFonts w:ascii="Arial" w:eastAsia="Times New Roman" w:hAnsi="Arial" w:cs="Arial"/>
          <w:lang w:eastAsia="sr-Latn-RS"/>
        </w:rPr>
        <w:t>. Treba voditi računa da se preneta količina rastvarača svede na najmanju neophodnu meru i uveriti se da se prisutna količina ispitivane supstance može rastvoriti u konačnoj zapremini ispitivane vode. Mogu se koristiti i druge tehnike za uvođenje ispitivane supstance u uzorke</w:t>
      </w:r>
      <w:r w:rsidRPr="00984859">
        <w:rPr>
          <w:rFonts w:ascii="Arial" w:eastAsia="Times New Roman" w:hAnsi="Arial" w:cs="Arial"/>
          <w:b/>
          <w:bCs/>
          <w:sz w:val="15"/>
          <w:szCs w:val="15"/>
          <w:vertAlign w:val="superscript"/>
          <w:lang w:eastAsia="sr-Latn-RS"/>
        </w:rPr>
        <w:t>7,8</w:t>
      </w:r>
      <w:r w:rsidRPr="00984859">
        <w:rPr>
          <w:rFonts w:ascii="Arial" w:eastAsia="Times New Roman" w:hAnsi="Arial" w:cs="Arial"/>
          <w:lang w:eastAsia="sr-Latn-RS"/>
        </w:rPr>
        <w:t xml:space="preserve">. Ako se za uvođenje ispitivane supstance koristi organski rastvarač, uvesti kontrole sa rastvaračem koje sadrže ispitivanu vodu (bez drugih dodataka) i ispitivanu vodu sa referentnom supstancom i sa njima postupati na sličan način kao sa aktivnim uzorcima za ispitivanje u koje je dodata ispitivana supstanca u rastvaraču. Svrha kontrola sa rastvaračem je da se ispitaju mogući štetni uticaji rastvarača na mikrobiološku populaciju na osnovu razgradnje referentne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1.8.8. Uslovi ispitivanja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1.8.8.1. Temperatura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Inkubacija se sprovodi u mraku (poželjno) ili pod difuznom rasvetom na kontrolisanoj temperaturi (± 2° C), koja može da odgovara temperaturi na terenu ili standardnoj temperaturi od 20° C do 25° C. Temperatura na terenu može biti stvarna temperatura uzorka u trenutku uzorkovanja ili prosečna temperatura na mestu uzorkovanja.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1.8.8.2. Mućkanje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Čestice i mikroorganizme držati u suspenziji neprekidnim mućkanjem tj trešenjem ili mešanjem. Mućkanjem se olakšava i prenos kiseonika iz vazdušnog prostora u tečnost i tako obezbeđuju potrebni aerobni uslovi. Sudovi se stave na tresilicu (oko 100 o/min) ili se koristi magnetna mešalica. Trešenje odnosno mešanje je što je moguće blaže, ali istovremeno voditi računa da se održi homogenost suspenzije.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1.8.8.3.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Ispitivanje uglavnom ne sme da traje duže od 60 dana, osim ako se primenjuje polukontinuirani postupak sa periodičnim obnavljanjem ispitivane suspenzije (videti odeljak 1.8.6. i Dodatak drugi ove metode). Međutim, vreme ispitivanja se i kod primene šaržnog postupka može produžiti do najviše 90 dana ukoliko je razgradnja ispitivane supstance započela u prvih 60 dana. Razgradnja se prati u odgovarajućim vremenskim razmacima određivanjem preostale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aktivnosti odnosno nastalog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(videti odeljak 1.8.9.4. ove metode) i/ili hemijskom analizom (videti odeljak 1.8.9.5. ove metode). Vreme inkubacije je dovoljno dugo da bi se procenio proces razgradnje. Poželjno je da stepen razgradnje bude viši od 50%; kod supstanci koje se sporo razgrađuju stepen razgradnje je dovoljan (po pravilu iznad 20%) da se može proceniti konstanta kinetičke brzine razgradnje.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Vrše se periodična merenja pH vrednosti i koncentracije kiseonika u ispitivanom sistemu, osim ako zahvaljujući ranijim iskustvima sa uzorcima vode i sedimenta sa iste lokacije u sličnim ispitivanjima takva merenja nisu potrebna. U određenim uslovima usled metabolizma primarnih supstrata, koji mogu biti prisutni u vodi ili sedimentu u znatno višim koncentracijama, može doći do stvaranja povećanih količina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i povećane potrošnje kiseonika, što može izazvati značajne promene eksperimentalnih uslova tokom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1.8.9. Postupak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1.8.9.1. Priprema uzoraka za pelagički test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sudove za ispitivanje se prenese odgovarajuća količina ispitivane vode, do oko jedne trećine zapremine suda, ali ne manje od oko 100 ml. I ako se koristi veći broj sudova (kako bi se u svakom vremenu uzorkovanja mogao uzimati čitav sadržaj iz suda), potrebno je oko 100 ml ispitivane vode, budući da male količine uzorka mogu uticati na dužinu faze prilagođavanja. Ispitivana supstanca se dodaje iz radnog rastvora kako je opisano u odeljku 1.8.2. i 1.8.7. ove metode. Da bi se odredila kinetika razgradnje i izračunala konstanta kinetičke brzine razgradnje, potrebne su najmanje dve različite koncentracije ispitivane supstance koje se razlikuju za faktor 5 do 10. Obe izabrane koncentracije manje su od 100 µg/L, a poželjno je da budu u opsegu od &lt; 1 µg/ L do 10 µg/L.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Sudovi se zatvore čepovima ili poklopcima koji ne propuštaju vazduh i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Ako se ispituju neisparljive hemikalije koje nisu radioaktivno obeležene, posude se mogu začepiti vatom, koja sprečava zagađenje iz vazduha (videti odeljak 1.8.1. ove metode), pod uslovom da se zna da su svi važniji proizvodi razgradnje neisparljivi i da se primenjuje indirektno određivanje CO</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xml:space="preserve">(videti Dodatak treći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Sudovi se inkubiraju na odabranoj temperaturi (videti odeljak 1.8.8.1. ove metode). Uzorci se uzimaju za hemijsku analizu ili merenje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na početku ispitivanja (tj. pre nego što započne razgradnja; videti odeljak 1.7.1. ove metode) i u odgovarajućim vremenskim razmacima tokom ispitivanja. Uzorkovanje se može obaviti izvlačenjem poduzoraka (npr. alikvota od 5 ml) iz svakog ponavljanja ili uzimanjem čitavog sadržaja suda u svakom vremenu uzorkovanja. Mineralizacija ispitivane supstance može se odrediti indirektno ili direktno (videti Dodatak treći ove metode). Obično je za pouzdano određivanje konstante brzine potrebno najmanje pet tačaka uzorkovanja u fazi razgradnje (tj. nakon završetka faze prilagođavanja), osim u slučaju brzo razgradljivih supstanci, kada se uz odgovarajuće obrazloženje mogu dopustiti i tri tačke uzorkovanja. Kod supstanci koje nisu brzo razgradljive u fazi razgradnje se bez problema može obaviti više merenja i stoga za procenu k koristiti više tačaka podataka. Nije moguće navesti tačan vremenski raspored uzorkovanja budući da su brzine biorazgradnje različite; ipak, preporučuje se da se u slučaju spore razgradnje uzorkovanje vrši jedanput nedeljno. Ako se ispitivana supstanca brzo razgrađuje, uzorkovanje obavljati jedanput dnevno u prva tri dana, a zatim svaki drugi ili treći dan. U određenim okolnostima, npr. u slučaju supstanci koje vrlo brzo hidrolizuju, ponekad je </w:t>
      </w:r>
      <w:r w:rsidRPr="00984859">
        <w:rPr>
          <w:rFonts w:ascii="Arial" w:eastAsia="Times New Roman" w:hAnsi="Arial" w:cs="Arial"/>
          <w:lang w:eastAsia="sr-Latn-RS"/>
        </w:rPr>
        <w:lastRenderedPageBreak/>
        <w:t xml:space="preserve">potrebno uzimati uzorke na svakih sat vremena. Preporučuje se da se pre ispitivanja obavi preliminarna proba kako bi se odredili odgovarajući intervali uzorkovanja. Ako se uzorci čuvaju za dalju specifičnu analizu, preporučljivo je da se uzme više uzoraka i zatim na kraju eksperimenta izaberu oni koji će se analizirati obrnutim redosledom tj. prvo se analiziraju uzorci koji su uzeti poslednji (za smernice o stabilnosti uzoraka tokom skladištenja videti odeljak 1.8.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1.8.9.2. Broj sudova i uzoraka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Pripremi se dovoljan broj sudova za ispitivanje tako da se dobiju: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sudovi za ispitivanje; najmanje dva suda (tj. dva ponavljanja) za svaku koncentraciju ispitivane supstance (poželjno je tri suda tj. tri ponavljanja) ili veći broj sudova za ispitivanje za svaku ispitivanu koncentraciju, ako se u svakom vremenu uzorkovanja uzima čitav sadržaj suda (označeni kao F</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sudovi za izračunavanje bilansa mase; najmanje dva suda za svaku ispitivanu koncentraciju (označene kao F</w:t>
      </w:r>
      <w:r w:rsidRPr="00984859">
        <w:rPr>
          <w:rFonts w:ascii="Arial" w:eastAsia="Times New Roman" w:hAnsi="Arial" w:cs="Arial"/>
          <w:sz w:val="15"/>
          <w:szCs w:val="15"/>
          <w:vertAlign w:val="subscript"/>
          <w:lang w:eastAsia="sr-Latn-RS"/>
        </w:rPr>
        <w:t>M</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slepa proba, bez ispitivane supstance; najmanje jedan sud za slepu probu koja sadrži samo vodu za ispitivanje (označena kao F</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kontrola sa referentnom supstancom; dva suda sa referentnom supstancom (npr. anilin ili natrijum benzoat, 10 µg/l) (označene kao F</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Svrha kontrole sa referentnom supstancom je da se potvrdi minimalna mikrobiološka aktivnost. Ako je praktično, može se koristiti radioaktivno obeležena referentna supstanca i onda kada se razgradnja ispitivane supstance prati hemijskim analizama;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sterilna kontrola; jedan ili dva suda koje sadrže sterilizovanu vodu za ispitivanje radi provere moguće abiotičke razgradnje ili drugog nebiološkog uklanjanja ispitivane supstance (označene kao F</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Biološka aktivnost se može prekinuti sterilizacijom uzorka u autoklavu (121° C; 20 min), dodavanjem toksične supstance (npr. natrijum-azid (NaN</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u koncentraciji 10 g/l do 20 g/l, živa-(II) hlorid (HgCl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u koncentraciji 100 mg/l ili formalin u koncentraciji 100 mg/l) ili gama zračenjem. Ako se koristi HgCl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on se zbrinjava kao toksični otpad. U vodi u kojoj je dodata velika količina sedimenta nije lako postići sterilne uslove; u tom slučaju preporučuje se ponovljena sterilizacija u autoklavu (npr. tri puta). Uzeti u obzir da se adsorpciona svojstva sedimenta mogu promeniti sterilizacijom u autoklavu;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kontrole sa rastvaračem, koje sadrže vodu za ispitivanje i vodu za ispitivanje sa referentnom supstancom; po dva suda koja su obrađena istom količinom rastvarača uz primenu istog postupka kao u slučaju ispitivane supstance. Svrha ove kontrole je da se ispitaju mogući štetni efekti rastvarača kod određivanja razgradnje referentne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planiranja ispitivanja uzeti u obzir relativnu važnost povećanog broja ponavljanja u odnosu na povećani broj uzorkovanja. Tačan broj sudova zavisi od metode merenja razgradnje (videti odeljak 1.8.9.1, odeljak 1.8.9.4. i Dodatak treći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svakom vremenu uzorkovanja iz svakog ispitivanog suda uzeti po dva poduzorka (npr. alikvote od 5 ml). Ako se koristi veći broj sudova radi uzorkovanja čitavog sadržaja suda u svakom vremenu uzorkovanja uzeti najmanje dva suda (videti odeljak 1.8.9.1.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1.8.9.3. Priprema sudova za ispitivanje sa suspendovanim sedimentom (opciono)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U sudove za ispitivanje dodaju se potrebne zapremine vode za ispitivanje i sedimenta (po potrebi videti odeljak 1.8.5. ove metode). Priprema sudova za ispitivanje sa suspendovanim sedimentom je ista kao kod pelagičkog testa (videti odeljak 1.8.9.1. i 1.8.9.2. ove metode). Poželjno je koristiti serumske boce ili sudove sličnog oblika. Zatvoreni sudovi se polažu vodoravno na tresilicu. Naravno, otvorene sudove za neisparljive supstance koje nisu radioaktivno obeležene staviti u uspravan položaj; u ovom slučaju preporučuje se upotreba magnetne mešalice sa magnetima obloženim staklom. Boce prema potrebi provetravati kako bi se održali potrebni aerobni uslovi.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1.8.9.4. Radiohemijska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Dobijeni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se meri indirektno i direktno (videti Dodatak treći ove metode). Indirektno određivanje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se zasniva na razlici između početne aktivnosti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 u vodi za ispitivanje odnosno suspenziji i ukupne preostale aktivnosti u vremenu uzorkovanja, koja se meri nakon zakiseljavanja uzorka na pH 2-3 i izlučivanja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Time je neorganski ugljenik uklonjen i preostala izmerena aktivnost potiče od organskog materijala. Indirektno određivanje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 xml:space="preserve">2 </w:t>
      </w:r>
      <w:r w:rsidRPr="00984859">
        <w:rPr>
          <w:rFonts w:ascii="Arial" w:eastAsia="Times New Roman" w:hAnsi="Arial" w:cs="Arial"/>
          <w:lang w:eastAsia="sr-Latn-RS"/>
        </w:rPr>
        <w:t xml:space="preserve">ne koristiti ako transformacijom ispitivane supstance nastaju isparljive supstance kao glavni proizvodi (videti Dodatak treći ove metode).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 mogućstvu meriti direktno (videti Dodatak treći ove metode) u najmanje jednom od ponavljanja u svakom vremenu uzorkovanja. Ovaj postupak omogućava da se proveri i bilans mase i proces biorazgradnje, ali je ograničen na ispitivanja koja se vrše sa zatvorenim sudovima.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dobijeni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meri direktno tokom ispitivanja, na početku ispitivanja pripremiti veći broj sudova. Direktno određivanje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preporučuje se ako se transformacijom ispitivane supstance dobijaju isparljive supstance kao glavni proizvodi. Dodatni sudovi za ispitivanje se u svakoj tački merenja zakisele na pH 2-3 i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se skuplja na unutrašnjem ili spoljnom apsorberu (videti Dodatak treći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Koncentracije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obeležene ispitivane supstance i glavni proizvodi transformacije mogu se opciono odrediti primenom radiohromatografije (npr. tankoslojna hromatografija, RAD-TLC) ili HPLC sa radiohemijskom detekcijom.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Isto tako može se odrediti fazna raspodela preostale radioaktivnosti (videti Dodatak prvi) i preostala ispitivana supstanca i proizvodi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kraju ispitivanja odrediti bilans mase direktnim merenjem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posebnim sudovima za ispitivanje iz kojih se ne uzimaju uzorci tokom ispitivanja (videti Dodatak treći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1.8.9.5. Specifična hemijska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je raspoloživa osetljiva metoda za specifičnu hemijsku analizu, primarna biorazgradnja se može odrediti merenjem ukupne preostale koncentracije ispitivane supstance umesto upotrebe tehnika radioaktivnog obeležavanja. Ako se koristi radioaktivno obeležena ispitivana supstanca (za merenje ukupne mineralizacije), specifična hemijska analiza se može vršiti paralelno kako bi se dobile dodatne informacije i proverio postupak. Osim toga, specifičnom hemijskom analizom mogu se meriti proizvodi transformacije nastali razgradnjom ispitivane supstance, a to se u svakom slučaju preporučuje u slučaju supstanci koje se mineralizuju sa vremenom poluživota preko 60 dana. U svakom vremenu uzorkovanja izmeriti i dokumentovati koncentraciju ispitivane supstance i proizvode transformacije (kao koncentraciju i kao procenat od primenjene koncentracije). Po pravilu, u svakom vremenu uzorkovanja potrebno je identifikovati proizvode transformacije koji su određeni na nivou od 10% od primenjene koncentracije, osim ako postoje opravdani razlozi da se to ne učini. Takođe razmisliti o identifikaciji proizvoda konverzije čije se koncentracije stalno povećavaju tokom istraživanja, čak i ako njihove koncentracije ne prelaze gore </w:t>
      </w:r>
      <w:r w:rsidRPr="00984859">
        <w:rPr>
          <w:rFonts w:ascii="Arial" w:eastAsia="Times New Roman" w:hAnsi="Arial" w:cs="Arial"/>
          <w:lang w:eastAsia="sr-Latn-RS"/>
        </w:rPr>
        <w:lastRenderedPageBreak/>
        <w:t xml:space="preserve">spomenuti prag, jer to može ukazivati na otpornost. Ako se smatra da bi moglo doći do brze abiotičke transformacije ispitivane supstance (npr. hidroliza), razmisliti o analiziranju proizvoda transformacije u sterilnim kontrolama. Potrebu kvantifikacije i identifikacije proizvoda transformacije razmotriti za svaki slučaj posebno i u izveštaju navesti odgovarajuće obrazloženje. Postupci ekstrakcije organskim rastvaračem primenjuju se u skladu sa uputstvima datim u odgovarajućoj analitičkoj metodi.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Sve uzorke skladištiti na temperaturi od 2° C do 4° C bez pristupa vazduha, ako će se analiza obaviti u roku od 24 sata (poželjno). Za duže skladištenje uzorke zamrznuti ispod - 18° C ili hemijski konzervisati. Konzervisanje uzoraka zakišeljavanjem se ne preporučuje jer zakišeljeni uzorci mogu biti nestabilni. Ako se uzorci neće analizirati u roku od 24 sata i potrebno ih je duže skladištiti, sprovodi se istraživanje stabilnosti u uslovima skladištenja kako bi se dokazala stabilnost hemikalija na temperaturama ispod - 18°C odnosno u uslovima konzervisanja. Ako analitička metoda podrazumeva ekstrakciju rastvaračem ili ekstrakciju čvrste faze (SPE), ekstrakciju obaviti neposredno nakon uzorkovanja ili nakon hladnog skladištenja u trajanju od najviše 24 sata.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Zavisno od osetljivosti analitičke metode, ponekad su potrebne veće zapremine uzoraka od onih koji su navedeni u odeljku 1.8.1. ove metode. Ispitivanje se može lako obaviti sa zapreminama od jednog litra u sudovima od 2 do 3 litra, što omogućava uzimanje uzoraka od oko 100 ml.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OBRADA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2.1.1. Grafički prikaz podataka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Vremena uzorkovanja zaokružiti na ceo broj sati (osim ako se supstanca značajno razgrađuje u nekoliko minuta ili sati), ali ne i na ceo broj dana. Napravi se linearni i polulogaritamski prikaz procenjenih vrednosti preostale aktivnosti ispitivane supstance (za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 obeležene supstance) odnosno preostale koncentracije (za neobeležene supstance) u zavisnosti od vremena (videti Slike 1a. i 1b. koje su date u Dodatku trećem ove metode). Ako je došlo do razgradnje, rezultati uzoraka F</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se uporede sa rezultatima uzoraka F</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Ako se srednje vrednosti rezultata uzoraka sa ispitivanom supstancom (F</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i sterilnih uzoraka (F</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razlikuju za manje od 10%, može se pretpostaviti da je zapažena razgradnja pretežno abiotička. Ako je razgradnja u uzorcima F</w:t>
      </w:r>
      <w:r w:rsidRPr="00984859">
        <w:rPr>
          <w:rFonts w:ascii="Arial" w:eastAsia="Times New Roman" w:hAnsi="Arial" w:cs="Arial"/>
          <w:sz w:val="15"/>
          <w:szCs w:val="15"/>
          <w:vertAlign w:val="subscript"/>
          <w:lang w:eastAsia="sr-Latn-RS"/>
        </w:rPr>
        <w:t>S</w:t>
      </w:r>
      <w:r w:rsidRPr="00984859">
        <w:rPr>
          <w:rFonts w:ascii="Arial" w:eastAsia="Times New Roman" w:hAnsi="Arial" w:cs="Arial"/>
          <w:lang w:eastAsia="sr-Latn-RS"/>
        </w:rPr>
        <w:t xml:space="preserve"> manja, dobijeni rezultati se mogu upotrebiti za korekciju rezultata uzoraka F</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(oduzimanjem) i procenu stepena biorazgradnje. Ako se vrše opcione analize značajnih proizvoda transformacije, osim grafičkog prikaza opadanja ispitivane supstance prikazati formiranje i opadanje proizvoda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Trajanje faze prilagođavanja t</w:t>
      </w:r>
      <w:r w:rsidRPr="00984859">
        <w:rPr>
          <w:rFonts w:ascii="Arial" w:eastAsia="Times New Roman" w:hAnsi="Arial" w:cs="Arial"/>
          <w:sz w:val="15"/>
          <w:szCs w:val="15"/>
          <w:vertAlign w:val="subscript"/>
          <w:lang w:eastAsia="sr-Latn-RS"/>
        </w:rPr>
        <w:t>L</w:t>
      </w:r>
      <w:r w:rsidRPr="00984859">
        <w:rPr>
          <w:rFonts w:ascii="Arial" w:eastAsia="Times New Roman" w:hAnsi="Arial" w:cs="Arial"/>
          <w:lang w:eastAsia="sr-Latn-RS"/>
        </w:rPr>
        <w:t xml:space="preserve"> proceni se iz krive razgradnje (polulogaritamski prikaz) ekstrapolacijom linearnog dela krive do nulte razgradnje ili, kao druga mogućnost, određivanjem vremena koje je potrebno da se postigne približno 10% razgradnje (videti Slike 1a. i 1b). Iz polulogaritamskog grafika proceni se konstanta brzine prvog reda, k, i njena standardna greška linearnom regresijom ln (preostala aktivnost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ili koncentracija ispitivane supstance) u zavisnosti od vremena. Posebno kad su u pitanju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merenja koristiti samo podatke iz početnog linearnog dela krive po završetku faze prilagođavanja; pri tom birati pre manji broj reprezentativnih podataka nego veći broj nesigurnih podataka. U ovom smislu nesigurnost podrazumeva i greške vezane za preporučeno direktno korišćenje izmerenih vrednosti preostale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 aktivnosti (videti u daljem tekstu). Ponekad može biti relevantno da se izračunaju dve različite konstante brzine ako se razgradnja odvija u dve faze. Za to je potrebno definisati dve različite faze krive razgradnje. Ako se uzimaju uzorci iz istog suda, konstantu brzine, k, i vreme poluživota t</w:t>
      </w:r>
      <w:r w:rsidRPr="00984859">
        <w:rPr>
          <w:rFonts w:ascii="Arial" w:eastAsia="Times New Roman" w:hAnsi="Arial" w:cs="Arial"/>
          <w:sz w:val="15"/>
          <w:szCs w:val="15"/>
          <w:vertAlign w:val="subscript"/>
          <w:lang w:eastAsia="sr-Latn-RS"/>
        </w:rPr>
        <w:t>1/2</w:t>
      </w:r>
      <w:r w:rsidRPr="00984859">
        <w:rPr>
          <w:rFonts w:ascii="Arial" w:eastAsia="Times New Roman" w:hAnsi="Arial" w:cs="Arial"/>
          <w:lang w:eastAsia="sr-Latn-RS"/>
        </w:rPr>
        <w:t xml:space="preserve"> = ln2/k izračunati za svaki pojedinačni sud, dok se </w:t>
      </w:r>
      <w:r w:rsidRPr="00984859">
        <w:rPr>
          <w:rFonts w:ascii="Arial" w:eastAsia="Times New Roman" w:hAnsi="Arial" w:cs="Arial"/>
          <w:lang w:eastAsia="sr-Latn-RS"/>
        </w:rPr>
        <w:lastRenderedPageBreak/>
        <w:t>u slučaju uzorkovanja celokupnog sadržaja suda za izračunavanje koriste prosečne vrednosti (videti poslednji stav odeljka 1.8.9.2. ove metode). Ako se koristi prvi postupak, konstantu brzine i vreme poluživota navesti odvojeno za svaki pojedinačni sud i kao prosečnu vrednost sa standardnom greškom. Ako se koriste visoke koncentracije ispitivane supstance, kriva razgradnje može znatno odstupati od pravca (polulogaritamski grafik) i možda neće važiti kinetika prvog reda. U tom slučaju nema smisla određivati vreme poluživota. Za ograničeni opseg podataka moguće je primeniti kinetiku pseudoprvog reda i proceniti vreme polurazgradnje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(vreme potrebno da se postigne 50% razgradnje). Pri tome ipak imati na umu da nije moguće predvideti vremenski tok razgradnje izvan izabranog opsega podataka na osnovu tog DT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jer se radi o vrednosti koja opisuje samo određeni skup podataka. Računarski softveri koji olakšavaju statističke proračune i linearizaciju kriva su lako dostupni pa se stoga preporučuje korišćenje takvih softvera.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vrše specifične hemijske analize, proceniti konstante brzine i vremena poluživota za primarnu razgradnju na način kako je je gore opisano za ukupnu mineralizaciju. Ako je primarna razgradnja ograničavajući proces, ponekad se mogu koristiti tačke podataka iz čitavog toka razgradnje. To je stoga što se ovde vrše direktna merenja za razliku od merenja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aktivnosti.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koriste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obeležene supstance bilans mase izraziti kao procenat primenjene početne koncentracije bar na kraju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2.1.2. Preostala aktivnost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Kad se deo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obeležene organske supstance biološki razgrađuje, najveći deo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prelazi u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dok se drugi deo troši na rast biomase i/ili sintezu vanćelijskih metabolita. Prema tome, krajnja biorazgradnja supstance ne dovodi do 100%-tnog prelaska njenog ugljenika u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ugrađen u proizvode biosinteze se kasnije polako oslobađa kao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usled sekundarne mineralizacije. Iz tih razloga na grafičkim prikazima preostale aktivnosti organskog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 (izmerene nakon izlučivanja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odnosno nastalog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zavisnosti od vremena vide se "repovi" po završetku razgradnje. Ovo komplikuje kinetičko tumačenje podataka i stoga za procenu konstante brzine razgradnje po pravilu koristiti samo početni deo krive (po završetku faze prilagođavanja, a pre nego što se postigne približno 50% razgradnje). Ako se ispitivana supstanca razgrađuje, ukupna preostala aktivnost organskog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je uvek viša od aktivnosti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 povezane sa preostalom nepromenjenom ispitivanom supstancom. Ako se ispitivana supstanca razgrađuje reakcijom prvog reda i ako se stalni udeo α mineralizuje u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početni nagib krive nestajanja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(ukupni organski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u vremenu) biće α puta nagib odgovarajuće krive za koncentraciju ispitivane supstance (ili tačnije dela ispitivane supstance obeležene sa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Prema tome, korišćenjem nekorigovanih vrednosti merenja ukupne aktivnosti organskog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 dobija se konzervativna procena konstante brzine razgradnje. Postupci za procenu koncentracija ispitivane supstance iz izmerene radiohemijske aktivnosti na osnovu različitih pojednostavljujućih pretpostavki opisani su u literaturi</w:t>
      </w:r>
      <w:r w:rsidRPr="00984859">
        <w:rPr>
          <w:rFonts w:ascii="Arial" w:eastAsia="Times New Roman" w:hAnsi="Arial" w:cs="Arial"/>
          <w:b/>
          <w:bCs/>
          <w:sz w:val="15"/>
          <w:szCs w:val="15"/>
          <w:vertAlign w:val="superscript"/>
          <w:lang w:eastAsia="sr-Latn-RS"/>
        </w:rPr>
        <w:t>2,9,10,11</w:t>
      </w:r>
      <w:r w:rsidRPr="00984859">
        <w:rPr>
          <w:rFonts w:ascii="Arial" w:eastAsia="Times New Roman" w:hAnsi="Arial" w:cs="Arial"/>
          <w:lang w:eastAsia="sr-Latn-RS"/>
        </w:rPr>
        <w:t xml:space="preserve">. Takvi postupci se najlakše primenjuju kod brzo razgradljivih supstanci.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TUMAČENJE REZULTATA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utvrdi da k ne zavisi od povećanja koncentracije (tj. ako je izračunata k vrednost približno jednaka pri različitim koncentracijama ispitivane supstance), može se poći od pretpostavke da je konstanta brzine prvog reda reprezentativna za primenjene uslove ispitivanja tj. za ispitivanu supstancu, vodeni uzorak i temperaturu. U kojoj meri se rezultati mogu generalizovati odnosno ekstrapolisati na druge sisteme oceniti stručnom procenom. Ako se koristi visoka koncentracija ispitivane supstance i razgradnja stoga ne sledi kinetiku prvog reda, podaci se neće moći koristiti za direktnu procenu konstante brzine prvog reda odnosno odgovarajućeg vremena poluraspada. Međutim, podaci dobijeni u ispitivanju sa </w:t>
      </w:r>
      <w:r w:rsidRPr="00984859">
        <w:rPr>
          <w:rFonts w:ascii="Arial" w:eastAsia="Times New Roman" w:hAnsi="Arial" w:cs="Arial"/>
          <w:lang w:eastAsia="sr-Latn-RS"/>
        </w:rPr>
        <w:lastRenderedPageBreak/>
        <w:t xml:space="preserve">visokom koncentracijom ispitivane supstance mogu se iskoristiti za procenu stepena ukupne mineralizacije i/ili utvrđivanje i kvantifikaciju proizvoda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su poznati gubici u procesima različitim od biorazgradnje (npr. hidroliza ili isparavanje), oni se mogu oduzeti od neto gubitaka utvrđenih tokom ispitivanja kako bi se dobila približna procena biorazgradnje. Podaci o hidrolizi mogu se dobiti npr. pomoću sterilne kontrole ili iz paralelnog ispitivanja sa višom koncentracijom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Indirektno i direktno određivanje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(videti odeljak 1.8.9.4. i Dodatak treći ove metode) može se koristiti samo za merenje stepena mineralizacije ispitivane supstance u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Radiohromatografija (RAD-TLC) i HPLC mogu se koristiti za analizu koncentracija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 obeležene ispitivane supstance i formiranja glavnih proizvoda transformacije (videti odeljak 1.8.9.4. ove metode). Direktna procena vremena poluživota moguća je samo ako nisu prisutni glavni proizvodi transformacije (definisani kao ≥ 10% primenjene količine ispitivane supstance). Ako su prisutni glavni proizvodi transformacije u smislu ove definicije, potrebno je detaljno vrednovanje podataka. Ovo može podrazumevati ponovljeno ispitivanje i/ili utvrđivanje proizvoda transformacije (videti odeljak 1.8.9.5. ove metode), osim ako se sudbina proizvoda transformacije može prilično dobro odrediti na osnovu iskustva (npr. informacije o putanji razgradnje). Budući da udeo ugljenika iz ispitivane supstance koji prelazi u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nije uvek jednak (što u velikoj meri zavisi od koncentracije ispitivane supstance i drugih raspoloživih supstrata, uslova ispitivanja i mikrobiološke zajednice), ovo ispitivanje ne omogućava direktnu procenu potpune biorazgradnje kao što je to slučaj kod ispitivanja opadanja DOC, ali je rezultat sličan onome koji se dobija respirometrijskim ispitivanjem. Stepen mineralizacije će, prema tome, biti manji ili jednak minimalnom stepenu potpune biorazgradnje. Da bi se dobila sveobuhvatnija slika potpune biorazgradnje (mineralizacija i ugradnja u biomasu), na kraju ispitivanja sprovesti analizu fazne raspodele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(videti Dodatak prvi ove metode).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u česticama sastojaće se od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ugrađenog u bakterijsku biomasu i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adsorbovanog na organske čestice.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2.3. VALIDNOST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referentna supstanca ne razgradi u očekivanom vremenskom periodu (za anilin i natrijum benzoat obično manje od dve nedelje), posumnjati u validnost ispitivanja i ispitivanje podvrgnuti dodatnim proverama, ili ga ponoviti sa novim vodenim uzorkom. U ISO međulaboratorijskom ispitivanju ove metode u kojem je učestvovalo sedam laboratorija iz raznih delova Evrope, prilagođene konstante brzine razgradnje za anilin kretale su se između 0,3 i 1,7 dana</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prosečno 0,8 dana</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pri temperaturi od 20° C uz standardnu grešku od ± 0,4 danaa</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(t</w:t>
      </w:r>
      <w:r w:rsidRPr="00984859">
        <w:rPr>
          <w:rFonts w:ascii="Arial" w:eastAsia="Times New Roman" w:hAnsi="Arial" w:cs="Arial"/>
          <w:sz w:val="15"/>
          <w:szCs w:val="15"/>
          <w:vertAlign w:val="subscript"/>
          <w:lang w:eastAsia="sr-Latn-RS"/>
        </w:rPr>
        <w:t>1/2</w:t>
      </w:r>
      <w:r w:rsidRPr="00984859">
        <w:rPr>
          <w:rFonts w:ascii="Arial" w:eastAsia="Times New Roman" w:hAnsi="Arial" w:cs="Arial"/>
          <w:lang w:eastAsia="sr-Latn-RS"/>
        </w:rPr>
        <w:t xml:space="preserve"> = 0,9 dana). Uobičajena vremena prilagođavanja bila su između 1 i 7 dana. Kod voda za ispitivanje zabeležena je bakterijska biomasa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ćelija/ml do 10</w:t>
      </w:r>
      <w:r w:rsidRPr="00984859">
        <w:rPr>
          <w:rFonts w:ascii="Arial" w:eastAsia="Times New Roman" w:hAnsi="Arial" w:cs="Arial"/>
          <w:sz w:val="15"/>
          <w:szCs w:val="15"/>
          <w:vertAlign w:val="superscript"/>
          <w:lang w:eastAsia="sr-Latn-RS"/>
        </w:rPr>
        <w:t>4</w:t>
      </w:r>
      <w:r w:rsidRPr="00984859">
        <w:rPr>
          <w:rFonts w:ascii="Arial" w:eastAsia="Times New Roman" w:hAnsi="Arial" w:cs="Arial"/>
          <w:lang w:eastAsia="sr-Latn-RS"/>
        </w:rPr>
        <w:t xml:space="preserve"> ćelija/ml (ili "colony forming units", u daljem tekstu: CFU). Brzine razgradnje u srednjeevropskim vodama koje su bogate hranljivim supstancama bile su više nego u nordijskim oligotrofnim vodama, što može biti posledica razlike u trofičkom stanju ili ranijeg izlaganja hemijskim supstancama.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radioaktivno obeleženih supstanci, ukupna efikasnost (bilans mase) na kraju eksperimenta iznosi između 90% i 110%, dok kod neobeleženih supstanci početna efikasnost je između 70% i 110%. Navedene opsege shvatiti kao ciljne vrednosti i ne koristiti ih kao kriterijum za prihvatanje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izveštaju o ispitivanju jasno navesti vrstu ispitivanja koje se obavlja - pelagički test ili ispitivanje sa suspendovanim sedimentom i najmanje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i referentnoj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uobičajeni nazivi, hemijski nazivi (po mogućstvu nazivi IUPAC i/ili CAS), CAS brojevi, strukturne formule (kojima se ukazuje na položaj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ako se koristi radioaktivno obeležena supstanca) i relevantna fizičko-hemijska svojstva ispitivane i referentne supstance (videti odeljke 1.5. i 1.6.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hemijski nazivi, CAS brojevi, strukturne formule (kojima se ukazuje na položaj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ako se koristi radioaktivno obeležena supstanca) i relevantna fizičko-hemijska svojstva supstanci koje se koriste kao standardi za identifikaciju i kvantifikaciju proizvoda transformacije,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čistoća (nečistoće) ispitivanih i referentnih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radiohemijska čistoća obeležene hemikalije i specifična aktivnost (po potrebi).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Površinskim vodama: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vodeni uzorak navesti najmanje sledeće podatke: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lokacija i opis mesta uzorkovanja uključujući, po mogućstvu, istoriju zagađenja,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i vreme uzimanja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hranljive supstance (ukupni N, amonijum, nitrit, nitrat, ukupni R, rastvoreni ortofosfat),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dubina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izgled uzorka (npr. boja i mutnoća),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DOC i TOC,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i pH na mestu uzorkovanja u vreme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kiseonik ili redoks potencijal (obavezno samo ako aerobni uslovi nisu očigledni),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salinitet ili provodljivost (u slučaju morske i slankaste vode),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suspendovana čvrsta supstanca (u slučaju mutnog uzorka),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 mogućstvu i druge relevantne informacije o mestu uzorkovanja u trenutku uzorkovanja (npr. aktuelni ili istorijski podaci o brzini protoka reka ili morskih struja, značajnija ispuštanja otpadnih voda u blizini i vrsta otpadnih voda, vremenski uslovi pre uzorkovanja), i opciono: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biomasa mikroorganizama (npr. direktno brojanje tehnikom bojenja akridin oranžom ili CFU),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neorganski ugljenik,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koncentracija hlorofila kao specifična procena biomase algi.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vrši ispitivanje sa suspendovanim sedimentom, navesti i sledeće podatke o sedimentu: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dubina uzimanja sedimenta,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izgled sedimenta (npr. obojen, muljevit, praškast, ili peskovit),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tekstura (npr. % krupnog peska, finog peska, praha i ilovače),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suva supstanca u g/l suspendovane čvrste supstance, koncentracija TOC ili gubitak mase nakon žarenja kao mera sadržaja organske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kiseonik ili redoks potencijal (obavezno samo ako aerobni uslovi nisu očigledni).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vremenski razmak između uzorkovanja i upotrebe u laboratorijskom ispitivanju, skladištenje uzorka i prethodna obrada uzorka, datumi sprovođenja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primenjena količina ispitivane supstance, ispitivana koncentracija i referentna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 primene ispitivane supstance, uključujući svaku upotrebu rastvarača,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zapremina upotrebljene površinske vode i sedimenta (ako se koristi) i zapremina uzorka koji se uzima na analizu u svakom vremenu uzorkovanja,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ispitnog sistema koji se koristi.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ispitivanje ne može sprovesti u mraku, informacije o uslovima "difuznog osvetljenja":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informacije o metodi/ama koje su upotrebljene za pripremu sterilnih kontrola (npr. temperatura, vreme i broj autoklaviranja),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informacije o analitičkim tehnikama i metodi/ama koje se koriste za radiohemijska merenja i proveru bilansa mase i merenja fazne raspodele (ako se vrše),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broj ponavljanja.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procenat iskorišćenja (videti odeljak 1.7.1.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ponovljivost i osetljivost primenjenih analitičkih metoda, uključujući granicu detekcije (LOD) i granicu kvantifikacije (LOQ) (videti odeljak 1.7.2.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prikaz svih izmerenih podataka (uključujući vremena uzorkovanja) i izračunatih vrednosti u tabelarnom obliku i krive razgradnje; za svaku ispitivanu koncentraciju i svako ponavljanje navesti koeficijent linearne korelacije za nagib logaritamskog grafika, procenjenu fazu prilagođavanja i konstantu brzine prvog reda ili pseudoprvog reda (po mogućstvu) kao i odgovarajuće vreme polurazgradnje (odnosno vreme poluživota 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proseci rezultata pojedinačnih ponavljanja za odgovarajuće vrednosti, npr. dužina faze prilagođavanja, konstanta brzine razgradnje i vreme polurazgradnje (ili t</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kategorizovati sistem kao neprilagođeni sistem ili prilagođeni sistem u odnosu na izgled krive razgradnje i mogući uticaj ispitivane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rezultati završne provere bilansa mase i rezultati merenja fazne raspodele (prema potrebi),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udeo mineralizovanog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i, ako se koriste specifične analize, konačni nivo primarne razgradnje,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identifikacija, molarna koncentracija i procenat primenjene koncentracije i glavni proizvodi transformacije (videti odeljak 1.8.9.5. ove metode) prema potrebi,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predloženi put transformacije, prema potrebi,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TG 309 (2004) Aerobic Mineralisation in surface water - Simulation Biodegradation Test.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ISO/DIS 14592-1 (1999) Water quality - Evaluation of the aerobic biodegradability of organic compounds at low concentrations - Part 1: Shake flask batch test with surface water or surface water/sediment suspensions.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Testing Method C.23. Aerobic and anaerobic transformation in soil.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Testing Method C.24. Aerobic and anaerobic transformation in aquatic sediments.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OECD (1993). Guidelines for the Testing of Chemicals. OECD, Paris.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ISO 8245 (1999). Water quality - Guidelines on the determination of total organic carbon (TOC) and dissolved organic carbon (DOC).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7. ISO 10634 (1995). Water quality - Guidance for the preparation and treatment of poorly water-soluble organic compounds for the subsequent evaluation of their biodegradability in an aqueous medium.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OECD (2000). Guidance Document on aquatic toxicity testing of difficult substances and mixtures. Environmental Health and Safety Publications. Series on Testing and Assessment. No 22.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Simkins, S. and Alexander, M. (1984). Models for mineralisation kinetics with the variables of substrate concentration and population density. Appl. Environ. Microbiol.47, 394-401.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Ingerslev, F. and N. Nyholm. (2000). Shake-flask test for determination of biodegradation rates of 14C-labeled chemicals at low concentrations in surface water systems. Ecotoxicol. Environ. Saf. 45, 274-283.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11. ISO/CD 14592-1 (1999). Ring test report: Water Quality - Evaluation of the aerobic biodegradability of organic compounds at low concentrations part 1 - report of 1998/1999 ring-test. Shake flask batch test with surface water or surface water/sediment suspensions.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DODATAK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Fazna raspodela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Radi provere postupka, rutinska merenja aktivnosti preostalog ukupnog organskog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(TOA) dopuniti merenjima bilansa mase sa direktnim određivanjem dobijenog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koji se skuplja u adsorberu (videti Dodatak treći ove metode). Potvrda formiranja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je sama po sebi direktan dokaz biorazgradnje, za razliku od abiotičke razgradnje i drugih mehanizama gubitaka, kao što je isparavanje ili sorpcija. Dodatne informacije koje mogu biti korisne za opisivanje procesa biorazgradnje mogu se dobiti merenjem raspodele TOA između rastvorenog oblika (aktivnost rastvorenog organskog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DOA) i čvrstog oblika (aktivnost čvrstog organskog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POA) nakon odvajanja čestica membranskom filtracijom ili centrifugiranjem. POA se sastoji od ispitivane supstance adsorbovane na biomasu mikroorganizama i druge čestice kao i od ugljenika sadržanog u ispitivanoj supstanci koji se koristi za sintezu novog ćelijskog materijala i tako se ugrađuje u čvrstu frakciju biomase. Formiranje rastvorene organske supstance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može se odrediti kao DOA na kraju biorazgradnje (plato krive razgradnje u zavisnosti od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Faznu raspodelu preostalog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u odabranim uzorcima proceniti filtriranjem uzoraka kroz membranski filter veličine pora 0,22 μm ili 0,45 μm izrađen od materijala koji ne adsorbuje značajne količine ispitivane supstance (npr. polikarbonatni filteri). Ako je adsorpcija ispitivane supstance na filter prevelika da bi se mogla zanemariti (ovo proveriti pre eksperimenta), umesto filtriranja se može koristiti centrifugiranje pri velikoj brzini (2000 g; 10 min).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Sa filtratom odnosno supernatantom se postupa kao sa nefiltriranim uzorcima iz Dodatka 3. Membranski filteri se rastvore u odgovarajućoj tečnosti za scintilaciju i broji se na uobičajeni način, obično uz korekciju gašenja (quenching) primenom spoljnog standarda (external standard ratio method) ili se upotrebi oksidaciono sredstvo za uzorak. Ako se koristi centrifugiranje, talog formiran od čvrste frakcije se resuspenduje u 1 ml do 2 ml destilovane vode i prenese u bočicu za scintilaciju. Zatim se posuda dvaput ispere sa 1 ml destilovane vode i voda od ispiranja prenese u bočicu. Suspenzija se pre brojanja metodom tečne scintilacije može prema potrebi obložiti gelom.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DODATAK 2.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Polukontinuirani postupak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slučaju postojanih supstanci ponekad je potrebno produžiti vreme inkubacije i do nekoliko meseci da bi se postigla dovoljna razgradnja. Ispitivanje po pravilu ne traje duže od 60 dana, osim ako se ispitivana suspenzija obnavlja kako bi se održala izvorna svojstva vodenog uzorka. Trajanje ispitivanja se može produžiti do najviše 90 dana i bez obnavljanja ispitivane suspenzije ako je razgradnja ispitivane supstance započela u prvih 60 dana.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dugotrajnije inkubacije raznolikost mikrobiološke zajednice se može smanjiti zbog različitih mehanizama gubitaka i mogućeg iscrpljenja zaliha esencijalnih hranljivih supstanci i primarnih supstrata ugljenika u vodenom uzorku. Stoga se kod supstanci koje se sporo razgrađuju preporučuje primena polukontinuiranog postupka kako bi se pravilno odredila brzina razgradnje. Ispitivanje započeti u polukontinuiranom postupku ako se na osnovu </w:t>
      </w:r>
      <w:r w:rsidRPr="00984859">
        <w:rPr>
          <w:rFonts w:ascii="Arial" w:eastAsia="Times New Roman" w:hAnsi="Arial" w:cs="Arial"/>
          <w:lang w:eastAsia="sr-Latn-RS"/>
        </w:rPr>
        <w:lastRenderedPageBreak/>
        <w:t xml:space="preserve">ranijih iskustava očekuje da će za 20%-tnu razgradnju supstance biti potreban period inkubacije od tri meseca. Druga mogućnost je da se uobičajeni šaržni postupak zameni za polukontinuirani ako tokom približno 60 dana ispitivanja šaržnim postupkom nije došlo do razgradnje ispitivane supstance. Polukontinuirani postupak se može prekinuti i ispitivanje nastaviti šaržnim postupkom ukoliko se zabeleži značajna razgradnja (npr. &gt; 20%).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polukontinuiranog postupka svake dve nedelje oko jedna trećine zapremine ispitivane suspenzije zamenjuje se sveže prikupljenom vodom u koju je dodata ispitivana supstanca do početne koncentracije. Ako se koristi fakultativno ispitivanje sa suspendovanim sedimentom, zamenskoj vodi dodati i sediment u početnoj koncentraciji (između 0,01 g/l i 1 g/l). Važno je naglasiti da se u slučaju sprovođenja ispitivanja sa suspendovanim česticama sedimenta sistem održava u potpunoj suspenziji i tokom obnavljanja jer se u protivnom gubi predviđena sličnost sa homogenim vodenim sistemom bez fiksnih voda-sediment faza. Iz tih razloga, kod primene polukontinuiranog postupka poželjno je da se početna koncentracija suspendovanog sedimenta odabere iz donjeg deo datog opsega.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Ispitivana supstanca se dodaje tako da kod delimičnog obnavljanja ispitivane suspenzije ne dođe do prekoračenja početne koncentracije ispitivane supstance, kako bi se izbeglo prilagođavanje koja se često javlja pri visokim koncentracijama ispitivane supstance. Budući da postupak obuhvata i ponovnu inokulaciju i nadoknađivanje potrošenih hranljivih supstanci i primarnih supstrata, izvorna mikrobiološka raznolikost se ponovo uspostavlja i ispitivanje se teoretski može beskonačno produžavati. Kod polukontinuiranog postupka, važno je napomenuti da se preostala koncentracija ispitivane supstance koriguje u odnosu na količine ispitivane supstance koje se dodaju i uklanjaju u svakom postupku obnavljanja. Ukupna koncentracija ispitivane supstance i koncentracija rastvorene ispitivane supstance naizmenično se koriste u slučaju jedinjenja kod kojih ne dolazi do znatnije sorpcije. Sorpcija je u utvrđenim uslovima (0,1 g do 1 g čvrste supstance/l) beznačajna (&lt; 5%) kod supstanci sa log K</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&lt; 3 (važi za neutralna, lipofilna jedinjenja). To se može videti i na sledećem računskom primeru: 0,1 g/l čvrste supstance otprilike odgovara 10 mg ugljenika po litru (udeo ugljenika f</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 0,01).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 pretpostavkom da je: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Log K</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(ispitivane supstance) = 3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 0,42 × K</w:t>
      </w:r>
      <w:r w:rsidRPr="00984859">
        <w:rPr>
          <w:rFonts w:ascii="Arial" w:eastAsia="Times New Roman" w:hAnsi="Arial" w:cs="Arial"/>
          <w:sz w:val="15"/>
          <w:szCs w:val="15"/>
          <w:vertAlign w:val="subscript"/>
          <w:lang w:eastAsia="sr-Latn-RS"/>
        </w:rPr>
        <w:t>ow</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Koeficijent raspodele,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w:t>
      </w:r>
      <w:r w:rsidRPr="00984859">
        <w:rPr>
          <w:rFonts w:ascii="Symbol" w:eastAsia="Times New Roman" w:hAnsi="Symbol" w:cs="Arial"/>
          <w:lang w:eastAsia="sr-Latn-RS"/>
        </w:rPr>
        <w:t></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 K</w:t>
      </w:r>
      <w:r w:rsidRPr="00984859">
        <w:rPr>
          <w:rFonts w:ascii="Arial" w:eastAsia="Times New Roman" w:hAnsi="Arial" w:cs="Arial"/>
          <w:sz w:val="15"/>
          <w:szCs w:val="15"/>
          <w:vertAlign w:val="subscript"/>
          <w:lang w:eastAsia="sr-Latn-RS"/>
        </w:rPr>
        <w:t>oc</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tada je rastvorena frakcija ukupne koncentracije (C-voda (C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)/C-ukupni (C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w</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 1/(1 + K</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SS) = 1(1 + K</w:t>
      </w:r>
      <w:r w:rsidRPr="00984859">
        <w:rPr>
          <w:rFonts w:ascii="Arial" w:eastAsia="Times New Roman" w:hAnsi="Arial" w:cs="Arial"/>
          <w:sz w:val="15"/>
          <w:szCs w:val="15"/>
          <w:vertAlign w:val="subscript"/>
          <w:lang w:eastAsia="sr-Latn-RS"/>
        </w:rPr>
        <w:t>oc</w:t>
      </w:r>
      <w:r w:rsidRPr="00984859">
        <w:rPr>
          <w:rFonts w:ascii="Arial" w:eastAsia="Times New Roman" w:hAnsi="Arial" w:cs="Arial"/>
          <w:lang w:eastAsia="sr-Latn-RS"/>
        </w:rPr>
        <w:t xml:space="preserve"> × f</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 SS) = 1/(1 + 0,42 ×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 0,01 × 0,1 × 10</w:t>
      </w:r>
      <w:r w:rsidRPr="00984859">
        <w:rPr>
          <w:rFonts w:ascii="Arial" w:eastAsia="Times New Roman" w:hAnsi="Arial" w:cs="Arial"/>
          <w:sz w:val="15"/>
          <w:szCs w:val="15"/>
          <w:vertAlign w:val="superscript"/>
          <w:lang w:eastAsia="sr-Latn-RS"/>
        </w:rPr>
        <w:t>-3</w:t>
      </w:r>
      <w:r w:rsidRPr="00984859">
        <w:rPr>
          <w:rFonts w:ascii="Arial" w:eastAsia="Times New Roman" w:hAnsi="Arial" w:cs="Arial"/>
          <w:lang w:eastAsia="sr-Latn-RS"/>
        </w:rPr>
        <w:t xml:space="preserve">) = 0,999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DODATAK 3.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Određivanje </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b/>
          <w:bCs/>
          <w:lang w:eastAsia="sr-Latn-RS"/>
        </w:rPr>
        <w:t>CO</w:t>
      </w:r>
      <w:r w:rsidRPr="00984859">
        <w:rPr>
          <w:rFonts w:ascii="Arial" w:eastAsia="Times New Roman" w:hAnsi="Arial" w:cs="Arial"/>
          <w:b/>
          <w:bCs/>
          <w:sz w:val="15"/>
          <w:szCs w:val="15"/>
          <w:vertAlign w:val="subscript"/>
          <w:lang w:eastAsia="sr-Latn-RS"/>
        </w:rPr>
        <w:t>2</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Indirektno određivanje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Kod rutinskih merenja indirektna metoda po pravilu zahteva najmanje vremena i najpreciznija je ukoliko ispitivane supstance nisu isparljive i ne prelaze u isparljive proizvode transformacije. Nefiltrirani uzorci od npr. 5 ml se jednostavno prenesu u bočice za scintilaciju. Odgovarajuća početna aktivnost u uzorcima je 5000 dpm do 10000 dpm (80 Bq do 170 Bq), a minimalna početna aktivnost iznosi oko 1.000 dpm.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se izlučuje nakon zakišeljavanja </w:t>
      </w:r>
      <w:r w:rsidRPr="00984859">
        <w:rPr>
          <w:rFonts w:ascii="Arial" w:eastAsia="Times New Roman" w:hAnsi="Arial" w:cs="Arial"/>
          <w:lang w:eastAsia="sr-Latn-RS"/>
        </w:rPr>
        <w:lastRenderedPageBreak/>
        <w:t>na pH 2-3 sa 1 do 2 kapi koncentrovane 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ili HCl. Izlučivanje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se može sprovesti uduvavanjem mehurića vazduha oko ½ sata do 1 sata. Kao druga mogućnost, bočice se mogu snažno protresati 1 do 2 sata (npr. na tresilici sa pločom) ili se uz lakše protresanje ostave na tresilici preko noći. Efikasnost postupka odvajanja 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proveriti (produženjem vremena provetravanja ili trešenja). Zatim se doda tečnost za scintilaciju pogodna za brojanje vodenih uzoraka, uzorak se homogenizuje na vorteksu i odredi radioaktivnost metodom tečne scintilacije i oduzme osnovna aktivnost utvrđena u slepim probama (F</w:t>
      </w:r>
      <w:r w:rsidRPr="00984859">
        <w:rPr>
          <w:rFonts w:ascii="Arial" w:eastAsia="Times New Roman" w:hAnsi="Arial" w:cs="Arial"/>
          <w:sz w:val="15"/>
          <w:szCs w:val="15"/>
          <w:vertAlign w:val="subscript"/>
          <w:lang w:eastAsia="sr-Latn-RS"/>
        </w:rPr>
        <w:t>B</w:t>
      </w:r>
      <w:r w:rsidRPr="00984859">
        <w:rPr>
          <w:rFonts w:ascii="Arial" w:eastAsia="Times New Roman" w:hAnsi="Arial" w:cs="Arial"/>
          <w:lang w:eastAsia="sr-Latn-RS"/>
        </w:rPr>
        <w:t xml:space="preserve">). Ako voda za ispitivanje nije jako obojena i ne sadrži visoku koncentraciju čestica, uzorci će po pravilu pokazivati ujednačeno gašenje (quenching) i biće dovoljno da se izvrše korekcije za gašenje primenom spoljnog standarda. Ako je voda za ispitivanje jako obojena, korekcija za gašenje se ponekad vrši dodavanjem unutrašnjeg standarda. Ukoliko je koncentracija čestica visoka nije uvek moguće dobiti homogeni rastvor odnosno gel, ili se mogu javiti velike razlike u gašenju među uzorcima. U tom slučaju se može primeniti metoda brojanja za ispitivani mulj koja je opisana u nastavku. Ako se koristi ispitivanje sa suspendovanim sedimentom, merenje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se može obaviti indirektno tako što se uzme homogeni uzorak ispitivane vode/suspenzije od 10 ml i faze odvoje centrifugiranjem na odgovarajućoj brzini (npr. 15 minuta na 40.000 m/s</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 xml:space="preserve">). Zatim se i sa vodenom fazom postupa kako je gore opisano. Aktivnost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 xml:space="preserve">C u čvrstoj fazi (POA) određuje se tako što se sediment resuspenduje u maloj zapremini destilovane vode, prenese u bočice za scintilaciju i zatim doda tečnost za scintilaciju kako bi se dobio gel (za ovo su predviđene posebne tečnosti za scintilaciju). Zavisno od vrste čestica (npr. sadržaj organskog materijala u njima), uzorak se eventualno može ostaviti preko noći da se rastvori u sredstvu za rastvaranje tkiva, zatim homogenizovati na vorteksu i onda dodati tečnost za scintilaciju. Druga mogućnost je da se POA odredi sagorevanjem viška kiseonika pomoću oksidacionog sredstva. Kod brojanja uvek uključiti interne standarde, a korekcije za gašenje ponekad napraviti dodavanjem unutrašnjeg standarda u svaki pojedinačni uzorak.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Direktno određivanje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nastali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meri direktno na početku ispitivanja pripremiti više sudova za ispitivanje i u svakoj mernoj tački uzimati čitav sadržaj uzorka, zakiseliti na pH 2 do 3 i skupljati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u unutrašnjem adsorberu (koji se stavlja u svaki ispitivani uzorak na početku ispitivanja) ili spoljnom adsorberu. Kao adsorpciono sredstvo može se koristiti alkalna supstanca (npr. rastvor 1 N NaOH ili čvrsti NaOH), etanolamin ili adsorberi na bazi etanolamina koji su dostupni na tržištu. Kod direktnog merenja </w:t>
      </w:r>
      <w:r w:rsidRPr="00984859">
        <w:rPr>
          <w:rFonts w:ascii="Arial" w:eastAsia="Times New Roman" w:hAnsi="Arial" w:cs="Arial"/>
          <w:sz w:val="15"/>
          <w:szCs w:val="15"/>
          <w:vertAlign w:val="superscript"/>
          <w:lang w:eastAsia="sr-Latn-RS"/>
        </w:rPr>
        <w:t>14</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sudovi su zatvoreni npr. zatvaračima od butilne gume.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1a. Primer aritmetičkog prikaza podataka (preostala aktivnost u zavisnosti od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lastRenderedPageBreak/>
        <w:drawing>
          <wp:inline distT="0" distB="0" distL="0" distR="0">
            <wp:extent cx="4714875" cy="2971800"/>
            <wp:effectExtent l="0" t="0" r="9525" b="0"/>
            <wp:docPr id="159" name="Picture 159" descr="C:\Program Files (x86)\ParagrafLex\browser\Files\Old\t\t2013_12\t12_0570_s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Program Files (x86)\ParagrafLex\browser\Files\Old\t\t2013_12\t12_0570_s152.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14875" cy="29718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Slika 1b. Primer polulogaritamskog prikaza podataka (In preostale aktivnosti u zavisnosti od vremena)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val="en-US"/>
        </w:rPr>
        <w:drawing>
          <wp:inline distT="0" distB="0" distL="0" distR="0">
            <wp:extent cx="4943475" cy="2781300"/>
            <wp:effectExtent l="0" t="0" r="9525" b="0"/>
            <wp:docPr id="158" name="Picture 158" descr="C:\Program Files (x86)\ParagrafLex\browser\Files\Old\t\t2013_12\t12_0570_s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Program Files (x86)\ParagrafLex\browser\Files\Old\t\t2013_12\t12_0570_s153.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43475" cy="2781300"/>
                    </a:xfrm>
                    <a:prstGeom prst="rect">
                      <a:avLst/>
                    </a:prstGeom>
                    <a:noFill/>
                    <a:ln>
                      <a:noFill/>
                    </a:ln>
                  </pic:spPr>
                </pic:pic>
              </a:graphicData>
            </a:graphic>
          </wp:inline>
        </w:drawing>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C.26. ISPITIVANJE INHIBICIJE RASTA </w:t>
      </w:r>
      <w:r w:rsidRPr="00984859">
        <w:rPr>
          <w:rFonts w:ascii="Arial" w:eastAsia="Times New Roman" w:hAnsi="Arial" w:cs="Arial"/>
          <w:b/>
          <w:bCs/>
          <w:i/>
          <w:iCs/>
          <w:lang w:eastAsia="sr-Latn-RS"/>
        </w:rPr>
        <w:t>LEMNA SP.</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Deo prvi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 METODA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zasniva se na Uputstvu za ispitivanje OECD 221 (2006)</w:t>
      </w:r>
      <w:r w:rsidRPr="00984859">
        <w:rPr>
          <w:rFonts w:ascii="Arial" w:eastAsia="Times New Roman" w:hAnsi="Arial" w:cs="Arial"/>
          <w:b/>
          <w:bCs/>
          <w:sz w:val="15"/>
          <w:szCs w:val="15"/>
          <w:vertAlign w:val="superscript"/>
          <w:lang w:eastAsia="sr-Latn-RS"/>
        </w:rPr>
        <w:t>1</w:t>
      </w:r>
      <w:r w:rsidRPr="00984859">
        <w:rPr>
          <w:rFonts w:ascii="Arial" w:eastAsia="Times New Roman" w:hAnsi="Arial" w:cs="Arial"/>
          <w:lang w:eastAsia="sr-Latn-RS"/>
        </w:rPr>
        <w:t xml:space="preserve">. Među telima EU postoji opšta saglasnost da je u slučaju jako obojenih supstanci ispitivanje na </w:t>
      </w:r>
      <w:r w:rsidRPr="00984859">
        <w:rPr>
          <w:rFonts w:ascii="Arial" w:eastAsia="Times New Roman" w:hAnsi="Arial" w:cs="Arial"/>
          <w:i/>
          <w:iCs/>
          <w:lang w:eastAsia="sr-Latn-RS"/>
        </w:rPr>
        <w:t>Lemna sp.</w:t>
      </w:r>
      <w:r w:rsidRPr="00984859">
        <w:rPr>
          <w:rFonts w:ascii="Arial" w:eastAsia="Times New Roman" w:hAnsi="Arial" w:cs="Arial"/>
          <w:lang w:eastAsia="sr-Latn-RS"/>
        </w:rPr>
        <w:t xml:space="preserve"> odgovarajuća alternativa ispitivanju na algama</w:t>
      </w:r>
      <w:r w:rsidRPr="00984859">
        <w:rPr>
          <w:rFonts w:ascii="Arial" w:eastAsia="Times New Roman" w:hAnsi="Arial" w:cs="Arial"/>
          <w:b/>
          <w:bCs/>
          <w:sz w:val="15"/>
          <w:szCs w:val="15"/>
          <w:vertAlign w:val="superscript"/>
          <w:lang w:eastAsia="sr-Latn-RS"/>
        </w:rPr>
        <w:t>2,3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1.1. UVOD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Ova metoda ispitivanja je osmišljena za procenu toksičnosti supstance po slatkovodne biljke roda </w:t>
      </w:r>
      <w:r w:rsidRPr="00984859">
        <w:rPr>
          <w:rFonts w:ascii="Arial" w:eastAsia="Times New Roman" w:hAnsi="Arial" w:cs="Arial"/>
          <w:i/>
          <w:iCs/>
          <w:lang w:eastAsia="sr-Latn-RS"/>
        </w:rPr>
        <w:t>Lemna</w:t>
      </w:r>
      <w:r w:rsidRPr="00984859">
        <w:rPr>
          <w:rFonts w:ascii="Arial" w:eastAsia="Times New Roman" w:hAnsi="Arial" w:cs="Arial"/>
          <w:lang w:eastAsia="sr-Latn-RS"/>
        </w:rPr>
        <w:t xml:space="preserve"> (sočivica). Ona se zasniva na postojećim smernicama</w:t>
      </w:r>
      <w:r w:rsidRPr="00984859">
        <w:rPr>
          <w:rFonts w:ascii="Arial" w:eastAsia="Times New Roman" w:hAnsi="Arial" w:cs="Arial"/>
          <w:b/>
          <w:bCs/>
          <w:sz w:val="15"/>
          <w:szCs w:val="15"/>
          <w:vertAlign w:val="superscript"/>
          <w:lang w:eastAsia="sr-Latn-RS"/>
        </w:rPr>
        <w:t>4,5,6,7,8,9</w:t>
      </w:r>
      <w:r w:rsidRPr="00984859">
        <w:rPr>
          <w:rFonts w:ascii="Arial" w:eastAsia="Times New Roman" w:hAnsi="Arial" w:cs="Arial"/>
          <w:lang w:eastAsia="sr-Latn-RS"/>
        </w:rPr>
        <w:t>, ali uključuje neke izmene tih metoda u svetlu poslednjih istraživanja i savetovanja o nizu ključnih pitanja. Predložena metoda je validirana međunarodnim međulaboratorijskim ispitivanjem ("ring-test")</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 ovoj metodi ispitivanja opisana su ispitivanja toksičnosti na vrstama </w:t>
      </w:r>
      <w:r w:rsidRPr="00984859">
        <w:rPr>
          <w:rFonts w:ascii="Arial" w:eastAsia="Times New Roman" w:hAnsi="Arial" w:cs="Arial"/>
          <w:i/>
          <w:iCs/>
          <w:lang w:eastAsia="sr-Latn-RS"/>
        </w:rPr>
        <w:t>Lemna gibba</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Lemna minor</w:t>
      </w:r>
      <w:r w:rsidRPr="00984859">
        <w:rPr>
          <w:rFonts w:ascii="Arial" w:eastAsia="Times New Roman" w:hAnsi="Arial" w:cs="Arial"/>
          <w:lang w:eastAsia="sr-Latn-RS"/>
        </w:rPr>
        <w:t xml:space="preserve">, koje su podrobno proučene i predmet su gore navedenih standarda. Taksonomija </w:t>
      </w:r>
      <w:r w:rsidRPr="00984859">
        <w:rPr>
          <w:rFonts w:ascii="Arial" w:eastAsia="Times New Roman" w:hAnsi="Arial" w:cs="Arial"/>
          <w:i/>
          <w:iCs/>
          <w:lang w:eastAsia="sr-Latn-RS"/>
        </w:rPr>
        <w:t>Lemna spp.</w:t>
      </w:r>
      <w:r w:rsidRPr="00984859">
        <w:rPr>
          <w:rFonts w:ascii="Arial" w:eastAsia="Times New Roman" w:hAnsi="Arial" w:cs="Arial"/>
          <w:lang w:eastAsia="sr-Latn-RS"/>
        </w:rPr>
        <w:t xml:space="preserve"> je složena zbog velikoga broja različitih fenotipova. Iako se u odgovoru na toksično dejstvo kod vrsta </w:t>
      </w:r>
      <w:r w:rsidRPr="00984859">
        <w:rPr>
          <w:rFonts w:ascii="Arial" w:eastAsia="Times New Roman" w:hAnsi="Arial" w:cs="Arial"/>
          <w:i/>
          <w:iCs/>
          <w:lang w:eastAsia="sr-Latn-RS"/>
        </w:rPr>
        <w:t>Lemna</w:t>
      </w:r>
      <w:r w:rsidRPr="00984859">
        <w:rPr>
          <w:rFonts w:ascii="Arial" w:eastAsia="Times New Roman" w:hAnsi="Arial" w:cs="Arial"/>
          <w:lang w:eastAsia="sr-Latn-RS"/>
        </w:rPr>
        <w:t xml:space="preserve"> može javiti genetička varijabilnost, trenutno nema dovoljno podataka o tom izvoru varijabilnosti da bi se mogao preporučiti neki određeni klon za ovu metodu ispitivanja. Treba zapaziti da se ispitivanje ne izvodi aksenično, ali se u pojedinim fazama postupka ispitivanja preduzimaju koraci kako bi se zagađenje drugim organizmima svelo na najmanju moguću meru.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Dati su detalji ispitivanja sa obnavljanjem (polustatičko i protočno) i bez obnavljanja (statičko) rastvora za ispitivanje. Zavisno od ciljeva ispitivanja i regulatornih zahteva, preporučuje se da se ispita mogućnost primene polustatičkih i protočnih metoda (npr. kod supstanci koje se brzo nestaju iz rastvora usled isparavanja, fotohemijske razgradnje, taloženja ili biorazgradnje). Dodatne smernice date su u literaturi</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1.2. DEFINICIJE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Pojedini izrazi upotrebljeni u ovoj metodi ispitivanja imaju sledeće značenje: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Biomasa jeste suva masa žive materije u populaciji. U ovoj metodi se po pravilu mere alternativni parametri biomase, kao što je broj frondova i površina frondova, pa se izraz biomasa odnosi i na te alternativne mere.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Hloroza jeste žutilo lisnog tkiva.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Klon jeste organizam ili ćelija nastala od pojedinačne jedinke putem bespolnog razmnožavanja. Prema tome, jedinke koje potiču od istog klona su genetski istovetne.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Kolonija označava združene roditeljske i potomačke frondove (obično 2 do 4) koji su međusobno spojeni. Ponekad se naziva i biljkom.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EC</w:t>
      </w:r>
      <w:r w:rsidRPr="00984859">
        <w:rPr>
          <w:rFonts w:ascii="Arial" w:eastAsia="Times New Roman" w:hAnsi="Arial" w:cs="Arial"/>
          <w:sz w:val="15"/>
          <w:szCs w:val="15"/>
          <w:vertAlign w:val="subscript"/>
          <w:lang w:eastAsia="sr-Latn-RS"/>
        </w:rPr>
        <w:t xml:space="preserve">x </w:t>
      </w:r>
      <w:r w:rsidRPr="00984859">
        <w:rPr>
          <w:rFonts w:ascii="Arial" w:eastAsia="Times New Roman" w:hAnsi="Arial" w:cs="Arial"/>
          <w:lang w:eastAsia="sr-Latn-RS"/>
        </w:rPr>
        <w:t xml:space="preserve">jeste koncentracija ispitivane supstance rastvorene u podlozi za ispitivanje koja dovodi do x%-tnog (npr. 50%) smanjenja rasta </w:t>
      </w:r>
      <w:r w:rsidRPr="00984859">
        <w:rPr>
          <w:rFonts w:ascii="Arial" w:eastAsia="Times New Roman" w:hAnsi="Arial" w:cs="Arial"/>
          <w:i/>
          <w:iCs/>
          <w:lang w:eastAsia="sr-Latn-RS"/>
        </w:rPr>
        <w:t>Lemna</w:t>
      </w:r>
      <w:r w:rsidRPr="00984859">
        <w:rPr>
          <w:rFonts w:ascii="Arial" w:eastAsia="Times New Roman" w:hAnsi="Arial" w:cs="Arial"/>
          <w:lang w:eastAsia="sr-Latn-RS"/>
        </w:rPr>
        <w:t xml:space="preserve"> u okviru navedenog perioda izlaganja (koje izričito navesti ako odstupa od punog ili uobičajenog trajanja ispitivanja). Da bi se nedvosmisleno pokazalo da li je vrednost EC dobijena iz brzine rasta ili iz prirasta koristi se simbol "ErC" za brzinu rasta (growth rate) i "EyC" za prirast (yield), iza čega se navodi merna promenljiva npr. ErC (broj frondova).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Protočno ispitivanje jeste ispitivanje u kom se ispitivani rastvori stalno zamenjuju.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Frond jeste zasebna/pojedinačna listolika struktura biljke sočivice. Najmanja je reproduktivno sposobna jedinica odnosno jedinka.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Nabreklina označava frondove grbavog ili nabreknutog izgleda.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 jeste povećanje merne promenljive, npr broj frondova, suva masa, vlažna masa ili površina frondova, u periodu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Brzina rasta (prosečna specifična brzina rasta) jeste logaritamsko povećanje biomase u periodu izlaganja.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Najniža koncentracija sa zapaženim efektom (u daljem tekstu: LOEC) jeste najniža ispitana koncentracija pri kojoj je tokom određenog perioda izlaganja zapaženo da supstanci statistički značajan efekat usporavanja rasta (pri p &lt; 0,05) u poređenju sa kontrolom. Međutim, sve ispitivane koncentracije iznad LOEC potrebno je da imaju jednak ili veći štetan efekat od onoga koji je zabeležen pri LOEC. Ako se ova dva uslova ne mogu ispuniti, detaljno objasniti kako je odabran LOEC (a prema tome i NOEC).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Merne promenljive jesu sve vrste promenljivih veličina koje se mere kako bi se izrazio praćeni parametar ispitivanja primenom jedne ili više promenljivih odgovora. Kod ove metode merne promenljive su broj frondova, površina frondova, sveža masa i suva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Monokultura jeste kultura koja sadrži jednu biljnu vrstu.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Nekroza jeste mrtvo (tj. belo ili vodom natopljeno) tkivo fronda.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Najviša koncentracija bez zapaženog efekta (u daljem tekstu: NOEC) jeste ispitivana koncentracija neposredno ispod LOEC.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Fenotip jesu vidljive karakteristike organizma određene interakcijom njegovih gena i životne sredine.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Promenljive odgovora jesu promenljive veličine za procenu toksičnosti izvedene iz bilo koje merene promenljive koja opisuje biomasu primenom različitih metoda izračunavanja. Kod ove metode brzine rasta i prirasta jesu promenljive odgovora izvedene iz mernih promenljivih kao što su broj frondova, površina frondova, sveža masa ili suva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Polustatičko ispitivanje (ispitivanje sa obnavljanjem) jeste ispitivanje gde se ispitivani rastvor zamenjuje periodično, u određenim razmacima, tokom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Statičko ispitivanje jeste metoda ispitivanja gde se ispitivani rastvor ne obnavlja tokom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Praćeni parametar ispitivanja opisuje opšti faktor koji će se menjati usled dejstva ispitivane hemikalije u odnosu na kontrolu kao cilj ispitivanja. Kod ove metode praćeni parametar ispitivanja je inhibicija rasta, koja se može izraziti različitim promenljivim odgovora koje se zasnivaju na jednoj ili više mernih promenljivih.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Podloga za ispitivanje jeste celokupna sintetička hranljiva podloga na kojoj ispitivane biljke rastu kad se izlože ispitivanoj supstanci. Ispitivana supstanca će se obično rastvoriti u podlozi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Prirast jeste vrednost merne promenljive kojom se izražava razlika između biomase na kraju perioda izlaganja i merne promenljive na početku perioda izlaganja.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1.3. PRINCIP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Eksponencijalno rastuće biljne kulture roda </w:t>
      </w:r>
      <w:r w:rsidRPr="00984859">
        <w:rPr>
          <w:rFonts w:ascii="Arial" w:eastAsia="Times New Roman" w:hAnsi="Arial" w:cs="Arial"/>
          <w:i/>
          <w:iCs/>
          <w:lang w:eastAsia="sr-Latn-RS"/>
        </w:rPr>
        <w:t>Lemna</w:t>
      </w:r>
      <w:r w:rsidRPr="00984859">
        <w:rPr>
          <w:rFonts w:ascii="Arial" w:eastAsia="Times New Roman" w:hAnsi="Arial" w:cs="Arial"/>
          <w:lang w:eastAsia="sr-Latn-RS"/>
        </w:rPr>
        <w:t xml:space="preserve"> puste se da rastu kao monokulture u različitim koncentracijama ispitivane materije u periodu od sedam dana. Cilj ispitivanja je da se kvantifikuju efekti supstance na vegetativni rast tokom ovog perioda na osnovu procene odabranih mernih promenljivih. Broj frondova je primarna merna promenljiva. Osim toga, </w:t>
      </w:r>
      <w:r w:rsidRPr="00984859">
        <w:rPr>
          <w:rFonts w:ascii="Arial" w:eastAsia="Times New Roman" w:hAnsi="Arial" w:cs="Arial"/>
          <w:lang w:eastAsia="sr-Latn-RS"/>
        </w:rPr>
        <w:lastRenderedPageBreak/>
        <w:t>meri se najmanje još jedna merna promenljiva (ukupna površina frondova, suva masa ili sveža masa), budući da neke supstance znatno više utiču na neke druge merne promenljive nego na broj frondova. Da bi se kvantifikovali efekti supstance, rast u ispitivanim rastvorima se upoređuje sa rastom u kontrolama i određuje se koncentracija koja izaziva određeni procenat (x%) inhibicije rasta (npr. 50%), koja se izražava kao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(npr.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Praćeni parametar ispitivanja je inhibicija rasta, koji se izražava kao logaritamsko povećanje merne promenljive (prosečna specifična brzina rasta) u periodu izlaganja. Iz prosečnih specifičnih brzina rasta zabeleženih u seriji ispitivanih rastvora određuje se koncentracija koja izaziva određeno x%-tno smanjenje brzine rasta (npr. 50%), koja se izražava kao ErCx (npr. ErC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ovoj metodi ispitivanja koristi se i dodatna promenljiva odgovora, prirast, koja je potrebna da bi se ispunili posebni regulatorni zahtevi u nekim državama. On se definiše kao razlika između mernih varijabli na kraju perioda izlaganja i mernih varijabli na početku perioda izlaganja. Iz prirasta zabeleženog u seriji ispitivanih rastvora izračunava se koncentracija koja izaziva određeno x%-tno smanjenje prirasta (npr. 50%), koja se izražava kao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(npr.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Osim toga, može se statistički odrediti najniža koncentracija sa zapaženim efektom (LOEC) i najviša koncentracija bez zapaženog efekta (NOEC).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1.4. INFORMACIJE O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Analitička metoda odgovarajuće osetljivosti za kvanitifikaciju supstance u podlozi za ispitivanje potrebno je da bude na raspolaganju.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Informacije o ispitivanoj supstanci koje mogu biti korisne pri uspostavljanju uslova ispitivanja su: strukturna formula, čistoća, rastvorljivost u vodi, stabilnost u vodi i fotostabilnost, pK</w:t>
      </w:r>
      <w:r w:rsidRPr="00984859">
        <w:rPr>
          <w:rFonts w:ascii="Arial" w:eastAsia="Times New Roman" w:hAnsi="Arial" w:cs="Arial"/>
          <w:sz w:val="15"/>
          <w:szCs w:val="15"/>
          <w:vertAlign w:val="subscript"/>
          <w:lang w:eastAsia="sr-Latn-RS"/>
        </w:rPr>
        <w:t>a</w:t>
      </w:r>
      <w:r w:rsidRPr="00984859">
        <w:rPr>
          <w:rFonts w:ascii="Arial" w:eastAsia="Times New Roman" w:hAnsi="Arial" w:cs="Arial"/>
          <w:lang w:eastAsia="sr-Latn-RS"/>
        </w:rPr>
        <w:t>, K</w:t>
      </w:r>
      <w:r w:rsidRPr="00984859">
        <w:rPr>
          <w:rFonts w:ascii="Arial" w:eastAsia="Times New Roman" w:hAnsi="Arial" w:cs="Arial"/>
          <w:sz w:val="15"/>
          <w:szCs w:val="15"/>
          <w:vertAlign w:val="subscript"/>
          <w:lang w:eastAsia="sr-Latn-RS"/>
        </w:rPr>
        <w:t>ow</w:t>
      </w:r>
      <w:r w:rsidRPr="00984859">
        <w:rPr>
          <w:rFonts w:ascii="Arial" w:eastAsia="Times New Roman" w:hAnsi="Arial" w:cs="Arial"/>
          <w:lang w:eastAsia="sr-Latn-RS"/>
        </w:rPr>
        <w:t xml:space="preserve">, napon pare i biorazgradljivost. Rastvorljivost u vodi i napon pare mogu se upotrebiti za izračunavanje konstante Henrijevog zakona, iz koje se može zaključiti da li u periodu ispitivanja očekivati značajne gubitke ispitivane supstance. To će pomoći da se utvrdi da li je potrebno preduzeti određene mere da se takvi gubici kontrolišu. Ako su podaci o rastvorljivosti i stabilnosti ispitivane supstance nesigurne, preporučuje se da se rastvorljivost i stabilnost ispitivane supstance procenjuje u uslovima ispitivanja tj. hranljiva podloga, temperatura, režim osvetljenja koji će se koristiti u toku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slučajevima kada je kontrolisanje pH vrednosti podloge za ispitivanje naročito važno, npr. kod ispitivanja metala ili supstanci koje su hidrolitički nestabilne, preporučuje se da se u hranljivu podlogu doda pufer (videti odeljak 1.7.4. ove metode). Dodatne smernice za ispitivanje supstance čija fizičko-hemijska svojstva otežavaju ispitivanje date su u literaturi</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1.5. REFERENTNA SUPSTANCA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Jedna ili više referentnih supstanci kao npr. 3,5-dihlorfenol korišćen u međunarodnom međulaboratorijskom ispitivanju</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mogu se ispitati za proveru postupka ispitivanja. Preporučljivo je da se referentna supstanca ispita najmanje dvaput godišnje ili, ako se ispitivanje sprovodi ređe, istovremeno sa određivanjem toksičnosti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1.6. VALIDNOST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ispitivanje bilo validno, vreme potrebno da se broj frondova u kontrolnom uzorku udvostruči je kraće od 2,5 dana (60 sati), što približno odgovara sedmorostrukom povećanju za sedam dana i prosečnoj specifičnoj brzini rasta od 0,275 d</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Uz podloge i uslove </w:t>
      </w:r>
      <w:r w:rsidRPr="00984859">
        <w:rPr>
          <w:rFonts w:ascii="Arial" w:eastAsia="Times New Roman" w:hAnsi="Arial" w:cs="Arial"/>
          <w:lang w:eastAsia="sr-Latn-RS"/>
        </w:rPr>
        <w:lastRenderedPageBreak/>
        <w:t>ispitivanja opisane u ovoj metodi ispitivanja ovaj kriterijum se može zadovoljiti primenom statičkog režima ispitivanja</w:t>
      </w:r>
      <w:r w:rsidRPr="00984859">
        <w:rPr>
          <w:rFonts w:ascii="Arial" w:eastAsia="Times New Roman" w:hAnsi="Arial" w:cs="Arial"/>
          <w:b/>
          <w:bCs/>
          <w:sz w:val="15"/>
          <w:szCs w:val="15"/>
          <w:vertAlign w:val="superscript"/>
          <w:lang w:eastAsia="sr-Latn-RS"/>
        </w:rPr>
        <w:t>8</w:t>
      </w:r>
      <w:r w:rsidRPr="00984859">
        <w:rPr>
          <w:rFonts w:ascii="Arial" w:eastAsia="Times New Roman" w:hAnsi="Arial" w:cs="Arial"/>
          <w:lang w:eastAsia="sr-Latn-RS"/>
        </w:rPr>
        <w:t xml:space="preserve">. Takođe se očekuje da će ovaj kriterijum moći da se ispuni u polustatičkim i protočnim uslovima ispitivanja. Izračunavanje vremena udvostručenja prikazano je u odeljku 2.1.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 OPIS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 Aparatura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 oprema koja dolazi u dodir sa podlogama za ispitivanje je izrađena od stakla ili drugog hemijski inertnog materijala. Staklena oprema koja se koristi za gajenje i ispitivanje je sterilna i očišćena od hemijskih zagađivača koji bi mogli dospeti u podlogu za ispitivanje. Sudovi za ispitivanje su dovoljno široki da frondovi različitih kolonija u sudovima sa kontrolom mogu rasti tako da na kraju ispitivanja ne dođe do njihovog preklapanja. Ne smeta ako korenje dodiruje dno suda za ispitivanje, ali preporučuje se da sve sudovi za ispitivanje imaju dubinu od najmanje 20 mm i zapreminu od najmanje 100 ml. Izbor suda za ispitivanje nije bitan sve dok su ovi zahtevi ispunjeni. Staklene čaše, sudovi za kristalizaciju i staklene petri šolje odgovarajućih dimenzija su se pokazali kao podesni. Sudove za ispitivanje prekriti kako bi se smanjilo isparavanje i slučajno zagađenje, ali pritom omogućiti nužan protok vazduha. Odgovarajući sudovi za ispitivanje, a naročito poklopci, ne smeju stvarati senku niti izazivati promene u karakteristikama spektra svetlosti.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Kulture i sudovi za ispitivanje se ne drže zajedno. To je najlakše postići ako se koriste odvojene komore za gajenje, inkubatori, odnosno prostorije. Osvetljenje i temperaturu kontrolisati i održavati na stalnom nivou (videti odeljak 1.7.8. ove metode).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1.7.2. Ispitivani organizam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Organizam koji se koristi za potrebe ovog ispitivanja je Lemna gibba ili </w:t>
      </w:r>
      <w:r w:rsidRPr="00984859">
        <w:rPr>
          <w:rFonts w:ascii="Arial" w:eastAsia="Times New Roman" w:hAnsi="Arial" w:cs="Arial"/>
          <w:i/>
          <w:iCs/>
          <w:lang w:eastAsia="sr-Latn-RS"/>
        </w:rPr>
        <w:t>Lemna minor</w:t>
      </w:r>
      <w:r w:rsidRPr="00984859">
        <w:rPr>
          <w:rFonts w:ascii="Arial" w:eastAsia="Times New Roman" w:hAnsi="Arial" w:cs="Arial"/>
          <w:lang w:eastAsia="sr-Latn-RS"/>
        </w:rPr>
        <w:t xml:space="preserve">. Kratak opis vrsta sočivice koje se koriste u ispitivanjima toksičnosti dat je u Dodatku 1. ove metode. Biljni materijal se može nabaviti u zbirkama kultura, iz druge laboratorije ili prikupiti na terenu. Ako se materijal prikuplja na terenu, biljke držati u kulturi na istoj podlozi kakva će se koristiti u ispitivanju, najmanje osam nedelja pre upotrebe. Mesta na kojima se prikupljaju polazne kulture ne smeju biti kontaminirana očiglednim izvorima zagađenja. Ako se kulture nabavljaju iz druge laboratorije ili iz zbirke kultura, držati ih u sličnim uslovima najmanje tri nedelje. Izvor biljnog materijala i vrstu i klon (ako je poznat) koji se koriste kod ispitivanja svaki put dokumentovati.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Treba koristiti monokulture kod kojih nisu prisutna vidljiva zagađenja drugim organizmima kao što su alge i protozoe. Zdrave biljke </w:t>
      </w:r>
      <w:r w:rsidRPr="00984859">
        <w:rPr>
          <w:rFonts w:ascii="Arial" w:eastAsia="Times New Roman" w:hAnsi="Arial" w:cs="Arial"/>
          <w:i/>
          <w:iCs/>
          <w:lang w:eastAsia="sr-Latn-RS"/>
        </w:rPr>
        <w:t>L. minor</w:t>
      </w:r>
      <w:r w:rsidRPr="00984859">
        <w:rPr>
          <w:rFonts w:ascii="Arial" w:eastAsia="Times New Roman" w:hAnsi="Arial" w:cs="Arial"/>
          <w:lang w:eastAsia="sr-Latn-RS"/>
        </w:rPr>
        <w:t xml:space="preserve"> sastoje se od kolonija koje sadrže između dva i pet frondova, dok zdrave kolonije </w:t>
      </w:r>
      <w:r w:rsidRPr="00984859">
        <w:rPr>
          <w:rFonts w:ascii="Arial" w:eastAsia="Times New Roman" w:hAnsi="Arial" w:cs="Arial"/>
          <w:i/>
          <w:iCs/>
          <w:lang w:eastAsia="sr-Latn-RS"/>
        </w:rPr>
        <w:t>L. gibba</w:t>
      </w:r>
      <w:r w:rsidRPr="00984859">
        <w:rPr>
          <w:rFonts w:ascii="Arial" w:eastAsia="Times New Roman" w:hAnsi="Arial" w:cs="Arial"/>
          <w:lang w:eastAsia="sr-Latn-RS"/>
        </w:rPr>
        <w:t xml:space="preserve"> mogu da imaju i do sedam frondova.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Kvalitet i jednolikost biljaka koje se koriste u ispitivanju imaju značajan uticaj na rezultate ispitivanja pa biljke pažljivo odabrati. Koristiti mlade, brzo rastuće biljke bez vidljivih oštećenja i promena boje (hloroza). Svojstvo kvalitetnih kultura je visok udeo kolonija koje sadrže najmanje dva lista. Veliki broj kolonija sa pojedinačnim frondom ukazuje na sredinski stres (npr. ograničena količina hranljivih materija) pa biljni materijal iz takvih kultura ne koristiti kod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1.7.3. Gajenje kulture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smanjili zahtevi održavanja kulture (npr. kad određeno vreme nisu planirana ispitivanja sa sočivicom), kulture se mogu držati pod smanjenim osvetljenjem i na nižoj temperaturi (4° C do 10° C). Informacije o uzgajanju date su u Dodatku 2. ove metode. U </w:t>
      </w:r>
      <w:r w:rsidRPr="00984859">
        <w:rPr>
          <w:rFonts w:ascii="Arial" w:eastAsia="Times New Roman" w:hAnsi="Arial" w:cs="Arial"/>
          <w:lang w:eastAsia="sr-Latn-RS"/>
        </w:rPr>
        <w:lastRenderedPageBreak/>
        <w:t xml:space="preserve">slučaju očiglednih znakova zagađenja algama i drugim organizmima, poduzorak frondova </w:t>
      </w:r>
      <w:r w:rsidRPr="00984859">
        <w:rPr>
          <w:rFonts w:ascii="Arial" w:eastAsia="Times New Roman" w:hAnsi="Arial" w:cs="Arial"/>
          <w:i/>
          <w:iCs/>
          <w:lang w:eastAsia="sr-Latn-RS"/>
        </w:rPr>
        <w:t>Lemna</w:t>
      </w:r>
      <w:r w:rsidRPr="00984859">
        <w:rPr>
          <w:rFonts w:ascii="Arial" w:eastAsia="Times New Roman" w:hAnsi="Arial" w:cs="Arial"/>
          <w:lang w:eastAsia="sr-Latn-RS"/>
        </w:rPr>
        <w:t xml:space="preserve"> podvrgnuti površinskoj sterilizaciji i preneti ga u svežu podlogu (videti Dodatak drugi ove metode). U ovom slučaju ostatak zagađene kulture baciti.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Najmanje sedam dana pre ispitivanja dovoljan broj kolonija aseptički preneti u svežu sterilnu podlogu i uzgajati 7 do 10 dana u uslovima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1.7.4. Podloga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vrste </w:t>
      </w:r>
      <w:r w:rsidRPr="00984859">
        <w:rPr>
          <w:rFonts w:ascii="Arial" w:eastAsia="Times New Roman" w:hAnsi="Arial" w:cs="Arial"/>
          <w:i/>
          <w:iCs/>
          <w:lang w:eastAsia="sr-Latn-RS"/>
        </w:rPr>
        <w:t>Lemna minor</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Lemna gibba</w:t>
      </w:r>
      <w:r w:rsidRPr="00984859">
        <w:rPr>
          <w:rFonts w:ascii="Arial" w:eastAsia="Times New Roman" w:hAnsi="Arial" w:cs="Arial"/>
          <w:lang w:eastAsia="sr-Latn-RS"/>
        </w:rPr>
        <w:t xml:space="preserve"> preporučuju se različite podloge, kako je opisano u daljem tekstu. Ako se sumnja da bi pH pufer u podlozi za ispitivanje (MOPS (4-morfolinpropan-sulfonska kiselina, CAS br. 1132-61-2, EINECS br. 214-478-5) za podlogu </w:t>
      </w:r>
      <w:r w:rsidRPr="00984859">
        <w:rPr>
          <w:rFonts w:ascii="Arial" w:eastAsia="Times New Roman" w:hAnsi="Arial" w:cs="Arial"/>
          <w:i/>
          <w:iCs/>
          <w:lang w:eastAsia="sr-Latn-RS"/>
        </w:rPr>
        <w:t>L. minor</w:t>
      </w:r>
      <w:r w:rsidRPr="00984859">
        <w:rPr>
          <w:rFonts w:ascii="Arial" w:eastAsia="Times New Roman" w:hAnsi="Arial" w:cs="Arial"/>
          <w:lang w:eastAsia="sr-Latn-RS"/>
        </w:rPr>
        <w:t xml:space="preserve"> i NaHCO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za podlogu </w:t>
      </w:r>
      <w:r w:rsidRPr="00984859">
        <w:rPr>
          <w:rFonts w:ascii="Arial" w:eastAsia="Times New Roman" w:hAnsi="Arial" w:cs="Arial"/>
          <w:i/>
          <w:iCs/>
          <w:lang w:eastAsia="sr-Latn-RS"/>
        </w:rPr>
        <w:t>L.gibba</w:t>
      </w:r>
      <w:r w:rsidRPr="00984859">
        <w:rPr>
          <w:rFonts w:ascii="Arial" w:eastAsia="Times New Roman" w:hAnsi="Arial" w:cs="Arial"/>
          <w:lang w:eastAsia="sr-Latn-RS"/>
        </w:rPr>
        <w:t>) mogao da reaguje sa ispitivanom supstancom i tako utiče na ekspresiju njene toksičnosti, razmisliti pre nego što se pufer doda u podlogu za ispitivanje. Prihvatljiva je i podloga Štajnberg</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pod uslovom da su zadovoljeni kriterijumi validnosti.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gajenje kulture i ispitivanje sa </w:t>
      </w:r>
      <w:r w:rsidRPr="00984859">
        <w:rPr>
          <w:rFonts w:ascii="Arial" w:eastAsia="Times New Roman" w:hAnsi="Arial" w:cs="Arial"/>
          <w:i/>
          <w:iCs/>
          <w:lang w:eastAsia="sr-Latn-RS"/>
        </w:rPr>
        <w:t>L. minor</w:t>
      </w:r>
      <w:r w:rsidRPr="00984859">
        <w:rPr>
          <w:rFonts w:ascii="Arial" w:eastAsia="Times New Roman" w:hAnsi="Arial" w:cs="Arial"/>
          <w:lang w:eastAsia="sr-Latn-RS"/>
        </w:rPr>
        <w:t xml:space="preserve"> preporučuje se izmenjena varijanta hranljive podloge Lemna prema švedskom standardu (SIS). Sastav ove podloge naveden je u Dodatku 3.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Hranljiva podloga 20X - AAP, opisana u Dodatku 3. ove metode, preporučuje se za uzgajanje kulture i ispitivanja sa </w:t>
      </w:r>
      <w:r w:rsidRPr="00984859">
        <w:rPr>
          <w:rFonts w:ascii="Arial" w:eastAsia="Times New Roman" w:hAnsi="Arial" w:cs="Arial"/>
          <w:i/>
          <w:iCs/>
          <w:lang w:eastAsia="sr-Latn-RS"/>
        </w:rPr>
        <w:t>L.gibba</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Podloga Štajnberg koja je opisana u Dodatku 3. pogodna je i za </w:t>
      </w:r>
      <w:r w:rsidRPr="00984859">
        <w:rPr>
          <w:rFonts w:ascii="Arial" w:eastAsia="Times New Roman" w:hAnsi="Arial" w:cs="Arial"/>
          <w:i/>
          <w:iCs/>
          <w:lang w:eastAsia="sr-Latn-RS"/>
        </w:rPr>
        <w:t>L. minor</w:t>
      </w:r>
      <w:r w:rsidRPr="00984859">
        <w:rPr>
          <w:rFonts w:ascii="Arial" w:eastAsia="Times New Roman" w:hAnsi="Arial" w:cs="Arial"/>
          <w:lang w:eastAsia="sr-Latn-RS"/>
        </w:rPr>
        <w:t xml:space="preserve">, ali se može koristiti i za </w:t>
      </w:r>
      <w:r w:rsidRPr="00984859">
        <w:rPr>
          <w:rFonts w:ascii="Arial" w:eastAsia="Times New Roman" w:hAnsi="Arial" w:cs="Arial"/>
          <w:i/>
          <w:iCs/>
          <w:lang w:eastAsia="sr-Latn-RS"/>
        </w:rPr>
        <w:t>L.gibba</w:t>
      </w:r>
      <w:r w:rsidRPr="00984859">
        <w:rPr>
          <w:rFonts w:ascii="Arial" w:eastAsia="Times New Roman" w:hAnsi="Arial" w:cs="Arial"/>
          <w:lang w:eastAsia="sr-Latn-RS"/>
        </w:rPr>
        <w:t xml:space="preserve"> pod uslovom da su zadovoljeni kriterijumi validnosti.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1.7.5. Rastvori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Rastvori za ispitivanje obično se pripremaju razređivanjem radnog rastvora. Radni rastvori ispitivane supstance se obično pripremaju rastvaranjem supstance u hranljivoj podlozi.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Najviša ispitivana koncentracija ispitivane supstance po pravilu ne sme da premaši rastvorljivost supstance u vodi u uslovima ispitivanja. Treba napomenuti da </w:t>
      </w:r>
      <w:r w:rsidRPr="00984859">
        <w:rPr>
          <w:rFonts w:ascii="Arial" w:eastAsia="Times New Roman" w:hAnsi="Arial" w:cs="Arial"/>
          <w:i/>
          <w:iCs/>
          <w:lang w:eastAsia="sr-Latn-RS"/>
        </w:rPr>
        <w:t>Lemna spp.</w:t>
      </w:r>
      <w:r w:rsidRPr="00984859">
        <w:rPr>
          <w:rFonts w:ascii="Arial" w:eastAsia="Times New Roman" w:hAnsi="Arial" w:cs="Arial"/>
          <w:lang w:eastAsia="sr-Latn-RS"/>
        </w:rPr>
        <w:t xml:space="preserve"> pluta na površini i da može biti izložena supstancama koja se skupljaju u međuprostoru voda - vazduh (npr. supstance koje su slabo rastvorljive u vodi, hidrofobne supstance, površinski aktivne supstance). Pod takvim okolnostima izlaganje proizilazi od supstance koja se nalazi izvan rastvora i ispitivane koncentracije mogu, zavisno od svojstava ispitivane supstance, premašivati rastvorljivost u vodi. Kod ispitivanih supstanci niske rastvorljivosti u vodi ponekad je potrebno pripremiti koncentrovani radni rastvor ili disperziju supstanci koristeći organski rastvarač ili sredstvo za dispergovanje, kako bi se olakšalo dodavanje tačnih količina ispitivane supstance u podlogu za ispitivanje i pospešilo njeno dispergovanje i rastvaranje. Treba nastojati da se izbegne korišćenje takvih materijala kad god je to moguće. Upotrebljeni pomoćni rastvarači odnosno sredstva za dispergovanje ne bi smeli da imaju fitotoksično dejstvo. Na primer, u obično korišćene rastvarače u širokoj upotrebi koji nemaju fitotoksično dejstvo u koncentracijama do 100 μl·l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obuhvataju aceton i dimetilformamid. Ako se koristi rastvarač ili sredstvo za dispergovanje, navesti njegovu konačnu koncentraciju i održavati je na minimumu (≤ 100 μl·l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a sve obrade i kontrole potrebno je da sadrže istu koncentraciju rastvarača odnosno sredstva za dispergovanje. Dodatne smernice o upotrebi dispergenata navedene su u literaturi</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1.7.6. Ispitivane i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Prethodna saznanja o toksičnosti ispitivane supstance po sočivici, npr. na osnovu ispitivanja za određivanje opsega, mogu pomoći u izboru odgovarajućih ispitivanih koncentracija. Kod konačnog ispitivanja toksičnosti obično je potrebno najmanje pet ispitivanih koncentracija raspoređenih u geometrijskom nizu. Ispitivane koncentracije se po mogućstvu ne bi smele razlikovati za faktor viši od 3,2, ali može se koristiti i viša vrednost ako je kriva koncentracija-odgovor ravna. Ako se koristi manje od pet koncentracija, dati obrazloženje. Za svaku ispitivanu koncentraciju potrebno je najmanje tri ponavljanja.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Kod određivanja opsega ispitivanih koncentracija (za određivanje opsega i/ili konačno ispitivanje toksičnosti) uzeti u obzir sledeće: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Da bi se kod određivanja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obezbedio potreban nivo pouzdanosti, vrednost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se nalazi između najviše i najniže ispitivane koncentracije. Na primer, ako se procenjuje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najviša ispitivana koncentracija je viša od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Ako se vrednost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nalazi izvan opsega ispitivanih koncentracija, pripadajući intervali poverenja biće veliki i možda neće biti moguće ispravno oceniti statističku podesnost modela.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Ako je cilj da se proceni LOEC/NOEC, najniža ispitivana koncentracija je dovoljno niska da rast ne bude značajno niži od rasta u kontrolnoj grupi. Isto tako, najviša ispitivana koncentracija je potrebno da bude dovoljno visoka da rast bude značajno niži nego u kontrolnoj grupi. Ako to nije slučaj, ispitivanje ponoviti s drugim rasponom koncentracija (osim ako je najviša koncentracija na granici rastvorljivost ili je jednaka maksimalnoj potrebnoj graničnoj koncentraciji, npr. 100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Svako ispitivanje obuhvata kontrole sa istom hranljivom podlogom, istim brojem frondova i kolonija, sredinskim uslovima i postupcima kao kod sudova za ispitivanje, ali bez ispitivane supstance. Ako se koristi pomoćni rastvarač ili sredstvo za dispergovanje, potrebna je dodatna kontrola koja sadrži istu koncentraciju rastvarača/sredstva za dispergovanje kao sudovi sa ispitivanom supstancom. Broj sudova sa kontrolnim ponavljanjima (i sudova sa rastvaračem, ako se koristi) je najmanje jednak broju sudova koji se koriste za svaku ispitivanu koncentraciju, a po mogućstvu i dvostruko veći.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nije potrebno da se odredi NOEC, postavka ispitivanja se može izmeniti tako da se poveća broj koncentracija i smanji broj ponavljanja po koncentraciji. Broj kontrolnih ponavljanja je najmanje tri.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1.7.7. Izlaganje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Kolonije koje se sastoje od 2 do 4 vidljiva fronda prenesu se iz kulture inokuluma i nasumično raspodele po sudovima za ispitivanje pod aseptičnim uslovima. Svaki sud za ispitivanje sadrži ukupno 9 do 12 frondova. Broj frondova i kolonija je jednak u svim sudovima za ispitivanje. Iskustva sa ovim metodom i podaci iz međulaboratorijskog ispitivanja pokazuju da je dovoljno koristiti tri ponavljanja po obradi, od kojih svako u početku sadrži 9 do 12 frondova, da se između obrada utvrde razlike u rastu na nivou inhibicije od oko 4% do 7%, izračunato na osnovu brzine rasta (10% do 15% izračunato na osnovu prirasta)</w:t>
      </w:r>
      <w:r w:rsidRPr="00984859">
        <w:rPr>
          <w:rFonts w:ascii="Arial" w:eastAsia="Times New Roman" w:hAnsi="Arial" w:cs="Arial"/>
          <w:b/>
          <w:bCs/>
          <w:sz w:val="15"/>
          <w:szCs w:val="15"/>
          <w:vertAlign w:val="superscript"/>
          <w:lang w:eastAsia="sr-Latn-RS"/>
        </w:rPr>
        <w:t>10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Sudove za ispitivanje nasumično rasporediti po inkubatoru kako bi se smanjio uticaj prostornih razlika u intenzitetu osvetljenja ili temperaturi. Osim toga, prilikom opažanja primeniti blok sistem ili slučajno razmeštanje sudova (ili češće razmeštanje).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preliminarno ispitivanje stabilnosti pokaže da se koncentracija ispitivane supstance ne može održati (tj. izmerena koncentracija padne ispod 80% izmerene početne koncentracije) u toku perioda ispitivanja (7 dana), preporučuje se polustatički režim ispitivanja. U tom </w:t>
      </w:r>
      <w:r w:rsidRPr="00984859">
        <w:rPr>
          <w:rFonts w:ascii="Arial" w:eastAsia="Times New Roman" w:hAnsi="Arial" w:cs="Arial"/>
          <w:lang w:eastAsia="sr-Latn-RS"/>
        </w:rPr>
        <w:lastRenderedPageBreak/>
        <w:t>slučaju kolonije izložiti sveže pripremljenim ispitivanim i kontrolnim rastvorima najmanje dvaput tokom ispitivanja (npr 3. dan i 5. dan). Učestalost izlaganja svežoj podlozi zavisiće od stabilnosti ispitivane supstance; u slučaju jako nestabilnih i isparljivih supstanci potrebno je češće izlaganje svežoj podlozi da bi se održale približno stalne koncentracije. U određenim okolnostima može biti potrebna primena protočnog postupka</w:t>
      </w:r>
      <w:r w:rsidRPr="00984859">
        <w:rPr>
          <w:rFonts w:ascii="Arial" w:eastAsia="Times New Roman" w:hAnsi="Arial" w:cs="Arial"/>
          <w:b/>
          <w:bCs/>
          <w:sz w:val="15"/>
          <w:szCs w:val="15"/>
          <w:vertAlign w:val="superscript"/>
          <w:lang w:eastAsia="sr-Latn-RS"/>
        </w:rPr>
        <w:t>11,13</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Ova metoda ispitivanja ne obuhvata scenario izlaganja kod folijarne primene (sprej), umesto toga videti literaturu</w:t>
      </w:r>
      <w:r w:rsidRPr="00984859">
        <w:rPr>
          <w:rFonts w:ascii="Arial" w:eastAsia="Times New Roman" w:hAnsi="Arial" w:cs="Arial"/>
          <w:b/>
          <w:bCs/>
          <w:sz w:val="15"/>
          <w:szCs w:val="15"/>
          <w:vertAlign w:val="superscript"/>
          <w:lang w:eastAsia="sr-Latn-RS"/>
        </w:rPr>
        <w:t>14</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1.7.8. Uslovi inkubacije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Potrebno je koristiti neprekidno toplo ili hladno belo fluorescentno osvetljenje čiji intenzitet odabrati u rasponu od 85 μE·m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do 135 μE·m</w:t>
      </w:r>
      <w:r w:rsidRPr="00984859">
        <w:rPr>
          <w:rFonts w:ascii="Arial" w:eastAsia="Times New Roman" w:hAnsi="Arial" w:cs="Arial"/>
          <w:sz w:val="15"/>
          <w:szCs w:val="15"/>
          <w:vertAlign w:val="superscript"/>
          <w:lang w:eastAsia="sr-Latn-RS"/>
        </w:rPr>
        <w:t>-2</w:t>
      </w:r>
      <w:r w:rsidRPr="00984859">
        <w:rPr>
          <w:rFonts w:ascii="Arial" w:eastAsia="Times New Roman" w:hAnsi="Arial" w:cs="Arial"/>
          <w:lang w:eastAsia="sr-Latn-RS"/>
        </w:rPr>
        <w:t>·s</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mereno u oblasti fotosintetički aktivnog zračenja (400 nm do 700 nm) u tačkama koje su jednako udaljene od izvora svetla i frondova sočivice (što odgovara 6.500 lux do 10.000 lux). Odstupanja od odabranog intenziteta svetla u ispitivanom prostoru ne smeju biti viša od ± 15%. Na izmerenu vrednost uticaće metod detekcije i merenja svetla, naročito vrsta senzora. Sferičnim senzorima (koji reaguju na svetlo iz svih uglova iznad i ispod merne ravni) i kosinusnim senzorima (koji reaguju na svetlo iz svih uglova iznad merne ravni) daje se prednost u odnosu na usmerene senzore jer daju viša očitavanja kod izvora svetlosti iz više tačaka kakav je ovde opisan.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Temperatura u sudovima za ispitivanje je 24° C ± 2° C. pH vrednost kontrolne podloge se tokom ispitivanja ne sme povećati za više od 1,5 jedinica. Odstupanje za više od 1,5 jedinica ne dovodi u pitanje validnost ispitivanja ako se može dokazati da su zadovoljeni kriterijumi validnosti. Pomak pH vrednosti ipak u nekim posebnim slučajevima zahteva dodatan oprez npr. kad se ispituju nestabilne supstance i metali.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1.7.9. Trajanje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Ispitivanje se prekida 7 dana nakon što se biljke prenesu u sudove za ispitivanje.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1.7.10. Merenja i analitička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 početku ispitivanja izbroje se listovi u svim sudovima za ispitivanje i zabeleži broj frondova, vodeći računa da se uzmu u obzir svi istureni, jasno vidljivi frondovi. Broj frondova normalnog i promenjenog izgleda odrediti na početku ispitivanja, najmanje jednom svaka 3 dana tokom perioda izlaganja (tj. najmanje 2 puta u periodu od 7 dana) i po završetku ispitivanja. Treba zabeležiti sve promene u razvoju biljaka npr. veličina frondova, izgled, naznake nekroze, hloroze ili nabrekline, raspadanje kolonija, gubitak sposobnosti plivanja kao i promene dužine i izgleda korenja. Takođe zabeležiti značajna svojstva podloge koja se koristi tokom ispitivanja (npr. prisutnost nerastvorenog materijala, rast algi u sudu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Osim određivanja broja frondova tokom ispitivanja, potrebno je oceniti efekte ispitivane supstance na jednu (ili više) sledećih mernih promenljivih: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ukupna površina frondova;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suva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sveža masa.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Određivanje ukupne površine frondova ima prednost zato što se može odrediti u svakom ispitivanom i kontrolnom sudu na početku, za vreme i na kraju ispitivanja. Suva odnosno sveža masa određuje se na početku ispitivanja - na uzorku kulture inokuluma koja je reprezentativna za materijal koji se koristi na početku ispitivanja, i na kraju ispitivanja - na biljnom materijalu iz svakog ispitivanog i kontrolnog suda. Ako se ne meri površina frondova, suvoj masi se daje prednost u odnosu na svežu masu.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Ukupna površina frondova, suva masa i sveža masa mogu se odrediti na sledeći način: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Ukupna površina frondova: Ukupna površina frondova svih kolonija može se odrediti analizom slike. Obris suda za ispitivanje i biljaka snimi se video-kamerom (npr. posuda se položi na rasvetnu kutiju) i dobijena slika se digitalizuje. Ukupna površina frondova u posudi za ispitivanje može se zatim odrediti kalibracijom sa ravnim oblicima poznate površine. Pri tom voditi računa da se isključi uticaj ivice suda za ispitivanje. Drugi, nešto zamorniji postupak je da se sud za ispitivanje i biljke fotokopiraju, dobijeni obris kolonija iseče i odredi površina uz pomoć analizatora površine frondova ili milimetarskog papira. Mogu biti pogodne i druge tehnike (npr. odnos papirne mase između površine obrisa kolonija i jedinične površine).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Suva masa: Izvade se sve kolonije iz sudova za ispitivanje i isperu destilovanom ili dejonizovanom vodom. Višak vode se upije papirom i kolonije suše na 60° C dok se ne postigne stalna masa. Treba uključiti sve ostatke korenja. Suvu masu izraziti sa tačnošću od najmanje 0,1 mg.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Sveža masa: Sve kolonije se prenesu u prethodno izvagane polistirenske epruvete (ili epruvete od drugog inertnog materijala) koje u zaobljenom dnu imaju sitne rupice (1 mm). Epruvete se zatim 10 minuta centrifugiraju na 3.000 o/min pri sobnoj temperaturi. Epruvete, koje sada sadrže osušene kolonije, ponovo se izmere i izračuna se sveža masa oduzimanjem mase prazne epruvete.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1.7.10.1. Učestalost merenja i analitičkih određivanja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primenjuje statički postupak, pH vrednost se meri u svakoj obradi na početku i na kraju ispitivanja. Ukoliko se koristi polustatički postupak pH izmeriti u svakoj šarži svežeg ispitivanog rastvora pre svakog obnavljanja kao i u odgovarajućim potrošenim rastvorima.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Intenzitet svetla meri se u komori za uzgajanje, inkubatoru odnosno prostoriji u tačkama koje su jednako udaljene od izvora svetla i frondova sočivice. Merenja se vrše najmanje jednom tokom ispitivanja. Osim toga, najmanje jednom dnevno beležiti temperaturu podloge u jednom zamenskom ("surogat") sudu koji se drži u istim uslovima u komori za uzgajanje, inkubatoru odnosno prostoriji.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Tokom ispitivanja, koncentracije ispitivane supstance određuju se u odgovarajućim intervalima. Kod statičkog ispitivanja koncentracije odrediti najmanje na početku i na kraju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u slučaju polustatičkog ispitivanja pretpostavlja da koncentracija ispitivane supstance neće ostati u granicama ± 20% nominalne koncentracije, potrebno je analizirati sve sveže pripremljene ispitivane rastvore i zatim ponoviti analizu kod svakog obnavljanja (videti odeljak 1.7.7. ove metode). Kod ispitivanja gde izmerena početna koncentracija ispitivane supstance nije u granicama ± 20% nominalne koncentracije, ali ima dovoljno dokaza da su početne koncentracije ponovljive i stabilne (tj. u rasponu 80% do 120% početne koncentracije), hemijska određivanja se mogu sprovoditi samo na najvišoj i najnižoj ispitivanoj koncentraciji. U svakom slučaju, određivanje koncentracija ispitivane supstance </w:t>
      </w:r>
      <w:r w:rsidRPr="00984859">
        <w:rPr>
          <w:rFonts w:ascii="Arial" w:eastAsia="Times New Roman" w:hAnsi="Arial" w:cs="Arial"/>
          <w:lang w:eastAsia="sr-Latn-RS"/>
        </w:rPr>
        <w:lastRenderedPageBreak/>
        <w:t xml:space="preserve">pre obnavljanja obaviti samo na jednom sudu za svaku ispitivanu koncentraciju (ili na sastavljenom sadržaju posuda ponavljanja).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se primenjuje protočni postupak, koristi se sličan režim uzorkovanja kao što je onaj koji je opisan za polustatička ispitivanja, uključujući analizu na početku, u sredini i na kraju ispitivanja, s tim da ovde nema merenja istrošenog rastvora. Kod ovakvih ispitivanja svakodnevno proveravati brzinu protoka vode za razređivanje i ispitivane supstance, odnosno radnog rastvora ispitivane supstance.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se može dokazati da se koncentracija ispitivane supstance tokom ukupnog trajanja ispitivanja na zadovoljavajući način održava u granicama ± 20% nominalne ili izmerene početne koncentracije, analiza rezultata se može zasnivati na nominalnim ili izmerenim početnim vrednostima. Ako je odstupanje od nominalne odnosno izmerene početne koncentracije veće od ± 20%, analiza rezultata zasniva se na srednjoj geometrijskoj koncentraciji tokom izlaganja ili modelima koji opisuju opadanje koncentracije ispitivane supstance</w:t>
      </w:r>
      <w:r w:rsidRPr="00984859">
        <w:rPr>
          <w:rFonts w:ascii="Arial" w:eastAsia="Times New Roman" w:hAnsi="Arial" w:cs="Arial"/>
          <w:b/>
          <w:bCs/>
          <w:sz w:val="15"/>
          <w:szCs w:val="15"/>
          <w:vertAlign w:val="superscript"/>
          <w:lang w:eastAsia="sr-Latn-RS"/>
        </w:rPr>
        <w:t>11</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1.7.11. Granično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U određenim okolnostima, npr. kad preliminarno ispitivanje ukazuje na to da ispitivana supstanca nema toksično dejstvo u koncentracijama do 100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ili do njene granice rastvorljivosti u podlozi za ispitivanje (zavisno od toga šta je manje), moguće je obaviti granično ispitivanje kako bi se odgovor ispitivane grupe (100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ili koncentracija jednaka granici rastvorljivosti) uporedio sa kontrolnom grupom. Preporučuje se da se uz granično ispitivanje svakako izvrši analiza koncentracije izlaganja. Za granično ispitivanje važe svi pomenuti uslovi ispitivanja i kriterijumi validnosti, s tim da broj ponavljanja u ispitivanoj grupi udvostručiti. Rast u kontrolnoj i ispitivanoj grupi može se analizirati statističkim testom za poređenje srednjih vrednosti, npr. Studentov t-test.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 PODACI I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2.1. VREME UDVOSTRUČENJA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Da bi se odredilo vreme koje je potrebno da se broj frondova udvostruči (T</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i utvrdilo da li istraživanje ispunjava ovaj kriterijum validnosti (videti odeljak 1.6. ove metode), sa podacima dobijenim iz sudova sa kontrolom koristi se formula: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T</w:t>
      </w:r>
      <w:r w:rsidRPr="00984859">
        <w:rPr>
          <w:rFonts w:ascii="Arial" w:eastAsia="Times New Roman" w:hAnsi="Arial" w:cs="Arial"/>
          <w:sz w:val="15"/>
          <w:szCs w:val="15"/>
          <w:vertAlign w:val="subscript"/>
          <w:lang w:eastAsia="sr-Latn-RS"/>
        </w:rPr>
        <w:t>d</w:t>
      </w:r>
      <w:r w:rsidRPr="00984859">
        <w:rPr>
          <w:rFonts w:ascii="Arial" w:eastAsia="Times New Roman" w:hAnsi="Arial" w:cs="Arial"/>
          <w:lang w:eastAsia="sr-Latn-RS"/>
        </w:rPr>
        <w:t xml:space="preserve"> = </w:t>
      </w:r>
      <w:r w:rsidRPr="00984859">
        <w:rPr>
          <w:rFonts w:ascii="Arial" w:eastAsia="Times New Roman" w:hAnsi="Arial" w:cs="Arial"/>
          <w:i/>
          <w:iCs/>
          <w:lang w:eastAsia="sr-Latn-RS"/>
        </w:rPr>
        <w:t>ln</w:t>
      </w:r>
      <w:r w:rsidRPr="00984859">
        <w:rPr>
          <w:rFonts w:ascii="Arial" w:eastAsia="Times New Roman" w:hAnsi="Arial" w:cs="Arial"/>
          <w:lang w:eastAsia="sr-Latn-RS"/>
        </w:rPr>
        <w:t xml:space="preserve"> 2/</w:t>
      </w:r>
      <w:r w:rsidRPr="00984859">
        <w:rPr>
          <w:rFonts w:ascii="Arial" w:eastAsia="Times New Roman" w:hAnsi="Arial" w:cs="Arial"/>
          <w:i/>
          <w:iCs/>
          <w:lang w:eastAsia="sr-Latn-RS"/>
        </w:rPr>
        <w:t>μ</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gde je prosečna specifična brzina rasta m određena na način kako je opisano u odeljku 2.2.1 ove metode.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2.2. PROMENLJIVE VELIČINE ODGOVORA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Svrha ispitivanja je da se utvrde efekti ispitivane supstance na vegetativni rast sočivice. U ovoj metodi ispitivanja opisane su dve promenljive veličine odgovora, budući da države članice imaju različite povlastice i regulatorne zahteve. Da bi rezultati ispitivanja bili prihvatljivi u svim državama članicama, efekte procenjivati primenom obe promenljive veličine odgovora i to: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 Prosečne specifične brzine rasta. Ova promenljiva veličina odgovora izračunava se na osnovu promena logaritama broja frondova i, osim toga, na osnovu promena logaritama nekog drugog mernog parametra (ukupna površina frondova, suva masa ili sveža masa) u </w:t>
      </w:r>
      <w:r w:rsidRPr="00984859">
        <w:rPr>
          <w:rFonts w:ascii="Arial" w:eastAsia="Times New Roman" w:hAnsi="Arial" w:cs="Arial"/>
          <w:lang w:eastAsia="sr-Latn-RS"/>
        </w:rPr>
        <w:lastRenderedPageBreak/>
        <w:t>vremenu (izraženo po danu) u kontrolama i svim ispitivanim grupama. Ona se ponekad naziva i relativna brzina rasta</w:t>
      </w:r>
      <w:r w:rsidRPr="00984859">
        <w:rPr>
          <w:rFonts w:ascii="Arial" w:eastAsia="Times New Roman" w:hAnsi="Arial" w:cs="Arial"/>
          <w:b/>
          <w:bCs/>
          <w:sz w:val="15"/>
          <w:szCs w:val="15"/>
          <w:vertAlign w:val="superscript"/>
          <w:lang w:eastAsia="sr-Latn-RS"/>
        </w:rPr>
        <w:t>15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b) Prirasta. Ova promenljiva veličina odgovora izračunava se na osnovu promena broja frondova i, osim toga, na osnovu promena nekog drugog mernog parametra (ukupna površina frondova, suva masa ili sveža masa) u kontrolama i svim ispitivanim grupama do kraja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Treba napomenuti da vrednosti toksičnosti izračunate primenom te dve promenljive veličine odgovora nisu uporedive i tu razliku uzeti u obzir kod korišćenja rezultata ispitivanja. Ako su poštovani uslovi ispitivanja ove metode, vrednosti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koje se zasnivaju na prosečnoj specifičnoj brzini rasta (E</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uglavnom će biti više od rezultata na zasnovanih na prirastu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zbog razlike u matematičkoj osnovi ta dva pristupa. To ne tumačiti kao razliku u osetljivosti dve promenljive veličine odgovora, već prosto prihvatiti da su te vrednosti matematički različite. Pojam prosečne specifične brzine rasta zasniva se na opštem obrascu eksponencijalnog rasta sočivice u neograničenim kulturama, gde se toksičnost procenjuje na osnovu efekata na brzinu rasta nezavisno od apsolutne vrednosti specifične brzine rasta u kontrolnoj grupi, nagiba krive koncentracija-odgovor ili trajanja ispitivanja. Za razliku od toga, rezultati koji se zasnivaju na promenljivoj veličini odgovora "prirast" zavise od svih tih drugih promenljivih veličina.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zavisi od specifične brzine rasta vrsta sočivice koje se koriste u svakom ispitivanju i od maksimalne specifične brzine rasta koja se može razlikovati između vrsta sočivice, pa čak i između klonova. Ovu promenljivu odgovora ne koristiti za upoređivanje osetljivosti na otrove među vrstama sočivice, pa čak ni među različitim klonovima. Iako se, sa naučne tačke gledišta, proceni toksičnosti na osnovu prosečne specifične brzine rasta daje prednost, u ovu metoda ispitivanja uključene su i procene na osnovu prirasta kako bi se zadovoljili trenutni regulatorni zahtevi u nekim državama.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Procene toksičnosti zasnivati na broju frondova i jednoj dodatnoj mernoj promenljivoj (ukupna površina frondova, suva masa ili sveža masa) budući da neke supstance znatno više utiču na neke druge merne promenljive nego na broj frondova. Taj bi uticaj ostao neotkriven kad bi se samo računao broj frondova.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Broj frondova kao i sve druge dokumentovane merne promenljive, tj. ukupna površina frondova, suva masa ili sveža masa, se unose u tabelu, zajedno sa koncentracijama ispitivane supstance pri svakom merenju. Kasnija analiza podataka, npr. za procenu vrednosti LOEC, NOEC ili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zasniva se na vrednostima pojedinačnih ponavljanja, a ne na izračunatim srednjim vrednostima po ispitivanim grupama.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2.2.1. Prosečna specifična brzina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Prosečna specifična brzina rasta za određeni period izračunava se kao logaritamsko povećanje promenljivih veličina rasta - broj frondova i još jedna merna promenljiva (ukupna površina frondova, suva masa ili sveža masa) - primenom formule u daljem tekstu za svako ponavljanje u kontrolama i obradama: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18"/>
        <w:gridCol w:w="1215"/>
        <w:gridCol w:w="7679"/>
      </w:tblGrid>
      <w:tr w:rsidR="00984859" w:rsidRPr="00984859" w:rsidTr="00984859">
        <w:trPr>
          <w:tblCellSpacing w:w="0" w:type="dxa"/>
        </w:trPr>
        <w:tc>
          <w:tcPr>
            <w:tcW w:w="2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µ</w:t>
            </w:r>
            <w:r w:rsidRPr="00984859">
              <w:rPr>
                <w:rFonts w:ascii="Arial" w:eastAsia="Times New Roman" w:hAnsi="Arial" w:cs="Arial"/>
                <w:sz w:val="15"/>
                <w:szCs w:val="15"/>
                <w:vertAlign w:val="subscript"/>
                <w:lang w:eastAsia="sr-Latn-RS"/>
              </w:rPr>
              <w:t>i-j</w:t>
            </w:r>
            <w:r w:rsidRPr="00984859">
              <w:rPr>
                <w:rFonts w:ascii="Arial" w:eastAsia="Times New Roman" w:hAnsi="Arial" w:cs="Arial"/>
                <w:lang w:eastAsia="sr-Latn-RS"/>
              </w:rPr>
              <w:t xml:space="preserve"> = </w:t>
            </w:r>
          </w:p>
        </w:tc>
        <w:tc>
          <w:tcPr>
            <w:tcW w:w="450" w:type="pct"/>
            <w:tcBorders>
              <w:top w:val="single" w:sz="2" w:space="0" w:color="000000"/>
              <w:left w:val="single" w:sz="2" w:space="0" w:color="000000"/>
              <w:bottom w:val="single" w:sz="6" w:space="0" w:color="000000"/>
              <w:right w:val="single" w:sz="2" w:space="0" w:color="000000"/>
            </w:tcBorders>
            <w:noWrap/>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ln(N</w:t>
            </w:r>
            <w:r w:rsidRPr="00984859">
              <w:rPr>
                <w:rFonts w:ascii="Arial" w:eastAsia="Times New Roman" w:hAnsi="Arial" w:cs="Arial"/>
                <w:i/>
                <w:iCs/>
                <w:sz w:val="15"/>
                <w:szCs w:val="15"/>
                <w:vertAlign w:val="subscript"/>
                <w:lang w:eastAsia="sr-Latn-RS"/>
              </w:rPr>
              <w:t>j</w:t>
            </w:r>
            <w:r w:rsidRPr="00984859">
              <w:rPr>
                <w:rFonts w:ascii="Arial" w:eastAsia="Times New Roman" w:hAnsi="Arial" w:cs="Arial"/>
                <w:i/>
                <w:iCs/>
                <w:lang w:eastAsia="sr-Latn-RS"/>
              </w:rPr>
              <w:t xml:space="preserve">) </w:t>
            </w:r>
            <w:r w:rsidRPr="00984859">
              <w:rPr>
                <w:rFonts w:ascii="Symbol" w:eastAsia="Times New Roman" w:hAnsi="Symbol" w:cs="Arial"/>
                <w:i/>
                <w:iCs/>
                <w:lang w:eastAsia="sr-Latn-RS"/>
              </w:rPr>
              <w:t></w:t>
            </w:r>
            <w:r w:rsidRPr="00984859">
              <w:rPr>
                <w:rFonts w:ascii="Arial" w:eastAsia="Times New Roman" w:hAnsi="Arial" w:cs="Arial"/>
                <w:i/>
                <w:iCs/>
                <w:lang w:eastAsia="sr-Latn-RS"/>
              </w:rPr>
              <w:t xml:space="preserve"> ln(N</w:t>
            </w:r>
            <w:r w:rsidRPr="00984859">
              <w:rPr>
                <w:rFonts w:ascii="Arial" w:eastAsia="Times New Roman" w:hAnsi="Arial" w:cs="Arial"/>
                <w:i/>
                <w:iCs/>
                <w:sz w:val="15"/>
                <w:szCs w:val="15"/>
                <w:vertAlign w:val="subscript"/>
                <w:lang w:eastAsia="sr-Latn-RS"/>
              </w:rPr>
              <w:t>i</w:t>
            </w:r>
            <w:r w:rsidRPr="00984859">
              <w:rPr>
                <w:rFonts w:ascii="Arial" w:eastAsia="Times New Roman" w:hAnsi="Arial" w:cs="Arial"/>
                <w:i/>
                <w:iCs/>
                <w:lang w:eastAsia="sr-Latn-RS"/>
              </w:rPr>
              <w:t xml:space="preserve">) </w:t>
            </w:r>
          </w:p>
        </w:tc>
        <w:tc>
          <w:tcPr>
            <w:tcW w:w="4350" w:type="pct"/>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t </w:t>
            </w:r>
          </w:p>
        </w:tc>
        <w:tc>
          <w:tcPr>
            <w:tcW w:w="0" w:type="auto"/>
            <w:hideMark/>
          </w:tcPr>
          <w:p w:rsidR="00984859" w:rsidRPr="00984859" w:rsidRDefault="00984859" w:rsidP="00984859">
            <w:pPr>
              <w:spacing w:after="0" w:line="240" w:lineRule="auto"/>
              <w:rPr>
                <w:rFonts w:ascii="Times New Roman" w:eastAsia="Times New Roman" w:hAnsi="Times New Roman" w:cs="Times New Roman"/>
                <w:sz w:val="24"/>
                <w:szCs w:val="24"/>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µ</w:t>
      </w:r>
      <w:r w:rsidRPr="00984859">
        <w:rPr>
          <w:rFonts w:ascii="Arial" w:eastAsia="Times New Roman" w:hAnsi="Arial" w:cs="Arial"/>
          <w:sz w:val="15"/>
          <w:szCs w:val="15"/>
          <w:vertAlign w:val="subscript"/>
          <w:lang w:eastAsia="sr-Latn-RS"/>
        </w:rPr>
        <w:t>i-j</w:t>
      </w:r>
      <w:r w:rsidRPr="00984859">
        <w:rPr>
          <w:rFonts w:ascii="Arial" w:eastAsia="Times New Roman" w:hAnsi="Arial" w:cs="Arial"/>
          <w:lang w:eastAsia="sr-Latn-RS"/>
        </w:rPr>
        <w:t xml:space="preserve"> jeste prosečna specifična brzina rasta od vremena i do vremena 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w:t>
      </w:r>
      <w:r w:rsidRPr="00984859">
        <w:rPr>
          <w:rFonts w:ascii="Arial" w:eastAsia="Times New Roman" w:hAnsi="Arial" w:cs="Arial"/>
          <w:sz w:val="15"/>
          <w:szCs w:val="15"/>
          <w:vertAlign w:val="subscript"/>
          <w:lang w:eastAsia="sr-Latn-RS"/>
        </w:rPr>
        <w:t>i</w:t>
      </w:r>
      <w:r w:rsidRPr="00984859">
        <w:rPr>
          <w:rFonts w:ascii="Arial" w:eastAsia="Times New Roman" w:hAnsi="Arial" w:cs="Arial"/>
          <w:lang w:eastAsia="sr-Latn-RS"/>
        </w:rPr>
        <w:t xml:space="preserve"> jeste merna promenljiva u ispitivanom ili kontrolnom sudu i u vremenu 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N</w:t>
      </w:r>
      <w:r w:rsidRPr="00984859">
        <w:rPr>
          <w:rFonts w:ascii="Arial" w:eastAsia="Times New Roman" w:hAnsi="Arial" w:cs="Arial"/>
          <w:sz w:val="15"/>
          <w:szCs w:val="15"/>
          <w:vertAlign w:val="subscript"/>
          <w:lang w:eastAsia="sr-Latn-RS"/>
        </w:rPr>
        <w:t>j</w:t>
      </w:r>
      <w:r w:rsidRPr="00984859">
        <w:rPr>
          <w:rFonts w:ascii="Arial" w:eastAsia="Times New Roman" w:hAnsi="Arial" w:cs="Arial"/>
          <w:lang w:eastAsia="sr-Latn-RS"/>
        </w:rPr>
        <w:t xml:space="preserve"> jeste merna promenljiva u ispitivanom ili kontrolnom sudu u vremenu 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 jeste vremenski period od i do j.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svaku ispitivanu i kontrolnu grupu izračunati srednju vrednost brzine rasta sa procenom varijanse.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Prosečnu specifičnu brzinu rasta izračunati za čitav period ispitivanja (vreme "i" na navedenoj formuli jeste početak ispitivanja, a vreme "j" jeste kraj ispitivanja). Za svaku ispitnu koncentraciju i kontrolu izračunati srednju vrednost specifične brzine rasta sa procenom varijanse. Osim toga, ocenjuje se etapna brzina rasta kako bi se ocenili efekti ispitivane supstance koji se javljaju tokom perioda izlaganja (npr. pregledom logaritamski transformiranih krivih rasta). Značajne razlike između etapne brzine rasta i prosečne brzine rasta ukazuju na odstupanje od stalnog eksponencijalnog rasta i upozoravaju da je potrebno detaljno preispitivanje kriva rasta. Konzervativniji pristup u ovakvim slučajevima bio bi da se uporede specifične brzine rasta obrađenih kultura u periodu maksimalne inhibicije sa specifičnim brzinama rasta kontrolnih kultura tokom istog perioda.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Procenat inhibicije brzine rasta (I</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tada se može izračunati za svaku ispitivanu koncentraciju (ispitivanu grupu) prema formuli: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15"/>
        <w:gridCol w:w="836"/>
        <w:gridCol w:w="7761"/>
      </w:tblGrid>
      <w:tr w:rsidR="00984859" w:rsidRPr="00984859" w:rsidTr="00984859">
        <w:trPr>
          <w:tblCellSpacing w:w="0" w:type="dxa"/>
        </w:trPr>
        <w:tc>
          <w:tcPr>
            <w:tcW w:w="200" w:type="pct"/>
            <w:vMerge w:val="restart"/>
            <w:noWrap/>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 </w:t>
            </w:r>
          </w:p>
        </w:tc>
        <w:tc>
          <w:tcPr>
            <w:tcW w:w="5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(μ</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 μ</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w:t>
            </w:r>
          </w:p>
        </w:tc>
        <w:tc>
          <w:tcPr>
            <w:tcW w:w="430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μ</w:t>
            </w:r>
            <w:r w:rsidRPr="00984859">
              <w:rPr>
                <w:rFonts w:ascii="Arial" w:eastAsia="Times New Roman" w:hAnsi="Arial" w:cs="Arial"/>
                <w:sz w:val="15"/>
                <w:szCs w:val="15"/>
                <w:vertAlign w:val="subscript"/>
                <w:lang w:eastAsia="sr-Latn-RS"/>
              </w:rPr>
              <w:t>C</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Ir jeste procenat inhibicije prosečne specifične brzine 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μ</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jeste srednja vrednost u μ kontroli;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μ</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jeste srednja vrednost μ u ispitivanoj grupi.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2.2.2. Prirast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Efekti na prirast određuju se na osnovu dve merne promenljive, broja frondova i još jedne merne promenljive (ukupna površina frondova, suva masa ili sveža masa) u svakom sudu za ispitivanje na početku i na kraju ispitivanja. Početna biomasa za suvu i svežu masu određuje se na osnovu uzorka frondova uzetih iz šarže koja se koristi za inokulaciju sudova za ispitivanje (videti odeljak 1.7.3. ove metode). Za svaku ispitivanu koncentraciju i kontrolu izračunati srednju vrednost prirasta sa procenom varijanse. Srednji procenat inhibicije prirasta (%I</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 xml:space="preserve">) za svaku ispitivanu grupu može se izračunati na sledeći način: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6"/>
        <w:gridCol w:w="729"/>
        <w:gridCol w:w="7927"/>
      </w:tblGrid>
      <w:tr w:rsidR="00984859" w:rsidRPr="00984859" w:rsidTr="00984859">
        <w:trPr>
          <w:tblCellSpacing w:w="0" w:type="dxa"/>
        </w:trPr>
        <w:tc>
          <w:tcPr>
            <w:tcW w:w="2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%I</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 xml:space="preserve"> = </w:t>
            </w:r>
          </w:p>
        </w:tc>
        <w:tc>
          <w:tcPr>
            <w:tcW w:w="400" w:type="pct"/>
            <w:tcBorders>
              <w:top w:val="single" w:sz="2" w:space="0" w:color="000000"/>
              <w:left w:val="single" w:sz="2" w:space="0" w:color="000000"/>
              <w:bottom w:val="single" w:sz="6" w:space="0" w:color="000000"/>
              <w:right w:val="single" w:sz="2" w:space="0" w:color="000000"/>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 b</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w:t>
            </w:r>
          </w:p>
        </w:tc>
        <w:tc>
          <w:tcPr>
            <w:tcW w:w="4350" w:type="pct"/>
            <w:vMerge w:val="restart"/>
            <w:vAlign w:val="center"/>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x 100 </w:t>
            </w:r>
          </w:p>
        </w:tc>
      </w:tr>
      <w:tr w:rsidR="00984859" w:rsidRPr="00984859" w:rsidTr="00984859">
        <w:trPr>
          <w:tblCellSpacing w:w="0" w:type="dxa"/>
        </w:trPr>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C</w:t>
            </w:r>
          </w:p>
        </w:tc>
        <w:tc>
          <w:tcPr>
            <w:tcW w:w="0" w:type="auto"/>
            <w:vMerge/>
            <w:vAlign w:val="center"/>
            <w:hideMark/>
          </w:tcPr>
          <w:p w:rsidR="00984859" w:rsidRPr="00984859" w:rsidRDefault="00984859" w:rsidP="00984859">
            <w:pPr>
              <w:spacing w:after="0" w:line="240" w:lineRule="auto"/>
              <w:rPr>
                <w:rFonts w:ascii="Arial" w:eastAsia="Times New Roman" w:hAnsi="Arial" w:cs="Arial"/>
                <w:lang w:eastAsia="sr-Latn-RS"/>
              </w:rPr>
            </w:pP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pri čemu: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I</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 xml:space="preserve"> jeste procenat smanjenja prirasta;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sz w:val="15"/>
          <w:szCs w:val="15"/>
          <w:vertAlign w:val="subscript"/>
          <w:lang w:eastAsia="sr-Latn-RS"/>
        </w:rPr>
        <w:t>C</w:t>
      </w:r>
      <w:r w:rsidRPr="00984859">
        <w:rPr>
          <w:rFonts w:ascii="Arial" w:eastAsia="Times New Roman" w:hAnsi="Arial" w:cs="Arial"/>
          <w:lang w:eastAsia="sr-Latn-RS"/>
        </w:rPr>
        <w:t xml:space="preserve"> jeste konačna biomasa umanjena za početnu biomasu kontrolne grupe;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b</w:t>
      </w:r>
      <w:r w:rsidRPr="00984859">
        <w:rPr>
          <w:rFonts w:ascii="Arial" w:eastAsia="Times New Roman" w:hAnsi="Arial" w:cs="Arial"/>
          <w:sz w:val="15"/>
          <w:szCs w:val="15"/>
          <w:vertAlign w:val="subscript"/>
          <w:lang w:eastAsia="sr-Latn-RS"/>
        </w:rPr>
        <w:t>T</w:t>
      </w:r>
      <w:r w:rsidRPr="00984859">
        <w:rPr>
          <w:rFonts w:ascii="Arial" w:eastAsia="Times New Roman" w:hAnsi="Arial" w:cs="Arial"/>
          <w:lang w:eastAsia="sr-Latn-RS"/>
        </w:rPr>
        <w:t xml:space="preserve"> jeste konačna biomasa umanjena za početnu biomasu ispitivane grupe.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2.2.3. Prikaz krivih koncentracija - odgovor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Treba prikazati krive koncentracija-odgovor iz kojih je vidljiv odnos srednjeg procenta inhibicije promenljive odgovora (I</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 xml:space="preserve"> ili I</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 xml:space="preserve"> izračunat kako je prikazano u odeljku 2.2.1. ili u odeljku 2.2.2. ove metode) i logaritamske koncentracije ispitivane supstance.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2.2.4. Procena EC</w:t>
      </w:r>
      <w:r w:rsidRPr="00984859">
        <w:rPr>
          <w:rFonts w:ascii="Arial" w:eastAsia="Times New Roman" w:hAnsi="Arial" w:cs="Arial"/>
          <w:b/>
          <w:bCs/>
          <w:sz w:val="15"/>
          <w:szCs w:val="15"/>
          <w:vertAlign w:val="subscript"/>
          <w:lang w:eastAsia="sr-Latn-RS"/>
        </w:rPr>
        <w:t>x</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Procene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(npr.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se zasnivaju i na prosečnoj specifičnoj brzini rasta (E</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i na prirastu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a one opet na broju frondova i još jednoj mernoj promenljivoj (ukupna površina frondova, suva masa ili sveža masa). To je stoga što neke ispitivane supstance ne utiču jednako na broj frondova i na druge merne promenljive. Odabrani parametri toksičnosti su stoga četiri vrednosti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za svaki izračunati nivo inhibicije x: E</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(broj frondova); E</w:t>
      </w:r>
      <w:r w:rsidRPr="00984859">
        <w:rPr>
          <w:rFonts w:ascii="Arial" w:eastAsia="Times New Roman" w:hAnsi="Arial" w:cs="Arial"/>
          <w:sz w:val="15"/>
          <w:szCs w:val="15"/>
          <w:vertAlign w:val="subscript"/>
          <w:lang w:eastAsia="sr-Latn-RS"/>
        </w:rPr>
        <w:t>r</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(ukupna površina frondova, suva masa ili sveža masa);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(broj frondova) i E</w:t>
      </w:r>
      <w:r w:rsidRPr="00984859">
        <w:rPr>
          <w:rFonts w:ascii="Arial" w:eastAsia="Times New Roman" w:hAnsi="Arial" w:cs="Arial"/>
          <w:sz w:val="15"/>
          <w:szCs w:val="15"/>
          <w:vertAlign w:val="subscript"/>
          <w:lang w:eastAsia="sr-Latn-RS"/>
        </w:rPr>
        <w:t>y</w:t>
      </w:r>
      <w:r w:rsidRPr="00984859">
        <w:rPr>
          <w:rFonts w:ascii="Arial" w:eastAsia="Times New Roman" w:hAnsi="Arial" w:cs="Arial"/>
          <w:lang w:eastAsia="sr-Latn-RS"/>
        </w:rPr>
        <w:t>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(ukupna površina frondova, suva masa ili sveža masa).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2.4. STATISTIČKI POSTUPCI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Cilj je da se dobije kvantitativni odnos koncentracija-odgovor regresionom analizom. Ako se izvrši linearna transformacija podataka odgovora - npr. u jedinice probit, logit ili Vejbulovog modela</w:t>
      </w:r>
      <w:r w:rsidRPr="00984859">
        <w:rPr>
          <w:rFonts w:ascii="Arial" w:eastAsia="Times New Roman" w:hAnsi="Arial" w:cs="Arial"/>
          <w:b/>
          <w:bCs/>
          <w:sz w:val="15"/>
          <w:szCs w:val="15"/>
          <w:vertAlign w:val="superscript"/>
          <w:lang w:eastAsia="sr-Latn-RS"/>
        </w:rPr>
        <w:t xml:space="preserve">16 </w:t>
      </w:r>
      <w:r w:rsidRPr="00984859">
        <w:rPr>
          <w:rFonts w:ascii="Arial" w:eastAsia="Times New Roman" w:hAnsi="Arial" w:cs="Arial"/>
          <w:lang w:eastAsia="sr-Latn-RS"/>
        </w:rPr>
        <w:t>- može se izvršiti ponderisana linearna regresija; ipak, prednost se daje postupcima nelinearne regresije, koje bolje rešavaju problem neizbežnih nepravilnosti podataka i odstupanja od pravilnih raspodela. Približavanjem nultoj ili potpunoj inhibiciji te nepravilnosti mogu transformacijom i dodatno da se povećaju i tako otežaju analizu</w:t>
      </w:r>
      <w:r w:rsidRPr="00984859">
        <w:rPr>
          <w:rFonts w:ascii="Arial" w:eastAsia="Times New Roman" w:hAnsi="Arial" w:cs="Arial"/>
          <w:b/>
          <w:bCs/>
          <w:sz w:val="15"/>
          <w:szCs w:val="15"/>
          <w:vertAlign w:val="superscript"/>
          <w:lang w:eastAsia="sr-Latn-RS"/>
        </w:rPr>
        <w:t>16</w:t>
      </w:r>
      <w:r w:rsidRPr="00984859">
        <w:rPr>
          <w:rFonts w:ascii="Arial" w:eastAsia="Times New Roman" w:hAnsi="Arial" w:cs="Arial"/>
          <w:lang w:eastAsia="sr-Latn-RS"/>
        </w:rPr>
        <w:t>. Standardne analitičke metode koje koriste probit, logit ili Vibulove transformacije namenjene su kvantalnim podacima (npr. smrtnost ili preživljavanje) i posebno se prilagođavaju da bi se mogle primeniti na podatke o brzini rasta ili prirastu. Konkretni postupci za određivanje vrednosti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iz kontinuiranih podataka dati su u literaturi</w:t>
      </w:r>
      <w:r w:rsidRPr="00984859">
        <w:rPr>
          <w:rFonts w:ascii="Arial" w:eastAsia="Times New Roman" w:hAnsi="Arial" w:cs="Arial"/>
          <w:b/>
          <w:bCs/>
          <w:sz w:val="15"/>
          <w:szCs w:val="15"/>
          <w:vertAlign w:val="superscript"/>
          <w:lang w:eastAsia="sr-Latn-RS"/>
        </w:rPr>
        <w:t>17,18,19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svaku promenljivu odgovora koja se analizira izračunati procene tačaka za vrednosti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na osnovu odnosa koncentracija - odgovor. Po mogućstvu, za sve procene odrediti granice pouzdanosti 95%. Valjanost podudaranja podataka odgovora sa regresionim modelom procenjuje se grafički ili statistički. Regresionu analizu vršiti na osnovu pojedinačnih odgovora u ponavljanjima, a ne na osnovu srednjih vrednosti ispitivanih grupa.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Ako raspoloživi regresioni modeli/metodi nisu podesni za podatke, procene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xml:space="preserve"> i granice pouzdanosti mogu se dobiti i linearnom interpolacijom sa metodom ponovnog uzorkovanja sa ponavljanjem (bootstrapping)</w:t>
      </w:r>
      <w:r w:rsidRPr="00984859">
        <w:rPr>
          <w:rFonts w:ascii="Arial" w:eastAsia="Times New Roman" w:hAnsi="Arial" w:cs="Arial"/>
          <w:b/>
          <w:bCs/>
          <w:sz w:val="15"/>
          <w:szCs w:val="15"/>
          <w:vertAlign w:val="superscript"/>
          <w:lang w:eastAsia="sr-Latn-RS"/>
        </w:rPr>
        <w:t>20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Za procenu LOEC, a time i NOEC, potrebno je uporediti srednje vrednosti obrada primenom tehnika analize varijanse (u daljem tekstu: ANOVA). Zatim srednju vrednost za svaku koncentraciju uporediti sa kontrolnom srednjom vrednošću primenom odgovarajuće metode višestrukog poređenja ili ispitivanja trenda. Ovde može biti koristan Danetov ili Vilijamsov test</w:t>
      </w:r>
      <w:r w:rsidRPr="00984859">
        <w:rPr>
          <w:rFonts w:ascii="Arial" w:eastAsia="Times New Roman" w:hAnsi="Arial" w:cs="Arial"/>
          <w:b/>
          <w:bCs/>
          <w:sz w:val="15"/>
          <w:szCs w:val="15"/>
          <w:vertAlign w:val="superscript"/>
          <w:lang w:eastAsia="sr-Latn-RS"/>
        </w:rPr>
        <w:t>21,22,23,24</w:t>
      </w:r>
      <w:r w:rsidRPr="00984859">
        <w:rPr>
          <w:rFonts w:ascii="Arial" w:eastAsia="Times New Roman" w:hAnsi="Arial" w:cs="Arial"/>
          <w:lang w:eastAsia="sr-Latn-RS"/>
        </w:rPr>
        <w:t>. Treba proveriti da li je pretpostavka homogenosti varijansi ANOVA realna. Procena se može izvršiti grafički ili formalnim testom</w:t>
      </w:r>
      <w:r w:rsidRPr="00984859">
        <w:rPr>
          <w:rFonts w:ascii="Arial" w:eastAsia="Times New Roman" w:hAnsi="Arial" w:cs="Arial"/>
          <w:b/>
          <w:bCs/>
          <w:sz w:val="15"/>
          <w:szCs w:val="15"/>
          <w:vertAlign w:val="superscript"/>
          <w:lang w:eastAsia="sr-Latn-RS"/>
        </w:rPr>
        <w:t>25</w:t>
      </w:r>
      <w:r w:rsidRPr="00984859">
        <w:rPr>
          <w:rFonts w:ascii="Arial" w:eastAsia="Times New Roman" w:hAnsi="Arial" w:cs="Arial"/>
          <w:lang w:eastAsia="sr-Latn-RS"/>
        </w:rPr>
        <w:t>. Pogodni su Leveneov i Bartletov test. Ako pretpostavka homogenosti varijansi nije zadovoljena, to se ponekad može ispraviti logaritamskom transformacijom podataka. Ako je heterogenost varijanse prevelika da bi se mogla ispraviti transformacijom, razmotriti mogućnost analize metodama kao što su Jonkhereovi "step-down" testovi trenda. Dodatne smernice za određivanje NOEC date su u literaturi</w:t>
      </w:r>
      <w:r w:rsidRPr="00984859">
        <w:rPr>
          <w:rFonts w:ascii="Arial" w:eastAsia="Times New Roman" w:hAnsi="Arial" w:cs="Arial"/>
          <w:b/>
          <w:bCs/>
          <w:sz w:val="15"/>
          <w:szCs w:val="15"/>
          <w:vertAlign w:val="superscript"/>
          <w:lang w:eastAsia="sr-Latn-RS"/>
        </w:rPr>
        <w:t>19</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Novija naučna saznanja dovela su do preporuke da se pojam NOEC napusti i zameni procenama tačaka EC</w:t>
      </w:r>
      <w:r w:rsidRPr="00984859">
        <w:rPr>
          <w:rFonts w:ascii="Arial" w:eastAsia="Times New Roman" w:hAnsi="Arial" w:cs="Arial"/>
          <w:sz w:val="15"/>
          <w:szCs w:val="15"/>
          <w:vertAlign w:val="subscript"/>
          <w:lang w:eastAsia="sr-Latn-RS"/>
        </w:rPr>
        <w:t>x</w:t>
      </w:r>
      <w:r w:rsidRPr="00984859">
        <w:rPr>
          <w:rFonts w:ascii="Arial" w:eastAsia="Times New Roman" w:hAnsi="Arial" w:cs="Arial"/>
          <w:lang w:eastAsia="sr-Latn-RS"/>
        </w:rPr>
        <w:t xml:space="preserve"> dobijenih regresijom. Za ovo ispitivanje sa </w:t>
      </w:r>
      <w:r w:rsidRPr="00984859">
        <w:rPr>
          <w:rFonts w:ascii="Arial" w:eastAsia="Times New Roman" w:hAnsi="Arial" w:cs="Arial"/>
          <w:i/>
          <w:iCs/>
          <w:lang w:eastAsia="sr-Latn-RS"/>
        </w:rPr>
        <w:t>Lemna sp.</w:t>
      </w:r>
      <w:r w:rsidRPr="00984859">
        <w:rPr>
          <w:rFonts w:ascii="Arial" w:eastAsia="Times New Roman" w:hAnsi="Arial" w:cs="Arial"/>
          <w:lang w:eastAsia="sr-Latn-RS"/>
        </w:rPr>
        <w:t xml:space="preserve"> nije utvrđena određena vrednost x. Međutim, izgleda da je raspon od 10% do 20% odgovarajući (zavisno od odabrane promenljive odgovora), a poželjno je da se navedu obe vrednosti,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xml:space="preserve"> i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3. IZVEŠTAVANJE </w:t>
      </w:r>
    </w:p>
    <w:p w:rsidR="00984859" w:rsidRPr="00984859" w:rsidRDefault="00984859" w:rsidP="00984859">
      <w:pPr>
        <w:spacing w:before="100" w:beforeAutospacing="1" w:after="100" w:afterAutospacing="1" w:line="240" w:lineRule="auto"/>
        <w:jc w:val="center"/>
        <w:rPr>
          <w:rFonts w:ascii="Arial" w:eastAsia="Times New Roman" w:hAnsi="Arial" w:cs="Arial"/>
          <w:i/>
          <w:iCs/>
          <w:lang w:eastAsia="sr-Latn-RS"/>
        </w:rPr>
      </w:pPr>
      <w:r w:rsidRPr="00984859">
        <w:rPr>
          <w:rFonts w:ascii="Arial" w:eastAsia="Times New Roman" w:hAnsi="Arial" w:cs="Arial"/>
          <w:i/>
          <w:iCs/>
          <w:lang w:eastAsia="sr-Latn-RS"/>
        </w:rPr>
        <w:t xml:space="preserve">3.1. IZVEŠTAJ O ISPITIVANJU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Izveštaj o ispitivanju sadrži podatke 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Ispitivanoj supstanci: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agregatno stanje i fizičko-hemijska svojstva, uključujući granicu rastvorljivosti u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podaci za identifikaciju hemikalije (npr. CAS broj), uključujući čistoću.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Ispitivanoj vrsti: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naučni naziv, klon (ako je poznat) i izvor.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Uslovima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postupak ispitivanja (statički, polustatički ili protočni)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datum početka i trajanje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podloga za ispitivanje,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opis postavke ispitivanja: sudovi za ispitivanje i poklopci, zapremine rastvora, broj kolonija i frondova po sudu za ispitivanje na početku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ispitivane koncentracije (nominalne odnosno izmerene, po potrebi) i broj ponavljanja po koncentraciji,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načini pripreme radnih i ispitivanih rastvora, uključujući korišćenje rastvarača odnosno sredstava za dispergovanje,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temperatura tokom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izvor svetlosti, intenzitet svetla i homogenost,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pH vrednosti ispitivanih i kontrolnih podloga,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koncentracije ispitivane supstance i analitički metod sa odgovarajućim podacima za ocenu kvaliteta (validaciona istraživanja, standardne devijacije ili granice pouzdanosti analiza),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metodi određivanja broja frondova i drugih mernih promenljivih, npr. suva masa, sveža masa ili površina frondova,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 odstupanja od ove metode ispitivanja,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Rezultatima: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 neobrađeni rezultati: broj frondova i druge merne promenljive u svakom ispitivanom i kontrolnom sudu kod svakog posmatranja i analize,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srednje vrednosti i standardne devijacije svih mernih promenljivih,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krive rasta za svaku koncentraciju (po mogućstvu sa logaritamski transformisanom mernom promenljivom, videti odeljak 2.2.1.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vreme udvostručenja/brzina rasta u kontroli na osnovu broja frondova,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izračunate promenljive odgovora za svako ponavljanje u obradama, uključujući srednje vrednosti i koeficijent varijacije za ponavljanja,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grafički prikaz odnosa koncentracija/efekat,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procene praćenih parametara toksičnosti za promenljive odgovora, npr. EC</w:t>
      </w:r>
      <w:r w:rsidRPr="00984859">
        <w:rPr>
          <w:rFonts w:ascii="Arial" w:eastAsia="Times New Roman" w:hAnsi="Arial" w:cs="Arial"/>
          <w:sz w:val="15"/>
          <w:szCs w:val="15"/>
          <w:vertAlign w:val="subscript"/>
          <w:lang w:eastAsia="sr-Latn-RS"/>
        </w:rPr>
        <w:t>50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10</w:t>
      </w:r>
      <w:r w:rsidRPr="00984859">
        <w:rPr>
          <w:rFonts w:ascii="Arial" w:eastAsia="Times New Roman" w:hAnsi="Arial" w:cs="Arial"/>
          <w:lang w:eastAsia="sr-Latn-RS"/>
        </w:rPr>
        <w:t>, EC</w:t>
      </w:r>
      <w:r w:rsidRPr="00984859">
        <w:rPr>
          <w:rFonts w:ascii="Arial" w:eastAsia="Times New Roman" w:hAnsi="Arial" w:cs="Arial"/>
          <w:sz w:val="15"/>
          <w:szCs w:val="15"/>
          <w:vertAlign w:val="subscript"/>
          <w:lang w:eastAsia="sr-Latn-RS"/>
        </w:rPr>
        <w:t>20</w:t>
      </w:r>
      <w:r w:rsidRPr="00984859">
        <w:rPr>
          <w:rFonts w:ascii="Arial" w:eastAsia="Times New Roman" w:hAnsi="Arial" w:cs="Arial"/>
          <w:lang w:eastAsia="sr-Latn-RS"/>
        </w:rPr>
        <w:t xml:space="preserve"> i odgovarajući intervali poverenja; Ako se izračunavaju, LOEC i/ili NOEC, njihove vrednosti i statističke metode koje su upotrebljene za određivanje,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ako se koristi ANOVA, veličina efekta koji se može utvrditi (npr. najmanja značajna razlika),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svaka stimulacija rasta u bilo kojoj obradi,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svi vidljivi znaci fitotoksičnosti i zapažanja u ispitivanim rastvorima,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tumačenje rezultata, uključujući mogući uticaj odstupanja od metode ispitivanja na rezultate ispitivanja.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4. 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OECD TG 221 (2006) </w:t>
      </w:r>
      <w:r w:rsidRPr="00984859">
        <w:rPr>
          <w:rFonts w:ascii="Arial" w:eastAsia="Times New Roman" w:hAnsi="Arial" w:cs="Arial"/>
          <w:i/>
          <w:iCs/>
          <w:lang w:eastAsia="sr-Latn-RS"/>
        </w:rPr>
        <w:t>Lemna</w:t>
      </w:r>
      <w:r w:rsidRPr="00984859">
        <w:rPr>
          <w:rFonts w:ascii="Arial" w:eastAsia="Times New Roman" w:hAnsi="Arial" w:cs="Arial"/>
          <w:lang w:eastAsia="sr-Latn-RS"/>
        </w:rPr>
        <w:t xml:space="preserve"> Sp. Growth Inhibition Test.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 The use of Lemna studies for coloured substances is detailed in Section 13.5.3 of the EU Manual of Decisions dated July 2006, at http://ecb.jrc.ec.europa.eu/new-chemicals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Guidance on information requirements and chemical safety assessment - Chapter R.7b: Endpoint specific guidance; Table 7.8.3 Summary of difficult substance testing issues, available at: http://guidance.echa.europa.eu/docs/guidance_document/information_requirements_en.htm?time=1234958685#A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ASTM International. (2003). Standard Guide for Conducting Static Toxicity Test With Lemna gibba G3. E 1415-91 (Reapproved 1998). pp. 733-742. In, Annual Book of ASTM Standards, Vol. 11.05 Biological Effects and Environmental Fate; Biotechnology; Pesticides, ASTM, West Conshohocken, PA.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USEPA - United States Environmental Protection Agency. (1996). OPPTS 850.4400 Aquatic Plant Toxicity Test Using Lemna spp., Public draft. EPA 712-C-96-156. 8pp.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6. AFNOR - Association Française de Normalisation. (1996). XP T 90-337: Détermination de l'inhibition de la croissance de Lemna minor. 10pp.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7. SSI - Swedish Standards Institute. (1995). Water quality - Determination of growth inhibition (7-d) Lemna minor, duckweed. SS 02 82 13. 15pp. (in Swedish).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8. Environment Canada. (1999). Biological Test Method: Test for Measuring the Inhibition of Growth Using the Freshwater Macrophyte, Lemna minor. EPS 1/RM/37-120 pp.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9. Environment Canada. (1993) Proposed Guidelines for Registration of Chemical Pesticides: Non-Target Plant Testing and Evaluation. Canadian Wildlife Service, Technical Report Series No. 145.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10. Sims I., Whitehouse P., and Lacey R. (1999). The OECD Lemna Growth Inhibition Test. Development and Ring-testing of draft OECD Test Guideline. R&amp;D Technical Report EMA 003. WRc plc - Environment Agency.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11. OECD (2000). Guidance Document on Aquatic Toxicity Testing of Difficult Substances and Mixtures. OECD Environmental Health and Safety Publications, Series on Testing and Assessment No 23.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12. ISO DIS 20079. Water Quality - Determination of the Toxic Effect of Water Constituents and Waste Water to Duckweed (Lemna minor) - Duckweed Growth Inhibition Test.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13. Walbridge C. T. (1977). A flow-through testing procedure with duckweed (Lemna minor L.). Environmental Research Laboratory - Duluth, Minnesota 55804. US EPA Report No. EPA-600/3-77 108. September 1977.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14. Lockhart W. L., Billeck B. N. and Baron C. L. (1989). Bioassays with a floating plant (Lemna minor) for effects of sprayed and dissolved glyphosate. Hydrobiologia, 118/119, 353-359.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15. Huebert, D.B. and Shay J.M. (1993). Considerations in the assessment of toxicity using duckweeds. Environmental Toxicology and Chemistry, 12, 481-483.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16. Christensen, E.R., Nyholm, N. (1984): Ecotoxicological Assays with Algae: Weibull Dose-Response Curves. Env. Sci. Technol. 19, 713-718.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17. Nyholm, N. Sørensen, P.S., Kusk, K.O. and Christensen, E.R. (1992): Statistical treatment of data from microbial toxicity tests. Environ. Toxicol. Chem. 11, 157-167.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18. Bruce R.D. and Versteeg D.J. (1992). A statistical procedure for modelling continuous toxicity data. Environmental Toxicology and Chemistry, 11, 1485-1494.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19. OECD. (2004). Guidance Document on Statistical Analysis of Ecotoxicity Data.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Norberg-King T.J. (1988). An interpolation estimate for chronic toxicity: The ICp approach. National Effluent Toxicity Assessment Center Technical Report 05-88. USEPA, Duluth, MN.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21. Dunnett, C.W. (1955). A multiple comparisons procedure for comparing several treatments with a control. J. Amer. Statist. Assoc., 50, 1096-1121.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22. Dunnett, C.W. (1964). New tables for multiple comparisons with a control. Biometrics, 20, 482-491.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23. Williams, D.A. (1971). A test for differences between treatment means when several dose levels are compared with a zero dose control. Biometrics, 27: 103-117.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24. Williams, D.A. (1972). The comparison of several dose levels with a zero dose control. Biometrics, 28: 510-531.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25. Brain P. and Cousens R. (1989). An equation to describe dose-responses where there is stimulation of growth at low doses. Weed Research, 29, 93-96.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Deo drugi</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 xml:space="preserve">DODATAK 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Opis </w:t>
      </w:r>
      <w:r w:rsidRPr="00984859">
        <w:rPr>
          <w:rFonts w:ascii="Arial" w:eastAsia="Times New Roman" w:hAnsi="Arial" w:cs="Arial"/>
          <w:i/>
          <w:iCs/>
          <w:lang w:eastAsia="sr-Latn-RS"/>
        </w:rPr>
        <w:t>Lemna spp.</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Vodena biljka poznata pod nazivom sočivica, </w:t>
      </w:r>
      <w:r w:rsidRPr="00984859">
        <w:rPr>
          <w:rFonts w:ascii="Arial" w:eastAsia="Times New Roman" w:hAnsi="Arial" w:cs="Arial"/>
          <w:i/>
          <w:iCs/>
          <w:lang w:eastAsia="sr-Latn-RS"/>
        </w:rPr>
        <w:t>Lemna spp.</w:t>
      </w:r>
      <w:r w:rsidRPr="00984859">
        <w:rPr>
          <w:rFonts w:ascii="Arial" w:eastAsia="Times New Roman" w:hAnsi="Arial" w:cs="Arial"/>
          <w:lang w:eastAsia="sr-Latn-RS"/>
        </w:rPr>
        <w:t xml:space="preserve">, pripada porodici </w:t>
      </w:r>
      <w:r w:rsidRPr="00984859">
        <w:rPr>
          <w:rFonts w:ascii="Arial" w:eastAsia="Times New Roman" w:hAnsi="Arial" w:cs="Arial"/>
          <w:i/>
          <w:iCs/>
          <w:lang w:eastAsia="sr-Latn-RS"/>
        </w:rPr>
        <w:t>Lemnaceae</w:t>
      </w:r>
      <w:r w:rsidRPr="00984859">
        <w:rPr>
          <w:rFonts w:ascii="Arial" w:eastAsia="Times New Roman" w:hAnsi="Arial" w:cs="Arial"/>
          <w:lang w:eastAsia="sr-Latn-RS"/>
        </w:rPr>
        <w:t>, u koju se ubrajaju različite vrste rasprostranjene širom sveta koje su podeljene u četiri roda. Njihov izgled i taksonomija su iscrpno opisani</w:t>
      </w:r>
      <w:r w:rsidRPr="00984859">
        <w:rPr>
          <w:rFonts w:ascii="Arial" w:eastAsia="Times New Roman" w:hAnsi="Arial" w:cs="Arial"/>
          <w:b/>
          <w:bCs/>
          <w:sz w:val="15"/>
          <w:szCs w:val="15"/>
          <w:vertAlign w:val="superscript"/>
          <w:lang w:eastAsia="sr-Latn-RS"/>
        </w:rPr>
        <w:t>1,2</w:t>
      </w:r>
      <w:r w:rsidRPr="00984859">
        <w:rPr>
          <w:rFonts w:ascii="Arial" w:eastAsia="Times New Roman" w:hAnsi="Arial" w:cs="Arial"/>
          <w:lang w:eastAsia="sr-Latn-RS"/>
        </w:rPr>
        <w:t xml:space="preserve">. </w:t>
      </w:r>
      <w:r w:rsidRPr="00984859">
        <w:rPr>
          <w:rFonts w:ascii="Arial" w:eastAsia="Times New Roman" w:hAnsi="Arial" w:cs="Arial"/>
          <w:i/>
          <w:iCs/>
          <w:lang w:eastAsia="sr-Latn-RS"/>
        </w:rPr>
        <w:t>Lemna gibba</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L. minor</w:t>
      </w:r>
      <w:r w:rsidRPr="00984859">
        <w:rPr>
          <w:rFonts w:ascii="Arial" w:eastAsia="Times New Roman" w:hAnsi="Arial" w:cs="Arial"/>
          <w:lang w:eastAsia="sr-Latn-RS"/>
        </w:rPr>
        <w:t xml:space="preserve"> su predstavnici umerenog klimatskog pojasa i vrlo često se koriste u toksikološkim ispitivanjima. Obe vrste imaju plutajuću ili potopljenu diskoidnu stabljiku (frond) i vrlo tanak koren koji izbija iz sredine naličja fronda. </w:t>
      </w:r>
      <w:r w:rsidRPr="00984859">
        <w:rPr>
          <w:rFonts w:ascii="Arial" w:eastAsia="Times New Roman" w:hAnsi="Arial" w:cs="Arial"/>
          <w:i/>
          <w:iCs/>
          <w:lang w:eastAsia="sr-Latn-RS"/>
        </w:rPr>
        <w:t>Lemna spp.</w:t>
      </w:r>
      <w:r w:rsidRPr="00984859">
        <w:rPr>
          <w:rFonts w:ascii="Arial" w:eastAsia="Times New Roman" w:hAnsi="Arial" w:cs="Arial"/>
          <w:lang w:eastAsia="sr-Latn-RS"/>
        </w:rPr>
        <w:t xml:space="preserve"> retko cvetaju, a biljke se vegetativno razmnožavaju stvaranjem novih frondova</w:t>
      </w:r>
      <w:r w:rsidRPr="00984859">
        <w:rPr>
          <w:rFonts w:ascii="Arial" w:eastAsia="Times New Roman" w:hAnsi="Arial" w:cs="Arial"/>
          <w:b/>
          <w:bCs/>
          <w:sz w:val="15"/>
          <w:szCs w:val="15"/>
          <w:vertAlign w:val="superscript"/>
          <w:lang w:eastAsia="sr-Latn-RS"/>
        </w:rPr>
        <w:t>3</w:t>
      </w:r>
      <w:r w:rsidRPr="00984859">
        <w:rPr>
          <w:rFonts w:ascii="Arial" w:eastAsia="Times New Roman" w:hAnsi="Arial" w:cs="Arial"/>
          <w:lang w:eastAsia="sr-Latn-RS"/>
        </w:rPr>
        <w:t>. U poređenju sa starijim biljkama, mlađe biljke su uglavnom bleđe, imaju kraće korenje i sastoje se od dva do tri fronda različite veličine. Biljke sočivice su veoma pogodne za laboratorijska ispitivanja zahvaljujući maloj veličini, jednostavnoj građi, bespolnom razmnožavanju i kratkom vremenu generacije</w:t>
      </w:r>
      <w:r w:rsidRPr="00984859">
        <w:rPr>
          <w:rFonts w:ascii="Arial" w:eastAsia="Times New Roman" w:hAnsi="Arial" w:cs="Arial"/>
          <w:b/>
          <w:bCs/>
          <w:sz w:val="15"/>
          <w:szCs w:val="15"/>
          <w:vertAlign w:val="superscript"/>
          <w:lang w:eastAsia="sr-Latn-RS"/>
        </w:rPr>
        <w:t>4,5</w:t>
      </w:r>
      <w:r w:rsidRPr="00984859">
        <w:rPr>
          <w:rFonts w:ascii="Arial" w:eastAsia="Times New Roman" w:hAnsi="Arial" w:cs="Arial"/>
          <w:lang w:eastAsia="sr-Latn-RS"/>
        </w:rPr>
        <w:t xml:space="preserv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Zbog verovatnih razlika u osetljivosti među vrstama validna su samo poređenja osetljivosti unutar iste vrste.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Primeri vrsta roda Lemna koje su korišćene u ispitivanjima: referentni spisak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Lemna aequinoctialis</w:t>
      </w:r>
      <w:r w:rsidRPr="00984859">
        <w:rPr>
          <w:rFonts w:ascii="Arial" w:eastAsia="Times New Roman" w:hAnsi="Arial" w:cs="Arial"/>
          <w:lang w:eastAsia="sr-Latn-RS"/>
        </w:rPr>
        <w:t xml:space="preserve">: Eklund, B. (1996). The use of the red alga Ceramium strictum and the duckweed Lemna aequinoctialis in aquatic ecotoxicological bioassays. Licentiate in Philosophy Thesis 1996:2. Dep. of Systems Ecology, Stockholm University.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Lemna major:</w:t>
      </w:r>
      <w:r w:rsidRPr="00984859">
        <w:rPr>
          <w:rFonts w:ascii="Arial" w:eastAsia="Times New Roman" w:hAnsi="Arial" w:cs="Arial"/>
          <w:lang w:eastAsia="sr-Latn-RS"/>
        </w:rPr>
        <w:t xml:space="preserve"> Clark, N. A. (1925). The rate of reproduction of Lemna major as a function of intensity and duration of light. J. phys. Chem., 29: 935-941.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Lemna minor:</w:t>
      </w:r>
      <w:r w:rsidRPr="00984859">
        <w:rPr>
          <w:rFonts w:ascii="Arial" w:eastAsia="Times New Roman" w:hAnsi="Arial" w:cs="Arial"/>
          <w:lang w:eastAsia="sr-Latn-RS"/>
        </w:rPr>
        <w:t xml:space="preserve"> United States Environmental Protection Agency (USEPA). (1996). OPPTS 850.4400 Aquatic Plant Toxicity Test Using Lemna spp., Public draft. EPA 712-C-96-156. 8pp.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Association Française de Normalisation (AFNOR). (1996). XP T 90-337: Détermination de l'inhibition de la croissance de </w:t>
      </w:r>
      <w:r w:rsidRPr="00984859">
        <w:rPr>
          <w:rFonts w:ascii="Arial" w:eastAsia="Times New Roman" w:hAnsi="Arial" w:cs="Arial"/>
          <w:i/>
          <w:iCs/>
          <w:lang w:eastAsia="sr-Latn-RS"/>
        </w:rPr>
        <w:t>Lemna minor.</w:t>
      </w:r>
      <w:r w:rsidRPr="00984859">
        <w:rPr>
          <w:rFonts w:ascii="Arial" w:eastAsia="Times New Roman" w:hAnsi="Arial" w:cs="Arial"/>
          <w:lang w:eastAsia="sr-Latn-RS"/>
        </w:rPr>
        <w:t xml:space="preserve"> 10pp.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Swedish Standards Institute (SIS). (1995). Water quality - Determination of growth inhibition (7-d) Lemna minor, duckweed. SS 02 82 13. 15pp. (in Swedish).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Lemna gibba:</w:t>
      </w:r>
      <w:r w:rsidRPr="00984859">
        <w:rPr>
          <w:rFonts w:ascii="Arial" w:eastAsia="Times New Roman" w:hAnsi="Arial" w:cs="Arial"/>
          <w:lang w:eastAsia="sr-Latn-RS"/>
        </w:rPr>
        <w:t xml:space="preserve"> ASTM International. (2003). Standard Guide for Conducting Static Toxicity Test With Lemna gibba G3. E 1415-91 (Reapproved 1998). pp. 733-742.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United States Environmental Protection Agency (USEPA). (1996). OPPTS 850.4400 Aquatic Plant Toxicity Test Using Lemna spp., Public draft. EPA 712-C-96-156. 8pp.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lastRenderedPageBreak/>
        <w:t>Lemna paucicostata:</w:t>
      </w:r>
      <w:r w:rsidRPr="00984859">
        <w:rPr>
          <w:rFonts w:ascii="Arial" w:eastAsia="Times New Roman" w:hAnsi="Arial" w:cs="Arial"/>
          <w:lang w:eastAsia="sr-Latn-RS"/>
        </w:rPr>
        <w:t xml:space="preserve"> Nasu, Y., Kugimoto, M. (1981). Lemna (duckweed) as an indicator of water pollution. I. The sensitivity of Lemna paucicostata to heavy metals. Arch. Environ. Contam. Toxicol., 10:1959-1969.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Lemna perpusilla:</w:t>
      </w:r>
      <w:r w:rsidRPr="00984859">
        <w:rPr>
          <w:rFonts w:ascii="Arial" w:eastAsia="Times New Roman" w:hAnsi="Arial" w:cs="Arial"/>
          <w:lang w:eastAsia="sr-Latn-RS"/>
        </w:rPr>
        <w:t xml:space="preserve"> Clark, J. R. et al. (1981). Accumulation and depuration of metals by duckweed (Lemna perpusilla). Ecotoxicol. Environ. Saf., 5:87-96.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Lemna trisulca:</w:t>
      </w:r>
      <w:r w:rsidRPr="00984859">
        <w:rPr>
          <w:rFonts w:ascii="Arial" w:eastAsia="Times New Roman" w:hAnsi="Arial" w:cs="Arial"/>
          <w:lang w:eastAsia="sr-Latn-RS"/>
        </w:rPr>
        <w:t xml:space="preserve"> Huebert, D. B., Shay, J. M. (1993). Considerations in the assessment of toxicity using duckweeds. Environ. Toxicol. and Chem., 12:481-483.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i/>
          <w:iCs/>
          <w:lang w:eastAsia="sr-Latn-RS"/>
        </w:rPr>
        <w:t>Lemna valdiviana:</w:t>
      </w:r>
      <w:r w:rsidRPr="00984859">
        <w:rPr>
          <w:rFonts w:ascii="Arial" w:eastAsia="Times New Roman" w:hAnsi="Arial" w:cs="Arial"/>
          <w:lang w:eastAsia="sr-Latn-RS"/>
        </w:rPr>
        <w:t xml:space="preserve"> Hutchinson, T.C., Czyrska, H. (1975). Heavy metal toxicity and synergism to floating aquatic weeds. Verh.-Int. Ver. Limnol., 19:2102-2111.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Izvori vrsta roda </w:t>
      </w:r>
      <w:r w:rsidRPr="00984859">
        <w:rPr>
          <w:rFonts w:ascii="Arial" w:eastAsia="Times New Roman" w:hAnsi="Arial" w:cs="Arial"/>
          <w:i/>
          <w:iCs/>
          <w:lang w:eastAsia="sr-Latn-RS"/>
        </w:rPr>
        <w:t>Lemna</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University of Toronto Culture Collection of Algae and Cyanobacteria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Department of Botany, University of Toronto</w:t>
      </w:r>
      <w:r w:rsidRPr="00984859">
        <w:rPr>
          <w:rFonts w:ascii="Arial" w:eastAsia="Times New Roman" w:hAnsi="Arial" w:cs="Arial"/>
          <w:lang w:eastAsia="sr-Latn-RS"/>
        </w:rPr>
        <w:br/>
        <w:t>Toronto, Ontario, Canada, M5S 3 B2</w:t>
      </w:r>
      <w:r w:rsidRPr="00984859">
        <w:rPr>
          <w:rFonts w:ascii="Arial" w:eastAsia="Times New Roman" w:hAnsi="Arial" w:cs="Arial"/>
          <w:lang w:eastAsia="sr-Latn-RS"/>
        </w:rPr>
        <w:br/>
        <w:t>Tel. +1-416-978-3641</w:t>
      </w:r>
      <w:r w:rsidRPr="00984859">
        <w:rPr>
          <w:rFonts w:ascii="Arial" w:eastAsia="Times New Roman" w:hAnsi="Arial" w:cs="Arial"/>
          <w:lang w:eastAsia="sr-Latn-RS"/>
        </w:rPr>
        <w:br/>
        <w:t>Fax +1-416-978-5878</w:t>
      </w:r>
      <w:r w:rsidRPr="00984859">
        <w:rPr>
          <w:rFonts w:ascii="Arial" w:eastAsia="Times New Roman" w:hAnsi="Arial" w:cs="Arial"/>
          <w:lang w:eastAsia="sr-Latn-RS"/>
        </w:rPr>
        <w:br/>
        <w:t>e-mail: jacreman@botany.utoronto.ca</w:t>
      </w:r>
      <w:r w:rsidRPr="00984859">
        <w:rPr>
          <w:rFonts w:ascii="Arial" w:eastAsia="Times New Roman" w:hAnsi="Arial" w:cs="Arial"/>
          <w:lang w:eastAsia="sr-Latn-RS"/>
        </w:rPr>
        <w:br/>
        <w:t xml:space="preserve">http://www.botany.utoronto.ca/utcc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North Carolina State University</w:t>
      </w:r>
      <w:r w:rsidRPr="00984859">
        <w:rPr>
          <w:rFonts w:ascii="Arial" w:eastAsia="Times New Roman" w:hAnsi="Arial" w:cs="Arial"/>
          <w:lang w:eastAsia="sr-Latn-RS"/>
        </w:rPr>
        <w:br/>
        <w:t>Forestry Dept</w:t>
      </w:r>
      <w:r w:rsidRPr="00984859">
        <w:rPr>
          <w:rFonts w:ascii="Arial" w:eastAsia="Times New Roman" w:hAnsi="Arial" w:cs="Arial"/>
          <w:lang w:eastAsia="sr-Latn-RS"/>
        </w:rPr>
        <w:br/>
        <w:t>Duckweed Culture Collection</w:t>
      </w:r>
      <w:r w:rsidRPr="00984859">
        <w:rPr>
          <w:rFonts w:ascii="Arial" w:eastAsia="Times New Roman" w:hAnsi="Arial" w:cs="Arial"/>
          <w:lang w:eastAsia="sr-Latn-RS"/>
        </w:rPr>
        <w:br/>
        <w:t>Campus Box 8002</w:t>
      </w:r>
      <w:r w:rsidRPr="00984859">
        <w:rPr>
          <w:rFonts w:ascii="Arial" w:eastAsia="Times New Roman" w:hAnsi="Arial" w:cs="Arial"/>
          <w:lang w:eastAsia="sr-Latn-RS"/>
        </w:rPr>
        <w:br/>
        <w:t>Raleigh, NC 27695-8002</w:t>
      </w:r>
      <w:r w:rsidRPr="00984859">
        <w:rPr>
          <w:rFonts w:ascii="Arial" w:eastAsia="Times New Roman" w:hAnsi="Arial" w:cs="Arial"/>
          <w:lang w:eastAsia="sr-Latn-RS"/>
        </w:rPr>
        <w:br/>
        <w:t>SJEDINJENE AMERIČKE DRŽAVE</w:t>
      </w:r>
      <w:r w:rsidRPr="00984859">
        <w:rPr>
          <w:rFonts w:ascii="Arial" w:eastAsia="Times New Roman" w:hAnsi="Arial" w:cs="Arial"/>
          <w:lang w:eastAsia="sr-Latn-RS"/>
        </w:rPr>
        <w:br/>
        <w:t>Tel. 001 (919) 515-7572</w:t>
      </w:r>
      <w:r w:rsidRPr="00984859">
        <w:rPr>
          <w:rFonts w:ascii="Arial" w:eastAsia="Times New Roman" w:hAnsi="Arial" w:cs="Arial"/>
          <w:lang w:eastAsia="sr-Latn-RS"/>
        </w:rPr>
        <w:br/>
        <w:t xml:space="preserve">astomp@unity.ncsu.edu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Institute of Applied Environmental Research (ITM) Stockholm University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SE-106 91 Stockholm</w:t>
      </w:r>
      <w:r w:rsidRPr="00984859">
        <w:rPr>
          <w:rFonts w:ascii="Arial" w:eastAsia="Times New Roman" w:hAnsi="Arial" w:cs="Arial"/>
          <w:lang w:eastAsia="sr-Latn-RS"/>
        </w:rPr>
        <w:br/>
        <w:t>ŠVEDSKA</w:t>
      </w:r>
      <w:r w:rsidRPr="00984859">
        <w:rPr>
          <w:rFonts w:ascii="Arial" w:eastAsia="Times New Roman" w:hAnsi="Arial" w:cs="Arial"/>
          <w:lang w:eastAsia="sr-Latn-RS"/>
        </w:rPr>
        <w:br/>
        <w:t>Tel. +46 86747240</w:t>
      </w:r>
      <w:r w:rsidRPr="00984859">
        <w:rPr>
          <w:rFonts w:ascii="Arial" w:eastAsia="Times New Roman" w:hAnsi="Arial" w:cs="Arial"/>
          <w:lang w:eastAsia="sr-Latn-RS"/>
        </w:rPr>
        <w:br/>
        <w:t xml:space="preserve">Fax +46 86747636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Federal Environmental Agency (UBA)</w:t>
      </w:r>
      <w:r w:rsidRPr="00984859">
        <w:rPr>
          <w:rFonts w:ascii="Arial" w:eastAsia="Times New Roman" w:hAnsi="Arial" w:cs="Arial"/>
          <w:lang w:eastAsia="sr-Latn-RS"/>
        </w:rPr>
        <w:br/>
        <w:t>FG III 3.4</w:t>
      </w:r>
      <w:r w:rsidRPr="00984859">
        <w:rPr>
          <w:rFonts w:ascii="Arial" w:eastAsia="Times New Roman" w:hAnsi="Arial" w:cs="Arial"/>
          <w:lang w:eastAsia="sr-Latn-RS"/>
        </w:rPr>
        <w:br/>
        <w:t>Schichauweg 58</w:t>
      </w:r>
      <w:r w:rsidRPr="00984859">
        <w:rPr>
          <w:rFonts w:ascii="Arial" w:eastAsia="Times New Roman" w:hAnsi="Arial" w:cs="Arial"/>
          <w:lang w:eastAsia="sr-Latn-RS"/>
        </w:rPr>
        <w:br/>
        <w:t>12307 Berlin</w:t>
      </w:r>
      <w:r w:rsidRPr="00984859">
        <w:rPr>
          <w:rFonts w:ascii="Arial" w:eastAsia="Times New Roman" w:hAnsi="Arial" w:cs="Arial"/>
          <w:lang w:eastAsia="sr-Latn-RS"/>
        </w:rPr>
        <w:br/>
        <w:t>NEMAČKA</w:t>
      </w:r>
      <w:r w:rsidRPr="00984859">
        <w:rPr>
          <w:rFonts w:ascii="Arial" w:eastAsia="Times New Roman" w:hAnsi="Arial" w:cs="Arial"/>
          <w:lang w:eastAsia="sr-Latn-RS"/>
        </w:rPr>
        <w:br/>
        <w:t>e-mail: lemna@uba.de</w:t>
      </w:r>
      <w:r w:rsidRPr="00984859">
        <w:rPr>
          <w:rFonts w:ascii="Arial" w:eastAsia="Times New Roman" w:hAnsi="Arial" w:cs="Arial"/>
          <w:lang w:eastAsia="sr-Latn-RS"/>
        </w:rPr>
        <w:br/>
        <w:t xml:space="preserve">http://www.umweltbundesamt.de/contact.htm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Literatura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1. Hillman, W.S. (1961). The Lemnaceae or duckweeds: A review of the descriptive and experimental literature. The Botanical Review, 27:221-287.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2. Landolt, E. (1986). Biosystematic investigations in the family of duckweed (Lemnaceae). Vol. 2. Geobotanischen Inst. ETH, Stiftung Rubel, Zürich, Switzerland.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3. Björndahl, G. (1982). Growth performance, nutrient uptake and human utilization of duckweeds (Lemnaceae family). ISBN 82-991150-0-0. The Agricultural Research Council of Norway, University of Oslo.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4. Wang, W. (1986). Toxicity tests of aquatic pollutants by using common duckweed. Environmental Pollution, Ser B, 11:1-14.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5. Wang, W. (1990). Literature review on duckweed toxicity testing. Environmental Research, 52:7-22.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DODATAK 2.</w:t>
      </w:r>
      <w:r w:rsidRPr="00984859">
        <w:rPr>
          <w:rFonts w:ascii="Arial" w:eastAsia="Times New Roman" w:hAnsi="Arial" w:cs="Arial"/>
          <w:b/>
          <w:bCs/>
          <w:lang w:eastAsia="sr-Latn-RS"/>
        </w:rPr>
        <w:br/>
        <w:t xml:space="preserve">Održavanje radne kulture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Radne kulture se na nižoj temperaturi (4 °C do 10 °C) mogu duže vreme držati bez presejavanja. Kao hranljiva podloga za radne kulture </w:t>
      </w:r>
      <w:r w:rsidRPr="00984859">
        <w:rPr>
          <w:rFonts w:ascii="Arial" w:eastAsia="Times New Roman" w:hAnsi="Arial" w:cs="Arial"/>
          <w:i/>
          <w:iCs/>
          <w:lang w:eastAsia="sr-Latn-RS"/>
        </w:rPr>
        <w:t>Lemna</w:t>
      </w:r>
      <w:r w:rsidRPr="00984859">
        <w:rPr>
          <w:rFonts w:ascii="Arial" w:eastAsia="Times New Roman" w:hAnsi="Arial" w:cs="Arial"/>
          <w:lang w:eastAsia="sr-Latn-RS"/>
        </w:rPr>
        <w:t xml:space="preserve"> može se koristiti podloga koja se koristi u ispitivanju, ali moguće je koristiti i druge podloge bogate hranljivim materijama.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Određeni broj mladih svetlozelenih biljaka se povremeno premešta u nove sudove za uzgajanje sa svežom podlogom primenom aseptičkih postupaka. U hladnijim uslovima, kakvi se ovde preporučuju, presađivanje se može vršiti u razmacima do tri meseca.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Koriste se hemijski čisti (očišćeni kiselinom) i sterilni stakleni sudovi za uzgajanje, a kod rukovanja se primenjuju aseptički postupci. Ako dođe do zagađenja radne kulture npr. algama ili gljivicama, preduzeti potrebne mere za uklanjanje zagađujućih organizama. U slučaju algi i većine drugih zagađujućih organizama, to se može postići površinskom sterilizacijom. Uzme se uzorak zagađenog biljnog materijala i odseče korenje. Materijal se zatim snažno protrese u čistoj vodi i uroni u 0,5%-tni (v/v) rastvor natrijum hipohlorita, 30 sekundi do 5 minuta. Biljni materijal se zatim ispere sterilnom vodom i prenese u više šarži u sudove za uzgajanje koje sadrže svežu hranljivu podlogu. U ovom postupku mnogi listovi će uginuti, naročito kod dužeg vremena izlaganja, ali neki od preživelih potrebno je da budu nezagađeni. Oni se zatim ponovo mogu koristiti za inokulisanje novih kultura. </w:t>
      </w:r>
    </w:p>
    <w:p w:rsidR="00984859" w:rsidRPr="00984859" w:rsidRDefault="00984859" w:rsidP="00984859">
      <w:pPr>
        <w:spacing w:before="100" w:beforeAutospacing="1" w:after="100" w:afterAutospacing="1" w:line="240" w:lineRule="auto"/>
        <w:jc w:val="center"/>
        <w:rPr>
          <w:rFonts w:ascii="Arial" w:eastAsia="Times New Roman" w:hAnsi="Arial" w:cs="Arial"/>
          <w:b/>
          <w:bCs/>
          <w:lang w:eastAsia="sr-Latn-RS"/>
        </w:rPr>
      </w:pPr>
      <w:r w:rsidRPr="00984859">
        <w:rPr>
          <w:rFonts w:ascii="Arial" w:eastAsia="Times New Roman" w:hAnsi="Arial" w:cs="Arial"/>
          <w:b/>
          <w:bCs/>
          <w:lang w:eastAsia="sr-Latn-RS"/>
        </w:rPr>
        <w:t>DODATAK 3.</w:t>
      </w:r>
      <w:r w:rsidRPr="00984859">
        <w:rPr>
          <w:rFonts w:ascii="Arial" w:eastAsia="Times New Roman" w:hAnsi="Arial" w:cs="Arial"/>
          <w:b/>
          <w:bCs/>
          <w:lang w:eastAsia="sr-Latn-RS"/>
        </w:rPr>
        <w:br/>
        <w:t xml:space="preserve">Podloge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vrste </w:t>
      </w:r>
      <w:r w:rsidRPr="00984859">
        <w:rPr>
          <w:rFonts w:ascii="Arial" w:eastAsia="Times New Roman" w:hAnsi="Arial" w:cs="Arial"/>
          <w:i/>
          <w:iCs/>
          <w:lang w:eastAsia="sr-Latn-RS"/>
        </w:rPr>
        <w:t>L. minor</w:t>
      </w:r>
      <w:r w:rsidRPr="00984859">
        <w:rPr>
          <w:rFonts w:ascii="Arial" w:eastAsia="Times New Roman" w:hAnsi="Arial" w:cs="Arial"/>
          <w:lang w:eastAsia="sr-Latn-RS"/>
        </w:rPr>
        <w:t xml:space="preserve"> i </w:t>
      </w:r>
      <w:r w:rsidRPr="00984859">
        <w:rPr>
          <w:rFonts w:ascii="Arial" w:eastAsia="Times New Roman" w:hAnsi="Arial" w:cs="Arial"/>
          <w:i/>
          <w:iCs/>
          <w:lang w:eastAsia="sr-Latn-RS"/>
        </w:rPr>
        <w:t>L. gibba</w:t>
      </w:r>
      <w:r w:rsidRPr="00984859">
        <w:rPr>
          <w:rFonts w:ascii="Arial" w:eastAsia="Times New Roman" w:hAnsi="Arial" w:cs="Arial"/>
          <w:lang w:eastAsia="sr-Latn-RS"/>
        </w:rPr>
        <w:t xml:space="preserve"> preporučuju se različite hranljive podloge. Za </w:t>
      </w:r>
      <w:r w:rsidRPr="00984859">
        <w:rPr>
          <w:rFonts w:ascii="Arial" w:eastAsia="Times New Roman" w:hAnsi="Arial" w:cs="Arial"/>
          <w:i/>
          <w:iCs/>
          <w:lang w:eastAsia="sr-Latn-RS"/>
        </w:rPr>
        <w:t>L. minor</w:t>
      </w:r>
      <w:r w:rsidRPr="00984859">
        <w:rPr>
          <w:rFonts w:ascii="Arial" w:eastAsia="Times New Roman" w:hAnsi="Arial" w:cs="Arial"/>
          <w:lang w:eastAsia="sr-Latn-RS"/>
        </w:rPr>
        <w:t xml:space="preserve"> se preporučuje prilagođena varijanta podloge prema švedskom standardu (SIS), a za </w:t>
      </w:r>
      <w:r w:rsidRPr="00984859">
        <w:rPr>
          <w:rFonts w:ascii="Arial" w:eastAsia="Times New Roman" w:hAnsi="Arial" w:cs="Arial"/>
          <w:i/>
          <w:iCs/>
          <w:lang w:eastAsia="sr-Latn-RS"/>
        </w:rPr>
        <w:t>L. gibba</w:t>
      </w:r>
      <w:r w:rsidRPr="00984859">
        <w:rPr>
          <w:rFonts w:ascii="Arial" w:eastAsia="Times New Roman" w:hAnsi="Arial" w:cs="Arial"/>
          <w:lang w:eastAsia="sr-Latn-RS"/>
        </w:rPr>
        <w:t xml:space="preserve"> podloga 20X AAP. Sastav obe podloge dat je u daljem tekstu. Kod pripreme ovih podloga koristiti hemikalije čistoće PA ("pro analysis") odnosno hemikalije analitičke čistoće i dejonizovanu vodu.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Hranljiva podloga za vrste roda </w:t>
      </w:r>
      <w:r w:rsidRPr="00984859">
        <w:rPr>
          <w:rFonts w:ascii="Arial" w:eastAsia="Times New Roman" w:hAnsi="Arial" w:cs="Arial"/>
          <w:i/>
          <w:iCs/>
          <w:lang w:eastAsia="sr-Latn-RS"/>
        </w:rPr>
        <w:t>Lemna</w:t>
      </w:r>
      <w:r w:rsidRPr="00984859">
        <w:rPr>
          <w:rFonts w:ascii="Arial" w:eastAsia="Times New Roman" w:hAnsi="Arial" w:cs="Arial"/>
          <w:lang w:eastAsia="sr-Latn-RS"/>
        </w:rPr>
        <w:t xml:space="preserve"> prema švedskom standardu (SIS)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Radni rastvori I-V se sterilišu obradom u autoklavu (120° C, 15 minuta) ili membranskom filtracijom (veličina pora oko 0,2 μm).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Rastvor VI (i opciono VII) se sterilišu isključivo membranskom filtracijom; oni se ne smeju sterilisati u autoklavu.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Sterilni radni rastvori se čuvaju na hladnom i mračnom mestu. Radne rastvore I-V baciti nakon šest meseci, dok rastvori VI (i opciono VII) imaju rok upotrebe 1 mesec.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66"/>
        <w:gridCol w:w="1372"/>
        <w:gridCol w:w="1740"/>
        <w:gridCol w:w="2439"/>
        <w:gridCol w:w="868"/>
        <w:gridCol w:w="1647"/>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Radni rastvor br.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Koncentracija u radnom </w:t>
            </w:r>
            <w:r w:rsidRPr="00984859">
              <w:rPr>
                <w:rFonts w:ascii="Arial" w:eastAsia="Times New Roman" w:hAnsi="Arial" w:cs="Arial"/>
                <w:lang w:eastAsia="sr-Latn-RS"/>
              </w:rPr>
              <w:br/>
              <w:t>rastvoru (g·l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Koncentracija u pripremljenoj podlozi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Pripremljena podloga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Element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Koncentracija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br/>
              <w:t>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8,50</w:t>
            </w:r>
            <w:r w:rsidRPr="00984859">
              <w:rPr>
                <w:rFonts w:ascii="Arial" w:eastAsia="Times New Roman" w:hAnsi="Arial" w:cs="Arial"/>
                <w:lang w:eastAsia="sr-Latn-RS"/>
              </w:rPr>
              <w:br/>
              <w:t xml:space="preserve">1,34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85</w:t>
            </w:r>
            <w:r w:rsidRPr="00984859">
              <w:rPr>
                <w:rFonts w:ascii="Arial" w:eastAsia="Times New Roman" w:hAnsi="Arial" w:cs="Arial"/>
                <w:lang w:eastAsia="sr-Latn-RS"/>
              </w:rPr>
              <w:br/>
              <w:t xml:space="preserve">13,4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 N</w:t>
            </w:r>
            <w:r w:rsidRPr="00984859">
              <w:rPr>
                <w:rFonts w:ascii="Arial" w:eastAsia="Times New Roman" w:hAnsi="Arial" w:cs="Arial"/>
                <w:lang w:eastAsia="sr-Latn-RS"/>
              </w:rPr>
              <w:br/>
              <w:t xml:space="preserve">K; P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32; 14</w:t>
            </w:r>
            <w:r w:rsidRPr="00984859">
              <w:rPr>
                <w:rFonts w:ascii="Arial" w:eastAsia="Times New Roman" w:hAnsi="Arial" w:cs="Arial"/>
                <w:lang w:eastAsia="sr-Latn-RS"/>
              </w:rPr>
              <w:br/>
              <w:t xml:space="preserve">6,0; 2,4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 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7,4; 9,8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III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Ca; Cl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9,8; 17,5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IV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CO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BO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br/>
              <w:t>MnCl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w:t>
            </w:r>
            <w:r w:rsidRPr="00984859">
              <w:rPr>
                <w:rFonts w:ascii="Arial" w:eastAsia="Times New Roman" w:hAnsi="Arial" w:cs="Arial"/>
                <w:lang w:eastAsia="sr-Latn-RS"/>
              </w:rPr>
              <w:b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MoO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w:t>
            </w:r>
            <w:r w:rsidRPr="00984859">
              <w:rPr>
                <w:rFonts w:ascii="Arial" w:eastAsia="Times New Roman" w:hAnsi="Arial" w:cs="Arial"/>
                <w:lang w:eastAsia="sr-Latn-RS"/>
              </w:rPr>
              <w:br/>
              <w:t>ZnSO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CuSO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5H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Co(NO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w:t>
            </w:r>
            <w:r w:rsidRPr="00984859">
              <w:rPr>
                <w:rFonts w:ascii="Arial" w:eastAsia="Times New Roman" w:hAnsi="Arial" w:cs="Arial"/>
                <w:lang w:eastAsia="sr-Latn-RS"/>
              </w:rPr>
              <w:br/>
              <w:t>0,20</w:t>
            </w:r>
            <w:r w:rsidRPr="00984859">
              <w:rPr>
                <w:rFonts w:ascii="Arial" w:eastAsia="Times New Roman" w:hAnsi="Arial" w:cs="Arial"/>
                <w:lang w:eastAsia="sr-Latn-RS"/>
              </w:rPr>
              <w:br/>
              <w:t>0,010</w:t>
            </w:r>
            <w:r w:rsidRPr="00984859">
              <w:rPr>
                <w:rFonts w:ascii="Arial" w:eastAsia="Times New Roman" w:hAnsi="Arial" w:cs="Arial"/>
                <w:lang w:eastAsia="sr-Latn-RS"/>
              </w:rPr>
              <w:br/>
              <w:t xml:space="preserve">0,050 </w:t>
            </w:r>
            <w:r w:rsidRPr="00984859">
              <w:rPr>
                <w:rFonts w:ascii="Arial" w:eastAsia="Times New Roman" w:hAnsi="Arial" w:cs="Arial"/>
                <w:lang w:eastAsia="sr-Latn-RS"/>
              </w:rPr>
              <w:br/>
              <w:t xml:space="preserve">0,0050 </w:t>
            </w:r>
            <w:r w:rsidRPr="00984859">
              <w:rPr>
                <w:rFonts w:ascii="Arial" w:eastAsia="Times New Roman" w:hAnsi="Arial" w:cs="Arial"/>
                <w:lang w:eastAsia="sr-Latn-RS"/>
              </w:rPr>
              <w:br/>
              <w:t xml:space="preserve">0,010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1,00</w:t>
            </w:r>
            <w:r w:rsidRPr="00984859">
              <w:rPr>
                <w:rFonts w:ascii="Arial" w:eastAsia="Times New Roman" w:hAnsi="Arial" w:cs="Arial"/>
                <w:lang w:eastAsia="sr-Latn-RS"/>
              </w:rPr>
              <w:br/>
              <w:t>0,20</w:t>
            </w:r>
            <w:r w:rsidRPr="00984859">
              <w:rPr>
                <w:rFonts w:ascii="Arial" w:eastAsia="Times New Roman" w:hAnsi="Arial" w:cs="Arial"/>
                <w:lang w:eastAsia="sr-Latn-RS"/>
              </w:rPr>
              <w:br/>
              <w:t>0,010</w:t>
            </w:r>
            <w:r w:rsidRPr="00984859">
              <w:rPr>
                <w:rFonts w:ascii="Arial" w:eastAsia="Times New Roman" w:hAnsi="Arial" w:cs="Arial"/>
                <w:lang w:eastAsia="sr-Latn-RS"/>
              </w:rPr>
              <w:br/>
              <w:t>0,050</w:t>
            </w:r>
            <w:r w:rsidRPr="00984859">
              <w:rPr>
                <w:rFonts w:ascii="Arial" w:eastAsia="Times New Roman" w:hAnsi="Arial" w:cs="Arial"/>
                <w:lang w:eastAsia="sr-Latn-RS"/>
              </w:rPr>
              <w:br/>
              <w:t>0,0050</w:t>
            </w:r>
            <w:r w:rsidRPr="00984859">
              <w:rPr>
                <w:rFonts w:ascii="Arial" w:eastAsia="Times New Roman" w:hAnsi="Arial" w:cs="Arial"/>
                <w:lang w:eastAsia="sr-Latn-RS"/>
              </w:rPr>
              <w:br/>
              <w:t xml:space="preserve">0,010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lang w:eastAsia="sr-Latn-RS"/>
              </w:rPr>
              <w:br/>
              <w:t>Mn</w:t>
            </w:r>
            <w:r w:rsidRPr="00984859">
              <w:rPr>
                <w:rFonts w:ascii="Arial" w:eastAsia="Times New Roman" w:hAnsi="Arial" w:cs="Arial"/>
                <w:lang w:eastAsia="sr-Latn-RS"/>
              </w:rPr>
              <w:br/>
              <w:t>Mo</w:t>
            </w:r>
            <w:r w:rsidRPr="00984859">
              <w:rPr>
                <w:rFonts w:ascii="Arial" w:eastAsia="Times New Roman" w:hAnsi="Arial" w:cs="Arial"/>
                <w:lang w:eastAsia="sr-Latn-RS"/>
              </w:rPr>
              <w:br/>
              <w:t>Zn</w:t>
            </w:r>
            <w:r w:rsidRPr="00984859">
              <w:rPr>
                <w:rFonts w:ascii="Arial" w:eastAsia="Times New Roman" w:hAnsi="Arial" w:cs="Arial"/>
                <w:lang w:eastAsia="sr-Latn-RS"/>
              </w:rPr>
              <w:br/>
              <w:t>Cu</w:t>
            </w:r>
            <w:r w:rsidRPr="00984859">
              <w:rPr>
                <w:rFonts w:ascii="Arial" w:eastAsia="Times New Roman" w:hAnsi="Arial" w:cs="Arial"/>
                <w:lang w:eastAsia="sr-Latn-RS"/>
              </w:rPr>
              <w:br/>
              <w:t xml:space="preserve">Co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0,17</w:t>
            </w:r>
            <w:r w:rsidRPr="00984859">
              <w:rPr>
                <w:rFonts w:ascii="Arial" w:eastAsia="Times New Roman" w:hAnsi="Arial" w:cs="Arial"/>
                <w:lang w:eastAsia="sr-Latn-RS"/>
              </w:rPr>
              <w:br/>
              <w:t>0,056</w:t>
            </w:r>
            <w:r w:rsidRPr="00984859">
              <w:rPr>
                <w:rFonts w:ascii="Arial" w:eastAsia="Times New Roman" w:hAnsi="Arial" w:cs="Arial"/>
                <w:lang w:eastAsia="sr-Latn-RS"/>
              </w:rPr>
              <w:br/>
              <w:t xml:space="preserve">0,0040 </w:t>
            </w:r>
            <w:r w:rsidRPr="00984859">
              <w:rPr>
                <w:rFonts w:ascii="Arial" w:eastAsia="Times New Roman" w:hAnsi="Arial" w:cs="Arial"/>
                <w:lang w:eastAsia="sr-Latn-RS"/>
              </w:rPr>
              <w:br/>
              <w:t>0,011</w:t>
            </w:r>
            <w:r w:rsidRPr="00984859">
              <w:rPr>
                <w:rFonts w:ascii="Arial" w:eastAsia="Times New Roman" w:hAnsi="Arial" w:cs="Arial"/>
                <w:lang w:eastAsia="sr-Latn-RS"/>
              </w:rPr>
              <w:br/>
              <w:t>0,0013</w:t>
            </w:r>
            <w:r w:rsidRPr="00984859">
              <w:rPr>
                <w:rFonts w:ascii="Arial" w:eastAsia="Times New Roman" w:hAnsi="Arial" w:cs="Arial"/>
                <w:lang w:eastAsia="sr-Latn-RS"/>
              </w:rPr>
              <w:br/>
              <w:t xml:space="preserve">0,0020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 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r w:rsidRPr="00984859">
              <w:rPr>
                <w:rFonts w:ascii="Arial" w:eastAsia="Times New Roman" w:hAnsi="Arial" w:cs="Arial"/>
                <w:lang w:eastAsia="sr-Latn-RS"/>
              </w:rPr>
              <w:b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-EDTA·2H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0,17</w:t>
            </w:r>
            <w:r w:rsidRPr="00984859">
              <w:rPr>
                <w:rFonts w:ascii="Arial" w:eastAsia="Times New Roman" w:hAnsi="Arial" w:cs="Arial"/>
                <w:lang w:eastAsia="sr-Latn-RS"/>
              </w:rPr>
              <w:br/>
              <w:t xml:space="preserve">0,28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0,84</w:t>
            </w:r>
            <w:r w:rsidRPr="00984859">
              <w:rPr>
                <w:rFonts w:ascii="Arial" w:eastAsia="Times New Roman" w:hAnsi="Arial" w:cs="Arial"/>
                <w:lang w:eastAsia="sr-Latn-RS"/>
              </w:rPr>
              <w:b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Fe</w:t>
            </w:r>
            <w:r w:rsidRPr="00984859">
              <w:rPr>
                <w:rFonts w:ascii="Arial" w:eastAsia="Times New Roman" w:hAnsi="Arial" w:cs="Arial"/>
                <w:lang w:eastAsia="sr-Latn-RS"/>
              </w:rPr>
              <w:b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0,17</w:t>
            </w:r>
            <w:r w:rsidRPr="00984859">
              <w:rPr>
                <w:rFonts w:ascii="Arial" w:eastAsia="Times New Roman" w:hAnsi="Arial" w:cs="Arial"/>
                <w:lang w:eastAsia="sr-Latn-RS"/>
              </w:rPr>
              <w:b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VII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MOPS (pufer)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Da bi se dobio jedan litar podloge SIS, u 900 ml dejonizovane vode doda se: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- 10 ml radnog rastvora 1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- 5 ml radnog rastvora II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- 5 ml radnog rastvora III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- 5 ml radnog rastvora IV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 ml radnog rastvora V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- 5 ml radnog rastvora VI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- 1 ml radnog rastvora VII (opciono)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Napomena: Kod nekih supstanci potreban je još jedan radni rastvor VII (pufer MOPS) (videti poslednji stav u odeljku 1.4. ove metode).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pH vrednost se podesi na 6,5 ± 0,2 pomoću 0,1 ili 1 mol HCl ili NaOH, i dopuni dejonizovanom vodom do zapremine od jednog litra.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Hranljiva podloga 20X AAP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Radni rastvori se pripremaju u sterilnoj destilovanoj ili dejonizovanoj vodi.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Sterilni radni rastvori se čuvaju na hladnom i mračnom mestu. U tim uslovima radni rastvori će imati rok upotrebe najmanje 6 do 8 nedelja.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podlogu 20X - AAP pripremiti pet radnih rastvora sa hranljivim materijama (A1, A2, A3, B i C) koristeći reagensno čiste hemikalije. Hranljiva podloga se dobija tako što se u približno 850 ml dejonizovane vode doda po 20 ml svakog od radnih rastvora sa hranljivim materijama. - pH vrednost se podesi na 7,5 ± 0,1 pomoću 0,1 ili 1 mol HCl ili NaOH, i dopuni dejonizovanom vodom do zapremine od jednog litra. Zatim se podloga profiltrira u sterilnu posudu kroz membranski filter (približno) 0,2 mm.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Hranljivu podlogu za ispitivanje pripremiti 1-2 dana pre upotrebe kako bi se stabilizovala pH vrednost. pH vrednost hranljive podloge proveriti pre upotrebe i prema potrebi podesiti dodavanjem 0,1 ili 1 M NaOH ili HCl kako je navedeno u gornjem tekstu.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74"/>
        <w:gridCol w:w="1715"/>
        <w:gridCol w:w="1968"/>
        <w:gridCol w:w="2075"/>
        <w:gridCol w:w="951"/>
        <w:gridCol w:w="1449"/>
      </w:tblGrid>
      <w:tr w:rsidR="00984859" w:rsidRPr="00984859" w:rsidTr="0098485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Radni rastvor br.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Koncentracija u radnom rastvoru (g·l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Koncentracija u pripremljenoj podlozi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Pripremljena podloga </w:t>
            </w:r>
          </w:p>
        </w:tc>
      </w:tr>
      <w:tr w:rsidR="00984859" w:rsidRPr="00984859" w:rsidTr="009848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84859" w:rsidRPr="00984859" w:rsidRDefault="00984859" w:rsidP="00984859">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Element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Koncentra-cija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t xml:space="preserve">)*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br/>
              <w:t>MgCl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w:t>
            </w:r>
            <w:r w:rsidRPr="00984859">
              <w:rPr>
                <w:rFonts w:ascii="Arial" w:eastAsia="Times New Roman" w:hAnsi="Arial" w:cs="Arial"/>
                <w:lang w:eastAsia="sr-Latn-RS"/>
              </w:rPr>
              <w:br/>
              <w:t>CaCl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26</w:t>
            </w:r>
            <w:r w:rsidRPr="00984859">
              <w:rPr>
                <w:rFonts w:ascii="Arial" w:eastAsia="Times New Roman" w:hAnsi="Arial" w:cs="Arial"/>
                <w:lang w:eastAsia="sr-Latn-RS"/>
              </w:rPr>
              <w:br/>
              <w:t>12</w:t>
            </w:r>
            <w:r w:rsidRPr="00984859">
              <w:rPr>
                <w:rFonts w:ascii="Arial" w:eastAsia="Times New Roman" w:hAnsi="Arial" w:cs="Arial"/>
                <w:lang w:eastAsia="sr-Latn-RS"/>
              </w:rPr>
              <w:br/>
              <w:t xml:space="preserve">4,4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510</w:t>
            </w:r>
            <w:r w:rsidRPr="00984859">
              <w:rPr>
                <w:rFonts w:ascii="Arial" w:eastAsia="Times New Roman" w:hAnsi="Arial" w:cs="Arial"/>
                <w:lang w:eastAsia="sr-Latn-RS"/>
              </w:rPr>
              <w:br/>
              <w:t>240</w:t>
            </w:r>
            <w:r w:rsidRPr="00984859">
              <w:rPr>
                <w:rFonts w:ascii="Arial" w:eastAsia="Times New Roman" w:hAnsi="Arial" w:cs="Arial"/>
                <w:lang w:eastAsia="sr-Latn-RS"/>
              </w:rPr>
              <w:br/>
              <w:t xml:space="preserve">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 N</w:t>
            </w:r>
            <w:r w:rsidRPr="00984859">
              <w:rPr>
                <w:rFonts w:ascii="Arial" w:eastAsia="Times New Roman" w:hAnsi="Arial" w:cs="Arial"/>
                <w:lang w:eastAsia="sr-Latn-RS"/>
              </w:rPr>
              <w:br/>
              <w:t>Mg</w:t>
            </w:r>
            <w:r w:rsidRPr="00984859">
              <w:rPr>
                <w:rFonts w:ascii="Arial" w:eastAsia="Times New Roman" w:hAnsi="Arial" w:cs="Arial"/>
                <w:lang w:eastAsia="sr-Latn-RS"/>
              </w:rPr>
              <w:br/>
              <w:t xml:space="preserve">Ca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190; 84</w:t>
            </w:r>
            <w:r w:rsidRPr="00984859">
              <w:rPr>
                <w:rFonts w:ascii="Arial" w:eastAsia="Times New Roman" w:hAnsi="Arial" w:cs="Arial"/>
                <w:lang w:eastAsia="sr-Latn-RS"/>
              </w:rPr>
              <w:br/>
              <w:t>58,08</w:t>
            </w:r>
            <w:r w:rsidRPr="00984859">
              <w:rPr>
                <w:rFonts w:ascii="Arial" w:eastAsia="Times New Roman" w:hAnsi="Arial" w:cs="Arial"/>
                <w:lang w:eastAsia="sr-Latn-RS"/>
              </w:rPr>
              <w:br/>
              <w:t xml:space="preserve">24,04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38,22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A3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·3H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 P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9,4;3,7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B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BO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br/>
              <w:t>MnCl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w:t>
            </w:r>
            <w:r w:rsidRPr="00984859">
              <w:rPr>
                <w:rFonts w:ascii="Arial" w:eastAsia="Times New Roman" w:hAnsi="Arial" w:cs="Arial"/>
                <w:lang w:eastAsia="sr-Latn-RS"/>
              </w:rPr>
              <w:br/>
              <w:t>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w:t>
            </w:r>
            <w:r w:rsidRPr="00984859">
              <w:rPr>
                <w:rFonts w:ascii="Arial" w:eastAsia="Times New Roman" w:hAnsi="Arial" w:cs="Arial"/>
                <w:lang w:eastAsia="sr-Latn-RS"/>
              </w:rPr>
              <w:b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EDTA·2H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w:t>
            </w:r>
            <w:r w:rsidRPr="00984859">
              <w:rPr>
                <w:rFonts w:ascii="Arial" w:eastAsia="Times New Roman" w:hAnsi="Arial" w:cs="Arial"/>
                <w:lang w:eastAsia="sr-Latn-RS"/>
              </w:rPr>
              <w:br/>
              <w:t>ZnCl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br/>
              <w:t>CoCl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w:t>
            </w:r>
            <w:r w:rsidRPr="00984859">
              <w:rPr>
                <w:rFonts w:ascii="Arial" w:eastAsia="Times New Roman" w:hAnsi="Arial" w:cs="Arial"/>
                <w:lang w:eastAsia="sr-Latn-RS"/>
              </w:rPr>
              <w:b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MoO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O</w:t>
            </w:r>
            <w:r w:rsidRPr="00984859">
              <w:rPr>
                <w:rFonts w:ascii="Arial" w:eastAsia="Times New Roman" w:hAnsi="Arial" w:cs="Arial"/>
                <w:lang w:eastAsia="sr-Latn-RS"/>
              </w:rPr>
              <w:br/>
              <w:t>CuCl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0,19</w:t>
            </w:r>
            <w:r w:rsidRPr="00984859">
              <w:rPr>
                <w:rFonts w:ascii="Arial" w:eastAsia="Times New Roman" w:hAnsi="Arial" w:cs="Arial"/>
                <w:lang w:eastAsia="sr-Latn-RS"/>
              </w:rPr>
              <w:br/>
              <w:t>0,42</w:t>
            </w:r>
            <w:r w:rsidRPr="00984859">
              <w:rPr>
                <w:rFonts w:ascii="Arial" w:eastAsia="Times New Roman" w:hAnsi="Arial" w:cs="Arial"/>
                <w:lang w:eastAsia="sr-Latn-RS"/>
              </w:rPr>
              <w:br/>
              <w:t>0,16</w:t>
            </w:r>
            <w:r w:rsidRPr="00984859">
              <w:rPr>
                <w:rFonts w:ascii="Arial" w:eastAsia="Times New Roman" w:hAnsi="Arial" w:cs="Arial"/>
                <w:lang w:eastAsia="sr-Latn-RS"/>
              </w:rPr>
              <w:br/>
              <w:t>0,30</w:t>
            </w:r>
            <w:r w:rsidRPr="00984859">
              <w:rPr>
                <w:rFonts w:ascii="Arial" w:eastAsia="Times New Roman" w:hAnsi="Arial" w:cs="Arial"/>
                <w:lang w:eastAsia="sr-Latn-RS"/>
              </w:rPr>
              <w:br/>
              <w:t>3,3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1,4 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7,3mg·l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0,012 mg·l</w:t>
            </w:r>
            <w:r w:rsidRPr="00984859">
              <w:rPr>
                <w:rFonts w:ascii="Arial" w:eastAsia="Times New Roman" w:hAnsi="Arial" w:cs="Arial"/>
                <w:sz w:val="15"/>
                <w:szCs w:val="15"/>
                <w:vertAlign w:val="super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3,7</w:t>
            </w:r>
            <w:r w:rsidRPr="00984859">
              <w:rPr>
                <w:rFonts w:ascii="Arial" w:eastAsia="Times New Roman" w:hAnsi="Arial" w:cs="Arial"/>
                <w:lang w:eastAsia="sr-Latn-RS"/>
              </w:rPr>
              <w:br/>
              <w:t>8,3</w:t>
            </w:r>
            <w:r w:rsidRPr="00984859">
              <w:rPr>
                <w:rFonts w:ascii="Arial" w:eastAsia="Times New Roman" w:hAnsi="Arial" w:cs="Arial"/>
                <w:lang w:eastAsia="sr-Latn-RS"/>
              </w:rPr>
              <w:br/>
              <w:t>3,2</w:t>
            </w:r>
            <w:r w:rsidRPr="00984859">
              <w:rPr>
                <w:rFonts w:ascii="Arial" w:eastAsia="Times New Roman" w:hAnsi="Arial" w:cs="Arial"/>
                <w:lang w:eastAsia="sr-Latn-RS"/>
              </w:rPr>
              <w:br/>
              <w:t>6,0</w:t>
            </w:r>
            <w:r w:rsidRPr="00984859">
              <w:rPr>
                <w:rFonts w:ascii="Arial" w:eastAsia="Times New Roman" w:hAnsi="Arial" w:cs="Arial"/>
                <w:lang w:eastAsia="sr-Latn-RS"/>
              </w:rPr>
              <w:br/>
              <w:t>66 μg·l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29 μg·l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145 μg·l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0,24 μg·l</w:t>
            </w:r>
            <w:r w:rsidRPr="00984859">
              <w:rPr>
                <w:rFonts w:ascii="Arial" w:eastAsia="Times New Roman" w:hAnsi="Arial" w:cs="Arial"/>
                <w:sz w:val="15"/>
                <w:szCs w:val="15"/>
                <w:vertAlign w:val="superscript"/>
                <w:lang w:eastAsia="sr-Latn-RS"/>
              </w:rPr>
              <w:t>-1</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B</w:t>
            </w:r>
            <w:r w:rsidRPr="00984859">
              <w:rPr>
                <w:rFonts w:ascii="Arial" w:eastAsia="Times New Roman" w:hAnsi="Arial" w:cs="Arial"/>
                <w:lang w:eastAsia="sr-Latn-RS"/>
              </w:rPr>
              <w:br/>
              <w:t>Mn</w:t>
            </w:r>
            <w:r w:rsidRPr="00984859">
              <w:rPr>
                <w:rFonts w:ascii="Arial" w:eastAsia="Times New Roman" w:hAnsi="Arial" w:cs="Arial"/>
                <w:lang w:eastAsia="sr-Latn-RS"/>
              </w:rPr>
              <w:br/>
              <w:t>Fe</w:t>
            </w:r>
            <w:r w:rsidRPr="00984859">
              <w:rPr>
                <w:rFonts w:ascii="Arial" w:eastAsia="Times New Roman" w:hAnsi="Arial" w:cs="Arial"/>
                <w:lang w:eastAsia="sr-Latn-RS"/>
              </w:rPr>
              <w:br/>
              <w:t>-</w:t>
            </w:r>
            <w:r w:rsidRPr="00984859">
              <w:rPr>
                <w:rFonts w:ascii="Arial" w:eastAsia="Times New Roman" w:hAnsi="Arial" w:cs="Arial"/>
                <w:lang w:eastAsia="sr-Latn-RS"/>
              </w:rPr>
              <w:br/>
              <w:t>Zn</w:t>
            </w:r>
            <w:r w:rsidRPr="00984859">
              <w:rPr>
                <w:rFonts w:ascii="Arial" w:eastAsia="Times New Roman" w:hAnsi="Arial" w:cs="Arial"/>
                <w:lang w:eastAsia="sr-Latn-RS"/>
              </w:rPr>
              <w:br/>
              <w:t>Co</w:t>
            </w:r>
            <w:r w:rsidRPr="00984859">
              <w:rPr>
                <w:rFonts w:ascii="Arial" w:eastAsia="Times New Roman" w:hAnsi="Arial" w:cs="Arial"/>
                <w:lang w:eastAsia="sr-Latn-RS"/>
              </w:rPr>
              <w:br/>
              <w:t>Mo</w:t>
            </w:r>
            <w:r w:rsidRPr="00984859">
              <w:rPr>
                <w:rFonts w:ascii="Arial" w:eastAsia="Times New Roman" w:hAnsi="Arial" w:cs="Arial"/>
                <w:lang w:eastAsia="sr-Latn-RS"/>
              </w:rPr>
              <w:br/>
              <w:t xml:space="preserve">Cu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0,65</w:t>
            </w:r>
            <w:r w:rsidRPr="00984859">
              <w:rPr>
                <w:rFonts w:ascii="Arial" w:eastAsia="Times New Roman" w:hAnsi="Arial" w:cs="Arial"/>
                <w:lang w:eastAsia="sr-Latn-RS"/>
              </w:rPr>
              <w:br/>
              <w:t>2,3</w:t>
            </w:r>
            <w:r w:rsidRPr="00984859">
              <w:rPr>
                <w:rFonts w:ascii="Arial" w:eastAsia="Times New Roman" w:hAnsi="Arial" w:cs="Arial"/>
                <w:lang w:eastAsia="sr-Latn-RS"/>
              </w:rPr>
              <w:br/>
              <w:t>0,66</w:t>
            </w:r>
            <w:r w:rsidRPr="00984859">
              <w:rPr>
                <w:rFonts w:ascii="Arial" w:eastAsia="Times New Roman" w:hAnsi="Arial" w:cs="Arial"/>
                <w:lang w:eastAsia="sr-Latn-RS"/>
              </w:rPr>
              <w:br/>
              <w:t>-</w:t>
            </w:r>
            <w:r w:rsidRPr="00984859">
              <w:rPr>
                <w:rFonts w:ascii="Arial" w:eastAsia="Times New Roman" w:hAnsi="Arial" w:cs="Arial"/>
                <w:lang w:eastAsia="sr-Latn-RS"/>
              </w:rPr>
              <w:br/>
              <w:t>31 μg·l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7,1 μg·l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58 μg·l</w:t>
            </w:r>
            <w:r w:rsidRPr="00984859">
              <w:rPr>
                <w:rFonts w:ascii="Arial" w:eastAsia="Times New Roman" w:hAnsi="Arial" w:cs="Arial"/>
                <w:sz w:val="15"/>
                <w:szCs w:val="15"/>
                <w:vertAlign w:val="superscript"/>
                <w:lang w:eastAsia="sr-Latn-RS"/>
              </w:rPr>
              <w:t>-1</w:t>
            </w:r>
            <w:r w:rsidRPr="00984859">
              <w:rPr>
                <w:rFonts w:ascii="Arial" w:eastAsia="Times New Roman" w:hAnsi="Arial" w:cs="Arial"/>
                <w:lang w:eastAsia="sr-Latn-RS"/>
              </w:rPr>
              <w:br/>
              <w:t>0,080 μg·l</w:t>
            </w:r>
            <w:r w:rsidRPr="00984859">
              <w:rPr>
                <w:rFonts w:ascii="Arial" w:eastAsia="Times New Roman" w:hAnsi="Arial" w:cs="Arial"/>
                <w:sz w:val="15"/>
                <w:szCs w:val="15"/>
                <w:vertAlign w:val="superscript"/>
                <w:lang w:eastAsia="sr-Latn-RS"/>
              </w:rPr>
              <w:t>-1</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NaHCO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Na; C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220; 43 </w:t>
            </w:r>
          </w:p>
        </w:tc>
      </w:tr>
      <w:tr w:rsidR="00984859" w:rsidRPr="00984859" w:rsidTr="00984859">
        <w:trPr>
          <w:tblCellSpacing w:w="0" w:type="dxa"/>
        </w:trPr>
        <w:tc>
          <w:tcPr>
            <w:tcW w:w="0" w:type="auto"/>
            <w:gridSpan w:val="6"/>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Napomena: Teoretski odgovarajuća konačna koncentracija bikarbonata (kojom se izbegavaju značajnija podešavanja pH vrednosti) je 15 mg/l, a ne 300 mg/l. Prethodna iskustva s upotrebom podloge 20X-AAP, uključujući međunarodno međulaboratorijsko ispitivanje za ovu metodu, zasnivaju se na 300 mg/l. (I. Sims, P. Whitehouse and R. Lacey. (1999) The OECD Lemna Growth Inhibition Test. Development and Ring-testing of draft OECD Test Guideline. R &amp; D Technical Report EMA 003. WRc plc - Environment Agency.</w:t>
            </w:r>
            <w:r w:rsidRPr="00984859">
              <w:rPr>
                <w:rFonts w:ascii="Arial" w:eastAsia="Times New Roman" w:hAnsi="Arial" w:cs="Arial"/>
                <w:lang w:eastAsia="sr-Latn-RS"/>
              </w:rPr>
              <w:br/>
              <w:t xml:space="preserve">*Ako nije drugačije navedeno </w:t>
            </w:r>
          </w:p>
        </w:tc>
      </w:tr>
    </w:tbl>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Podloga ŠTAJNBERG (prema standardu ISO 20079)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Koncentracije i radni rastvori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Modifikovana podloga Štajnberg je u standardu ISO 20079 predviđena samo za </w:t>
      </w:r>
      <w:r w:rsidRPr="00984859">
        <w:rPr>
          <w:rFonts w:ascii="Arial" w:eastAsia="Times New Roman" w:hAnsi="Arial" w:cs="Arial"/>
          <w:i/>
          <w:iCs/>
          <w:lang w:eastAsia="sr-Latn-RS"/>
        </w:rPr>
        <w:t>Lemna minor</w:t>
      </w:r>
      <w:r w:rsidRPr="00984859">
        <w:rPr>
          <w:rFonts w:ascii="Arial" w:eastAsia="Times New Roman" w:hAnsi="Arial" w:cs="Arial"/>
          <w:lang w:eastAsia="sr-Latn-RS"/>
        </w:rPr>
        <w:t xml:space="preserve"> (budući da je tamo jedino i dozvoljena vrsta </w:t>
      </w:r>
      <w:r w:rsidRPr="00984859">
        <w:rPr>
          <w:rFonts w:ascii="Arial" w:eastAsia="Times New Roman" w:hAnsi="Arial" w:cs="Arial"/>
          <w:i/>
          <w:iCs/>
          <w:lang w:eastAsia="sr-Latn-RS"/>
        </w:rPr>
        <w:t>Lemna minor</w:t>
      </w:r>
      <w:r w:rsidRPr="00984859">
        <w:rPr>
          <w:rFonts w:ascii="Arial" w:eastAsia="Times New Roman" w:hAnsi="Arial" w:cs="Arial"/>
          <w:lang w:eastAsia="sr-Latn-RS"/>
        </w:rPr>
        <w:t xml:space="preserve">), ali ispitivanja su pokazala da se i sa vrstom </w:t>
      </w:r>
      <w:r w:rsidRPr="00984859">
        <w:rPr>
          <w:rFonts w:ascii="Arial" w:eastAsia="Times New Roman" w:hAnsi="Arial" w:cs="Arial"/>
          <w:i/>
          <w:iCs/>
          <w:lang w:eastAsia="sr-Latn-RS"/>
        </w:rPr>
        <w:t>Lemna gibba</w:t>
      </w:r>
      <w:r w:rsidRPr="00984859">
        <w:rPr>
          <w:rFonts w:ascii="Arial" w:eastAsia="Times New Roman" w:hAnsi="Arial" w:cs="Arial"/>
          <w:lang w:eastAsia="sr-Latn-RS"/>
        </w:rPr>
        <w:t xml:space="preserve"> mogu postići dobri rezultati.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lastRenderedPageBreak/>
        <w:t xml:space="preserve">Kod pripreme ove podloge koristiti hemikalije čistoće PA ("pro analysis" odnosno hemikalije analitičke čistoće i dejonizovanu vodu.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Hranljiva podloga se priprema iz radnih rastvora ili 10-struko koncentrisane podluge kako bi se dobila maksimalna koncentracija podloge koja se može postići bez taloženja.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1. pH-stabilizovana podloga ŠTAJNBERG (varijanta prema Altenburgeru)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946"/>
        <w:gridCol w:w="2346"/>
        <w:gridCol w:w="1554"/>
        <w:gridCol w:w="1286"/>
      </w:tblGrid>
      <w:tr w:rsidR="00984859" w:rsidRPr="00984859" w:rsidTr="0098485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Supstanca </w:t>
            </w:r>
          </w:p>
        </w:tc>
        <w:tc>
          <w:tcPr>
            <w:tcW w:w="0" w:type="auto"/>
            <w:gridSpan w:val="2"/>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Hranljiva podloga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Makroelementi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molarna masa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mmol/l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KNO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101,12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350,00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3,46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Ca(NO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236,15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295,00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1,25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136,09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90,00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0,66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174,18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12,60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0,072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246,37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0,41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Mikroelementi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molarna masa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µg/l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µmol/l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BO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61,83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1,94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ZnSO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287,43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0,63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MoO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241,92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0,18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MnCl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197,84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0,91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 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270,21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2,81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EDTA dinatrijum dihidrat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372,24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1500,00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4,03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2. Radni rastvori (makroelementi)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997"/>
        <w:gridCol w:w="1135"/>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 Makroelementi (50-struko koncentrisano)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Radni rastvor 1:</w:t>
            </w:r>
            <w:r w:rsidRPr="00984859">
              <w:rPr>
                <w:rFonts w:ascii="Arial" w:eastAsia="Times New Roman" w:hAnsi="Arial" w:cs="Arial"/>
                <w:lang w:eastAsia="sr-Latn-RS"/>
              </w:rPr>
              <w:br/>
              <w:t>KNO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br/>
              <w:t>KH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PO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br/>
              <w:t>K</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HPO</w:t>
            </w:r>
            <w:r w:rsidRPr="00984859">
              <w:rPr>
                <w:rFonts w:ascii="Arial" w:eastAsia="Times New Roman" w:hAnsi="Arial" w:cs="Arial"/>
                <w:sz w:val="15"/>
                <w:szCs w:val="15"/>
                <w:vertAlign w:val="subscript"/>
                <w:lang w:eastAsia="sr-Latn-RS"/>
              </w:rPr>
              <w:t>4</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17,50</w:t>
            </w:r>
            <w:r w:rsidRPr="00984859">
              <w:rPr>
                <w:rFonts w:ascii="Arial" w:eastAsia="Times New Roman" w:hAnsi="Arial" w:cs="Arial"/>
                <w:lang w:eastAsia="sr-Latn-RS"/>
              </w:rPr>
              <w:br/>
              <w:t>4,5</w:t>
            </w:r>
            <w:r w:rsidRPr="00984859">
              <w:rPr>
                <w:rFonts w:ascii="Arial" w:eastAsia="Times New Roman" w:hAnsi="Arial" w:cs="Arial"/>
                <w:lang w:eastAsia="sr-Latn-RS"/>
              </w:rPr>
              <w:br/>
              <w:t xml:space="preserve">0,63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Radni rastvor 2:</w:t>
            </w:r>
            <w:r w:rsidRPr="00984859">
              <w:rPr>
                <w:rFonts w:ascii="Arial" w:eastAsia="Times New Roman" w:hAnsi="Arial" w:cs="Arial"/>
                <w:lang w:eastAsia="sr-Latn-RS"/>
              </w:rPr>
              <w:br/>
              <w:t>MgSO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5,00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Radni rastvor 3:</w:t>
            </w:r>
            <w:r w:rsidRPr="00984859">
              <w:rPr>
                <w:rFonts w:ascii="Arial" w:eastAsia="Times New Roman" w:hAnsi="Arial" w:cs="Arial"/>
                <w:lang w:eastAsia="sr-Latn-RS"/>
              </w:rPr>
              <w:br/>
              <w:t>Ca(NO</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14,75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Tabela 3. Radni rastvori (mikroelementi)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666"/>
        <w:gridCol w:w="1466"/>
      </w:tblGrid>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2. Mikroelementi (1000-struko koncentrisano)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mg/l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Radni rastvor 4:</w:t>
            </w:r>
            <w:r w:rsidRPr="00984859">
              <w:rPr>
                <w:rFonts w:ascii="Arial" w:eastAsia="Times New Roman" w:hAnsi="Arial" w:cs="Arial"/>
                <w:lang w:eastAsia="sr-Latn-RS"/>
              </w:rPr>
              <w:br/>
              <w:t>H</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BO</w:t>
            </w:r>
            <w:r w:rsidRPr="00984859">
              <w:rPr>
                <w:rFonts w:ascii="Arial" w:eastAsia="Times New Roman" w:hAnsi="Arial" w:cs="Arial"/>
                <w:sz w:val="15"/>
                <w:szCs w:val="15"/>
                <w:vertAlign w:val="subscript"/>
                <w:lang w:eastAsia="sr-Latn-RS"/>
              </w:rPr>
              <w:t>3</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120,0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Radni rastvor 5:</w:t>
            </w:r>
            <w:r w:rsidRPr="00984859">
              <w:rPr>
                <w:rFonts w:ascii="Arial" w:eastAsia="Times New Roman" w:hAnsi="Arial" w:cs="Arial"/>
                <w:lang w:eastAsia="sr-Latn-RS"/>
              </w:rPr>
              <w:br/>
              <w:t>ZnSO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7H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Radni rastvor 6:</w:t>
            </w:r>
            <w:r w:rsidRPr="00984859">
              <w:rPr>
                <w:rFonts w:ascii="Arial" w:eastAsia="Times New Roman" w:hAnsi="Arial" w:cs="Arial"/>
                <w:lang w:eastAsia="sr-Latn-RS"/>
              </w:rPr>
              <w:br/>
              <w:t>Na</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MoO</w:t>
            </w:r>
            <w:r w:rsidRPr="00984859">
              <w:rPr>
                <w:rFonts w:ascii="Arial" w:eastAsia="Times New Roman" w:hAnsi="Arial" w:cs="Arial"/>
                <w:sz w:val="15"/>
                <w:szCs w:val="15"/>
                <w:vertAlign w:val="subscript"/>
                <w:lang w:eastAsia="sr-Latn-RS"/>
              </w:rPr>
              <w:t>4</w:t>
            </w:r>
            <w:r w:rsidRPr="00984859">
              <w:rPr>
                <w:rFonts w:ascii="Arial" w:eastAsia="Times New Roman" w:hAnsi="Arial" w:cs="Arial"/>
                <w:lang w:eastAsia="sr-Latn-RS"/>
              </w:rPr>
              <w:t xml:space="preserve"> · 2H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44,0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Radni rastvor 7:</w:t>
            </w:r>
            <w:r w:rsidRPr="00984859">
              <w:rPr>
                <w:rFonts w:ascii="Arial" w:eastAsia="Times New Roman" w:hAnsi="Arial" w:cs="Arial"/>
                <w:lang w:eastAsia="sr-Latn-RS"/>
              </w:rPr>
              <w:br/>
              <w:t>MnCl</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 · 4H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180,0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Radni rastvor 8:</w:t>
            </w:r>
            <w:r w:rsidRPr="00984859">
              <w:rPr>
                <w:rFonts w:ascii="Arial" w:eastAsia="Times New Roman" w:hAnsi="Arial" w:cs="Arial"/>
                <w:lang w:eastAsia="sr-Latn-RS"/>
              </w:rPr>
              <w:br/>
              <w:t>FeCl</w:t>
            </w:r>
            <w:r w:rsidRPr="00984859">
              <w:rPr>
                <w:rFonts w:ascii="Arial" w:eastAsia="Times New Roman" w:hAnsi="Arial" w:cs="Arial"/>
                <w:sz w:val="15"/>
                <w:szCs w:val="15"/>
                <w:vertAlign w:val="subscript"/>
                <w:lang w:eastAsia="sr-Latn-RS"/>
              </w:rPr>
              <w:t>3</w:t>
            </w:r>
            <w:r w:rsidRPr="00984859">
              <w:rPr>
                <w:rFonts w:ascii="Arial" w:eastAsia="Times New Roman" w:hAnsi="Arial" w:cs="Arial"/>
                <w:lang w:eastAsia="sr-Latn-RS"/>
              </w:rPr>
              <w:t xml:space="preserve"> · 6H</w:t>
            </w:r>
            <w:r w:rsidRPr="00984859">
              <w:rPr>
                <w:rFonts w:ascii="Arial" w:eastAsia="Times New Roman" w:hAnsi="Arial" w:cs="Arial"/>
                <w:sz w:val="15"/>
                <w:szCs w:val="15"/>
                <w:vertAlign w:val="subscript"/>
                <w:lang w:eastAsia="sr-Latn-RS"/>
              </w:rPr>
              <w:t>2</w:t>
            </w:r>
            <w:r w:rsidRPr="00984859">
              <w:rPr>
                <w:rFonts w:ascii="Arial" w:eastAsia="Times New Roman" w:hAnsi="Arial" w:cs="Arial"/>
                <w:lang w:eastAsia="sr-Latn-RS"/>
              </w:rPr>
              <w:t xml:space="preserve">O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760,00 </w:t>
            </w:r>
          </w:p>
        </w:tc>
      </w:tr>
      <w:tr w:rsidR="00984859" w:rsidRPr="00984859" w:rsidTr="0098485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lastRenderedPageBreak/>
              <w:t xml:space="preserve">EDTA dinatrijum dihidrat </w:t>
            </w:r>
          </w:p>
        </w:tc>
        <w:tc>
          <w:tcPr>
            <w:tcW w:w="0" w:type="auto"/>
            <w:tcBorders>
              <w:top w:val="outset" w:sz="6" w:space="0" w:color="auto"/>
              <w:left w:val="outset" w:sz="6" w:space="0" w:color="auto"/>
              <w:bottom w:val="outset" w:sz="6" w:space="0" w:color="auto"/>
              <w:right w:val="outset" w:sz="6" w:space="0" w:color="auto"/>
            </w:tcBorders>
            <w:hideMark/>
          </w:tcPr>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1500,00 </w:t>
            </w:r>
          </w:p>
        </w:tc>
      </w:tr>
    </w:tbl>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Radni rastvori 2 i 3 mogu se objediniti, kao i radni rastvori 4-7 (uzimajući u obzir tražene koncentracije).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Za duži rok upotrebe radne rastvore obraditi u autoklavu 20 minuta na temperaturi od 121°C ili izvršiti sterilnu filtraciju (0,2 µm). Za radni rastvor 8 u svakom slučaju se preporučuje sterilna filtracija (0,2 µm).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Priprema konačne koncentracija podloge ŠTAJNBERG (modifikovana)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ml radnih rastvora 1, 2 i 3 (videti Tabelu 2) doda se u oko 900 ml dejonizovane vode kako bi se izbeglo taloženje;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 se 1,0 ml radnih rastvora 4, 5, 6, 7 i 8 (videti Tabelu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pH vrednost da bude 5,5 ± 0,2 (podesiti dodavanjem minimalne zapremine rastvora NaOH ili HCl);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Dopuni se vodom do 1000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su radni rastvori sterilisani i koristi se odgovarajuća voda, nije potrebna dodatna sterilizacija. Ako se sterilizacija vrši na konačnoj podlozi, radni rastvor 8 dodati nakon obrade u autoklavu (20 minuta na 121 °C). </w:t>
      </w:r>
    </w:p>
    <w:p w:rsidR="00984859" w:rsidRPr="00984859" w:rsidRDefault="00984859" w:rsidP="00984859">
      <w:pPr>
        <w:spacing w:before="100" w:beforeAutospacing="1" w:after="100" w:afterAutospacing="1" w:line="240" w:lineRule="auto"/>
        <w:jc w:val="center"/>
        <w:rPr>
          <w:rFonts w:ascii="Arial" w:eastAsia="Times New Roman" w:hAnsi="Arial" w:cs="Arial"/>
          <w:lang w:eastAsia="sr-Latn-RS"/>
        </w:rPr>
      </w:pPr>
      <w:r w:rsidRPr="00984859">
        <w:rPr>
          <w:rFonts w:ascii="Arial" w:eastAsia="Times New Roman" w:hAnsi="Arial" w:cs="Arial"/>
          <w:lang w:eastAsia="sr-Latn-RS"/>
        </w:rPr>
        <w:t xml:space="preserve">Priprema 10-struko koncentrisane podloge ŠTAJNBERG (modifikovana) za međuskladištenje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20 ml radnih rastvora 1, 2 i 3 (videti Tabelu 2) doda se u oko 30 ml vode kako bi se izbeglo taloženje;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Doda se 1,0 ml radnih rastvora 4, 5, 6, 7 i 8 (videti Tabelu 3);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Dopuni se vodom do 100 ml;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Ako su radni rastvori sterilisani i koristi se odgovarajuća voda, nije potrebna dodatna sterilizacija. Ako se sterilizacija vrši na konačnoj podlozi, radni rastvor 8 dodati nakon obrade u autoklavu (20 minuta na 121°C); </w:t>
      </w:r>
    </w:p>
    <w:p w:rsidR="00984859" w:rsidRPr="00984859" w:rsidRDefault="00984859" w:rsidP="00984859">
      <w:pPr>
        <w:spacing w:before="100" w:beforeAutospacing="1" w:after="100" w:afterAutospacing="1" w:line="240" w:lineRule="auto"/>
        <w:rPr>
          <w:rFonts w:ascii="Arial" w:eastAsia="Times New Roman" w:hAnsi="Arial" w:cs="Arial"/>
          <w:lang w:eastAsia="sr-Latn-RS"/>
        </w:rPr>
      </w:pPr>
      <w:r w:rsidRPr="00984859">
        <w:rPr>
          <w:rFonts w:ascii="Arial" w:eastAsia="Times New Roman" w:hAnsi="Arial" w:cs="Arial"/>
          <w:lang w:eastAsia="sr-Latn-RS"/>
        </w:rPr>
        <w:t xml:space="preserve">pH vrednost podloge (konačna koncentracija) da bude 5,5 ± 0,2. </w:t>
      </w:r>
    </w:p>
    <w:p w:rsidR="007B658E" w:rsidRDefault="007B658E"/>
    <w:sectPr w:rsidR="007B658E">
      <w:pgSz w:w="11906" w:h="16838"/>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notTrueType/>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859"/>
    <w:rsid w:val="007B658E"/>
    <w:rsid w:val="008375EC"/>
    <w:rsid w:val="00984859"/>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4">
    <w:name w:val="heading 4"/>
    <w:basedOn w:val="Normal"/>
    <w:link w:val="Naslov4Char"/>
    <w:uiPriority w:val="9"/>
    <w:qFormat/>
    <w:rsid w:val="00984859"/>
    <w:pPr>
      <w:spacing w:before="100" w:beforeAutospacing="1" w:after="100" w:afterAutospacing="1" w:line="240" w:lineRule="auto"/>
      <w:outlineLvl w:val="3"/>
    </w:pPr>
    <w:rPr>
      <w:rFonts w:ascii="Times New Roman" w:eastAsia="Times New Roman" w:hAnsi="Times New Roman" w:cs="Times New Roman"/>
      <w:b/>
      <w:bCs/>
      <w:sz w:val="24"/>
      <w:szCs w:val="24"/>
      <w:lang w:eastAsia="sr-Latn-RS"/>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4Char">
    <w:name w:val="Naslov 4 Char"/>
    <w:basedOn w:val="Podrazumevanifontpasusa"/>
    <w:link w:val="Naslov4"/>
    <w:uiPriority w:val="9"/>
    <w:rsid w:val="00984859"/>
    <w:rPr>
      <w:rFonts w:ascii="Times New Roman" w:eastAsia="Times New Roman" w:hAnsi="Times New Roman" w:cs="Times New Roman"/>
      <w:b/>
      <w:bCs/>
      <w:sz w:val="24"/>
      <w:szCs w:val="24"/>
      <w:lang w:eastAsia="sr-Latn-RS"/>
    </w:rPr>
  </w:style>
  <w:style w:type="character" w:styleId="Hiperveza">
    <w:name w:val="Hyperlink"/>
    <w:basedOn w:val="Podrazumevanifontpasusa"/>
    <w:uiPriority w:val="99"/>
    <w:semiHidden/>
    <w:unhideWhenUsed/>
    <w:rsid w:val="00984859"/>
    <w:rPr>
      <w:rFonts w:ascii="Arial" w:hAnsi="Arial" w:cs="Arial" w:hint="default"/>
      <w:strike w:val="0"/>
      <w:dstrike w:val="0"/>
      <w:color w:val="0000FF"/>
      <w:u w:val="single"/>
      <w:effect w:val="none"/>
    </w:rPr>
  </w:style>
  <w:style w:type="character" w:styleId="Ispraenahiperveza">
    <w:name w:val="FollowedHyperlink"/>
    <w:basedOn w:val="Podrazumevanifontpasusa"/>
    <w:uiPriority w:val="99"/>
    <w:semiHidden/>
    <w:unhideWhenUsed/>
    <w:rsid w:val="00984859"/>
    <w:rPr>
      <w:rFonts w:ascii="Arial" w:hAnsi="Arial" w:cs="Arial" w:hint="default"/>
      <w:strike w:val="0"/>
      <w:dstrike w:val="0"/>
      <w:color w:val="800080"/>
      <w:u w:val="single"/>
      <w:effect w:val="none"/>
    </w:rPr>
  </w:style>
  <w:style w:type="paragraph" w:customStyle="1" w:styleId="singl">
    <w:name w:val="singl"/>
    <w:basedOn w:val="Normal"/>
    <w:rsid w:val="00984859"/>
    <w:pPr>
      <w:spacing w:after="24" w:line="240" w:lineRule="auto"/>
    </w:pPr>
    <w:rPr>
      <w:rFonts w:ascii="Arial" w:eastAsia="Times New Roman" w:hAnsi="Arial" w:cs="Arial"/>
      <w:lang w:eastAsia="sr-Latn-RS"/>
    </w:rPr>
  </w:style>
  <w:style w:type="paragraph" w:customStyle="1" w:styleId="tabelamolovani">
    <w:name w:val="tabelamolovani"/>
    <w:basedOn w:val="Normal"/>
    <w:rsid w:val="00984859"/>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lang w:eastAsia="sr-Latn-RS"/>
    </w:rPr>
  </w:style>
  <w:style w:type="paragraph" w:customStyle="1" w:styleId="normalred">
    <w:name w:val="normal_red"/>
    <w:basedOn w:val="Normal"/>
    <w:rsid w:val="00984859"/>
    <w:pPr>
      <w:spacing w:before="100" w:beforeAutospacing="1" w:after="100" w:afterAutospacing="1" w:line="240" w:lineRule="auto"/>
    </w:pPr>
    <w:rPr>
      <w:rFonts w:ascii="Arial" w:eastAsia="Times New Roman" w:hAnsi="Arial" w:cs="Arial"/>
      <w:color w:val="FF0000"/>
      <w:lang w:eastAsia="sr-Latn-RS"/>
    </w:rPr>
  </w:style>
  <w:style w:type="paragraph" w:customStyle="1" w:styleId="normalgreenback">
    <w:name w:val="normal_greenback"/>
    <w:basedOn w:val="Normal"/>
    <w:rsid w:val="00984859"/>
    <w:pPr>
      <w:shd w:val="clear" w:color="auto" w:fill="33FF33"/>
      <w:spacing w:before="100" w:beforeAutospacing="1" w:after="100" w:afterAutospacing="1" w:line="240" w:lineRule="auto"/>
    </w:pPr>
    <w:rPr>
      <w:rFonts w:ascii="Arial" w:eastAsia="Times New Roman" w:hAnsi="Arial" w:cs="Arial"/>
      <w:lang w:eastAsia="sr-Latn-RS"/>
    </w:rPr>
  </w:style>
  <w:style w:type="paragraph" w:customStyle="1" w:styleId="clan">
    <w:name w:val="clan"/>
    <w:basedOn w:val="Normal"/>
    <w:rsid w:val="00984859"/>
    <w:pPr>
      <w:spacing w:before="240" w:after="120" w:line="240" w:lineRule="auto"/>
      <w:jc w:val="center"/>
    </w:pPr>
    <w:rPr>
      <w:rFonts w:ascii="Arial" w:eastAsia="Times New Roman" w:hAnsi="Arial" w:cs="Arial"/>
      <w:b/>
      <w:bCs/>
      <w:sz w:val="24"/>
      <w:szCs w:val="24"/>
      <w:lang w:eastAsia="sr-Latn-RS"/>
    </w:rPr>
  </w:style>
  <w:style w:type="paragraph" w:customStyle="1" w:styleId="simboli">
    <w:name w:val="simboli"/>
    <w:basedOn w:val="Normal"/>
    <w:rsid w:val="00984859"/>
    <w:pPr>
      <w:spacing w:before="100" w:beforeAutospacing="1" w:after="100" w:afterAutospacing="1" w:line="240" w:lineRule="auto"/>
    </w:pPr>
    <w:rPr>
      <w:rFonts w:ascii="Symbol" w:eastAsia="Times New Roman" w:hAnsi="Symbol" w:cs="Times New Roman"/>
      <w:lang w:eastAsia="sr-Latn-RS"/>
    </w:rPr>
  </w:style>
  <w:style w:type="paragraph" w:customStyle="1" w:styleId="simboliindeks">
    <w:name w:val="simboliindeks"/>
    <w:basedOn w:val="Normal"/>
    <w:rsid w:val="00984859"/>
    <w:pPr>
      <w:spacing w:before="100" w:beforeAutospacing="1" w:after="100" w:afterAutospacing="1" w:line="240" w:lineRule="auto"/>
    </w:pPr>
    <w:rPr>
      <w:rFonts w:ascii="Symbol" w:eastAsia="Times New Roman" w:hAnsi="Symbol" w:cs="Times New Roman"/>
      <w:sz w:val="24"/>
      <w:szCs w:val="24"/>
      <w:vertAlign w:val="subscript"/>
      <w:lang w:eastAsia="sr-Latn-RS"/>
    </w:rPr>
  </w:style>
  <w:style w:type="paragraph" w:customStyle="1" w:styleId="Normal1">
    <w:name w:val="Normal1"/>
    <w:basedOn w:val="Normal"/>
    <w:rsid w:val="00984859"/>
    <w:pPr>
      <w:spacing w:before="100" w:beforeAutospacing="1" w:after="100" w:afterAutospacing="1" w:line="240" w:lineRule="auto"/>
    </w:pPr>
    <w:rPr>
      <w:rFonts w:ascii="Arial" w:eastAsia="Times New Roman" w:hAnsi="Arial" w:cs="Arial"/>
      <w:lang w:eastAsia="sr-Latn-RS"/>
    </w:rPr>
  </w:style>
  <w:style w:type="paragraph" w:customStyle="1" w:styleId="normaltd">
    <w:name w:val="normaltd"/>
    <w:basedOn w:val="Normal"/>
    <w:rsid w:val="00984859"/>
    <w:pPr>
      <w:spacing w:before="100" w:beforeAutospacing="1" w:after="100" w:afterAutospacing="1" w:line="240" w:lineRule="auto"/>
      <w:jc w:val="right"/>
    </w:pPr>
    <w:rPr>
      <w:rFonts w:ascii="Arial" w:eastAsia="Times New Roman" w:hAnsi="Arial" w:cs="Arial"/>
      <w:lang w:eastAsia="sr-Latn-RS"/>
    </w:rPr>
  </w:style>
  <w:style w:type="paragraph" w:customStyle="1" w:styleId="normaltdb">
    <w:name w:val="normaltdb"/>
    <w:basedOn w:val="Normal"/>
    <w:rsid w:val="00984859"/>
    <w:pPr>
      <w:spacing w:before="100" w:beforeAutospacing="1" w:after="100" w:afterAutospacing="1" w:line="240" w:lineRule="auto"/>
      <w:jc w:val="right"/>
    </w:pPr>
    <w:rPr>
      <w:rFonts w:ascii="Arial" w:eastAsia="Times New Roman" w:hAnsi="Arial" w:cs="Arial"/>
      <w:b/>
      <w:bCs/>
      <w:lang w:eastAsia="sr-Latn-RS"/>
    </w:rPr>
  </w:style>
  <w:style w:type="paragraph" w:customStyle="1" w:styleId="samostalni">
    <w:name w:val="samostalni"/>
    <w:basedOn w:val="Normal"/>
    <w:rsid w:val="00984859"/>
    <w:pPr>
      <w:spacing w:before="100" w:beforeAutospacing="1" w:after="100" w:afterAutospacing="1" w:line="240" w:lineRule="auto"/>
      <w:jc w:val="center"/>
    </w:pPr>
    <w:rPr>
      <w:rFonts w:ascii="Arial" w:eastAsia="Times New Roman" w:hAnsi="Arial" w:cs="Arial"/>
      <w:b/>
      <w:bCs/>
      <w:i/>
      <w:iCs/>
      <w:sz w:val="24"/>
      <w:szCs w:val="24"/>
      <w:lang w:eastAsia="sr-Latn-RS"/>
    </w:rPr>
  </w:style>
  <w:style w:type="paragraph" w:customStyle="1" w:styleId="samostalni1">
    <w:name w:val="samostalni1"/>
    <w:basedOn w:val="Normal"/>
    <w:rsid w:val="00984859"/>
    <w:pPr>
      <w:spacing w:before="100" w:beforeAutospacing="1" w:after="100" w:afterAutospacing="1" w:line="240" w:lineRule="auto"/>
      <w:jc w:val="center"/>
    </w:pPr>
    <w:rPr>
      <w:rFonts w:ascii="Arial" w:eastAsia="Times New Roman" w:hAnsi="Arial" w:cs="Arial"/>
      <w:i/>
      <w:iCs/>
      <w:lang w:eastAsia="sr-Latn-RS"/>
    </w:rPr>
  </w:style>
  <w:style w:type="paragraph" w:customStyle="1" w:styleId="tabelaobrazac">
    <w:name w:val="tabelaobrazac"/>
    <w:basedOn w:val="Normal"/>
    <w:rsid w:val="00984859"/>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naslov">
    <w:name w:val="tabelanaslov"/>
    <w:basedOn w:val="Normal"/>
    <w:rsid w:val="00984859"/>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m">
    <w:name w:val="tabela_sm"/>
    <w:basedOn w:val="Normal"/>
    <w:rsid w:val="00984859"/>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p">
    <w:name w:val="tabela_sp"/>
    <w:basedOn w:val="Normal"/>
    <w:rsid w:val="00984859"/>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ct">
    <w:name w:val="tabela_ct"/>
    <w:basedOn w:val="Normal"/>
    <w:rsid w:val="00984859"/>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naslov1">
    <w:name w:val="naslov1"/>
    <w:basedOn w:val="Normal"/>
    <w:rsid w:val="00984859"/>
    <w:pPr>
      <w:spacing w:before="100" w:beforeAutospacing="1" w:after="100" w:afterAutospacing="1" w:line="240" w:lineRule="auto"/>
      <w:jc w:val="center"/>
    </w:pPr>
    <w:rPr>
      <w:rFonts w:ascii="Arial" w:eastAsia="Times New Roman" w:hAnsi="Arial" w:cs="Arial"/>
      <w:b/>
      <w:bCs/>
      <w:sz w:val="24"/>
      <w:szCs w:val="24"/>
      <w:lang w:eastAsia="sr-Latn-RS"/>
    </w:rPr>
  </w:style>
  <w:style w:type="paragraph" w:customStyle="1" w:styleId="naslov2">
    <w:name w:val="naslov2"/>
    <w:basedOn w:val="Normal"/>
    <w:rsid w:val="00984859"/>
    <w:pPr>
      <w:spacing w:before="100" w:beforeAutospacing="1" w:after="100" w:afterAutospacing="1" w:line="240" w:lineRule="auto"/>
      <w:jc w:val="center"/>
    </w:pPr>
    <w:rPr>
      <w:rFonts w:ascii="Arial" w:eastAsia="Times New Roman" w:hAnsi="Arial" w:cs="Arial"/>
      <w:b/>
      <w:bCs/>
      <w:sz w:val="29"/>
      <w:szCs w:val="29"/>
      <w:lang w:eastAsia="sr-Latn-RS"/>
    </w:rPr>
  </w:style>
  <w:style w:type="paragraph" w:customStyle="1" w:styleId="naslov3">
    <w:name w:val="naslov3"/>
    <w:basedOn w:val="Normal"/>
    <w:rsid w:val="00984859"/>
    <w:pPr>
      <w:spacing w:before="100" w:beforeAutospacing="1" w:after="100" w:afterAutospacing="1" w:line="240" w:lineRule="auto"/>
      <w:jc w:val="center"/>
    </w:pPr>
    <w:rPr>
      <w:rFonts w:ascii="Arial" w:eastAsia="Times New Roman" w:hAnsi="Arial" w:cs="Arial"/>
      <w:b/>
      <w:bCs/>
      <w:sz w:val="23"/>
      <w:szCs w:val="23"/>
      <w:lang w:eastAsia="sr-Latn-RS"/>
    </w:rPr>
  </w:style>
  <w:style w:type="paragraph" w:customStyle="1" w:styleId="normaluvuceni">
    <w:name w:val="normal_uvuceni"/>
    <w:basedOn w:val="Normal"/>
    <w:rsid w:val="00984859"/>
    <w:pPr>
      <w:spacing w:before="100" w:beforeAutospacing="1" w:after="100" w:afterAutospacing="1" w:line="240" w:lineRule="auto"/>
      <w:ind w:left="1134" w:hanging="142"/>
    </w:pPr>
    <w:rPr>
      <w:rFonts w:ascii="Arial" w:eastAsia="Times New Roman" w:hAnsi="Arial" w:cs="Arial"/>
      <w:lang w:eastAsia="sr-Latn-RS"/>
    </w:rPr>
  </w:style>
  <w:style w:type="paragraph" w:customStyle="1" w:styleId="normaluvuceni2">
    <w:name w:val="normal_uvuceni2"/>
    <w:basedOn w:val="Normal"/>
    <w:rsid w:val="00984859"/>
    <w:pPr>
      <w:spacing w:before="100" w:beforeAutospacing="1" w:after="100" w:afterAutospacing="1" w:line="240" w:lineRule="auto"/>
      <w:ind w:left="1701" w:hanging="227"/>
    </w:pPr>
    <w:rPr>
      <w:rFonts w:ascii="Arial" w:eastAsia="Times New Roman" w:hAnsi="Arial" w:cs="Arial"/>
      <w:lang w:eastAsia="sr-Latn-RS"/>
    </w:rPr>
  </w:style>
  <w:style w:type="paragraph" w:customStyle="1" w:styleId="normaluvuceni3">
    <w:name w:val="normal_uvuceni3"/>
    <w:basedOn w:val="Normal"/>
    <w:rsid w:val="00984859"/>
    <w:pPr>
      <w:spacing w:before="100" w:beforeAutospacing="1" w:after="100" w:afterAutospacing="1" w:line="240" w:lineRule="auto"/>
      <w:ind w:left="992"/>
    </w:pPr>
    <w:rPr>
      <w:rFonts w:ascii="Arial" w:eastAsia="Times New Roman" w:hAnsi="Arial" w:cs="Arial"/>
      <w:lang w:eastAsia="sr-Latn-RS"/>
    </w:rPr>
  </w:style>
  <w:style w:type="paragraph" w:customStyle="1" w:styleId="naslovpropisa1">
    <w:name w:val="naslovpropisa1"/>
    <w:basedOn w:val="Normal"/>
    <w:rsid w:val="00984859"/>
    <w:pPr>
      <w:spacing w:before="100" w:beforeAutospacing="1" w:after="100" w:afterAutospacing="1" w:line="240" w:lineRule="auto"/>
      <w:ind w:right="975"/>
      <w:jc w:val="center"/>
    </w:pPr>
    <w:rPr>
      <w:rFonts w:ascii="Arial" w:eastAsia="Times New Roman" w:hAnsi="Arial" w:cs="Arial"/>
      <w:b/>
      <w:bCs/>
      <w:color w:val="FFE8BF"/>
      <w:sz w:val="36"/>
      <w:szCs w:val="36"/>
      <w:lang w:eastAsia="sr-Latn-RS"/>
    </w:rPr>
  </w:style>
  <w:style w:type="paragraph" w:customStyle="1" w:styleId="naslovpropisa1a">
    <w:name w:val="naslovpropisa1a"/>
    <w:basedOn w:val="Normal"/>
    <w:rsid w:val="00984859"/>
    <w:pPr>
      <w:spacing w:before="100" w:beforeAutospacing="1" w:after="100" w:afterAutospacing="1" w:line="240" w:lineRule="auto"/>
      <w:ind w:right="975"/>
      <w:jc w:val="center"/>
    </w:pPr>
    <w:rPr>
      <w:rFonts w:ascii="Arial" w:eastAsia="Times New Roman" w:hAnsi="Arial" w:cs="Arial"/>
      <w:b/>
      <w:bCs/>
      <w:color w:val="FFFFFF"/>
      <w:sz w:val="34"/>
      <w:szCs w:val="34"/>
      <w:lang w:eastAsia="sr-Latn-RS"/>
    </w:rPr>
  </w:style>
  <w:style w:type="paragraph" w:customStyle="1" w:styleId="podnaslovpropisa">
    <w:name w:val="podnaslovpropisa"/>
    <w:basedOn w:val="Normal"/>
    <w:rsid w:val="00984859"/>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sr-Latn-RS"/>
    </w:rPr>
  </w:style>
  <w:style w:type="paragraph" w:customStyle="1" w:styleId="naslov40">
    <w:name w:val="naslov4"/>
    <w:basedOn w:val="Normal"/>
    <w:rsid w:val="00984859"/>
    <w:pPr>
      <w:spacing w:before="100" w:beforeAutospacing="1" w:after="100" w:afterAutospacing="1" w:line="240" w:lineRule="auto"/>
      <w:jc w:val="center"/>
    </w:pPr>
    <w:rPr>
      <w:rFonts w:ascii="Arial" w:eastAsia="Times New Roman" w:hAnsi="Arial" w:cs="Arial"/>
      <w:b/>
      <w:bCs/>
      <w:lang w:eastAsia="sr-Latn-RS"/>
    </w:rPr>
  </w:style>
  <w:style w:type="paragraph" w:customStyle="1" w:styleId="naslov5">
    <w:name w:val="naslov5"/>
    <w:basedOn w:val="Normal"/>
    <w:rsid w:val="00984859"/>
    <w:pPr>
      <w:spacing w:before="100" w:beforeAutospacing="1" w:after="100" w:afterAutospacing="1" w:line="240" w:lineRule="auto"/>
      <w:jc w:val="center"/>
    </w:pPr>
    <w:rPr>
      <w:rFonts w:ascii="Arial" w:eastAsia="Times New Roman" w:hAnsi="Arial" w:cs="Arial"/>
      <w:b/>
      <w:bCs/>
      <w:lang w:eastAsia="sr-Latn-RS"/>
    </w:rPr>
  </w:style>
  <w:style w:type="paragraph" w:customStyle="1" w:styleId="normalbold">
    <w:name w:val="normalbold"/>
    <w:basedOn w:val="Normal"/>
    <w:rsid w:val="00984859"/>
    <w:pPr>
      <w:spacing w:before="100" w:beforeAutospacing="1" w:after="100" w:afterAutospacing="1" w:line="240" w:lineRule="auto"/>
    </w:pPr>
    <w:rPr>
      <w:rFonts w:ascii="Arial" w:eastAsia="Times New Roman" w:hAnsi="Arial" w:cs="Arial"/>
      <w:b/>
      <w:bCs/>
      <w:lang w:eastAsia="sr-Latn-RS"/>
    </w:rPr>
  </w:style>
  <w:style w:type="paragraph" w:customStyle="1" w:styleId="normalboldct">
    <w:name w:val="normalboldct"/>
    <w:basedOn w:val="Normal"/>
    <w:rsid w:val="00984859"/>
    <w:pPr>
      <w:spacing w:before="100" w:beforeAutospacing="1" w:after="100" w:afterAutospacing="1" w:line="240" w:lineRule="auto"/>
    </w:pPr>
    <w:rPr>
      <w:rFonts w:ascii="Arial" w:eastAsia="Times New Roman" w:hAnsi="Arial" w:cs="Arial"/>
      <w:b/>
      <w:bCs/>
      <w:sz w:val="24"/>
      <w:szCs w:val="24"/>
      <w:lang w:eastAsia="sr-Latn-RS"/>
    </w:rPr>
  </w:style>
  <w:style w:type="paragraph" w:customStyle="1" w:styleId="normalbolditalic">
    <w:name w:val="normalbolditalic"/>
    <w:basedOn w:val="Normal"/>
    <w:rsid w:val="00984859"/>
    <w:pPr>
      <w:spacing w:before="100" w:beforeAutospacing="1" w:after="100" w:afterAutospacing="1" w:line="240" w:lineRule="auto"/>
    </w:pPr>
    <w:rPr>
      <w:rFonts w:ascii="Arial" w:eastAsia="Times New Roman" w:hAnsi="Arial" w:cs="Arial"/>
      <w:b/>
      <w:bCs/>
      <w:i/>
      <w:iCs/>
      <w:lang w:eastAsia="sr-Latn-RS"/>
    </w:rPr>
  </w:style>
  <w:style w:type="paragraph" w:customStyle="1" w:styleId="normalboldcentar">
    <w:name w:val="normalboldcentar"/>
    <w:basedOn w:val="Normal"/>
    <w:rsid w:val="00984859"/>
    <w:pPr>
      <w:spacing w:before="100" w:beforeAutospacing="1" w:after="100" w:afterAutospacing="1" w:line="240" w:lineRule="auto"/>
      <w:jc w:val="center"/>
    </w:pPr>
    <w:rPr>
      <w:rFonts w:ascii="Arial" w:eastAsia="Times New Roman" w:hAnsi="Arial" w:cs="Arial"/>
      <w:b/>
      <w:bCs/>
      <w:lang w:eastAsia="sr-Latn-RS"/>
    </w:rPr>
  </w:style>
  <w:style w:type="paragraph" w:customStyle="1" w:styleId="stepen">
    <w:name w:val="stepen"/>
    <w:basedOn w:val="Normal"/>
    <w:rsid w:val="00984859"/>
    <w:pPr>
      <w:spacing w:before="100" w:beforeAutospacing="1" w:after="100" w:afterAutospacing="1" w:line="240" w:lineRule="auto"/>
    </w:pPr>
    <w:rPr>
      <w:rFonts w:ascii="Times New Roman" w:eastAsia="Times New Roman" w:hAnsi="Times New Roman" w:cs="Times New Roman"/>
      <w:sz w:val="15"/>
      <w:szCs w:val="15"/>
      <w:vertAlign w:val="superscript"/>
      <w:lang w:eastAsia="sr-Latn-RS"/>
    </w:rPr>
  </w:style>
  <w:style w:type="paragraph" w:customStyle="1" w:styleId="indeks">
    <w:name w:val="indeks"/>
    <w:basedOn w:val="Normal"/>
    <w:rsid w:val="00984859"/>
    <w:pPr>
      <w:spacing w:before="100" w:beforeAutospacing="1" w:after="100" w:afterAutospacing="1" w:line="240" w:lineRule="auto"/>
    </w:pPr>
    <w:rPr>
      <w:rFonts w:ascii="Times New Roman" w:eastAsia="Times New Roman" w:hAnsi="Times New Roman" w:cs="Times New Roman"/>
      <w:sz w:val="15"/>
      <w:szCs w:val="15"/>
      <w:vertAlign w:val="subscript"/>
      <w:lang w:eastAsia="sr-Latn-RS"/>
    </w:rPr>
  </w:style>
  <w:style w:type="paragraph" w:customStyle="1" w:styleId="tbezokvira">
    <w:name w:val="tbezokvira"/>
    <w:basedOn w:val="Normal"/>
    <w:rsid w:val="00984859"/>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slovlevo">
    <w:name w:val="naslovlevo"/>
    <w:basedOn w:val="Normal"/>
    <w:rsid w:val="00984859"/>
    <w:pPr>
      <w:spacing w:before="100" w:beforeAutospacing="1" w:after="100" w:afterAutospacing="1" w:line="240" w:lineRule="auto"/>
    </w:pPr>
    <w:rPr>
      <w:rFonts w:ascii="Arial" w:eastAsia="Times New Roman" w:hAnsi="Arial" w:cs="Arial"/>
      <w:b/>
      <w:bCs/>
      <w:sz w:val="26"/>
      <w:szCs w:val="26"/>
      <w:lang w:eastAsia="sr-Latn-RS"/>
    </w:rPr>
  </w:style>
  <w:style w:type="paragraph" w:customStyle="1" w:styleId="bulletedni">
    <w:name w:val="bulletedni"/>
    <w:basedOn w:val="Normal"/>
    <w:rsid w:val="00984859"/>
    <w:pPr>
      <w:spacing w:before="100" w:beforeAutospacing="1" w:after="100" w:afterAutospacing="1" w:line="240" w:lineRule="auto"/>
    </w:pPr>
    <w:rPr>
      <w:rFonts w:ascii="Arial" w:eastAsia="Times New Roman" w:hAnsi="Arial" w:cs="Arial"/>
      <w:lang w:eastAsia="sr-Latn-RS"/>
    </w:rPr>
  </w:style>
  <w:style w:type="paragraph" w:customStyle="1" w:styleId="normalpraksa">
    <w:name w:val="normalpraksa"/>
    <w:basedOn w:val="Normal"/>
    <w:rsid w:val="00984859"/>
    <w:pPr>
      <w:spacing w:before="100" w:beforeAutospacing="1" w:after="100" w:afterAutospacing="1" w:line="240" w:lineRule="auto"/>
    </w:pPr>
    <w:rPr>
      <w:rFonts w:ascii="Arial" w:eastAsia="Times New Roman" w:hAnsi="Arial" w:cs="Arial"/>
      <w:i/>
      <w:iCs/>
      <w:lang w:eastAsia="sr-Latn-RS"/>
    </w:rPr>
  </w:style>
  <w:style w:type="paragraph" w:customStyle="1" w:styleId="normalctzaglavlje">
    <w:name w:val="normalctzaglavlje"/>
    <w:basedOn w:val="Normal"/>
    <w:rsid w:val="00984859"/>
    <w:pPr>
      <w:spacing w:before="100" w:beforeAutospacing="1" w:after="100" w:afterAutospacing="1" w:line="240" w:lineRule="auto"/>
    </w:pPr>
    <w:rPr>
      <w:rFonts w:ascii="Arial" w:eastAsia="Times New Roman" w:hAnsi="Arial" w:cs="Arial"/>
      <w:b/>
      <w:bCs/>
      <w:sz w:val="16"/>
      <w:szCs w:val="16"/>
      <w:lang w:eastAsia="sr-Latn-RS"/>
    </w:rPr>
  </w:style>
  <w:style w:type="paragraph" w:customStyle="1" w:styleId="windings">
    <w:name w:val="windings"/>
    <w:basedOn w:val="Normal"/>
    <w:rsid w:val="00984859"/>
    <w:pPr>
      <w:spacing w:before="100" w:beforeAutospacing="1" w:after="100" w:afterAutospacing="1" w:line="240" w:lineRule="auto"/>
    </w:pPr>
    <w:rPr>
      <w:rFonts w:ascii="Wingdings" w:eastAsia="Times New Roman" w:hAnsi="Wingdings" w:cs="Times New Roman"/>
      <w:sz w:val="18"/>
      <w:szCs w:val="18"/>
      <w:lang w:eastAsia="sr-Latn-RS"/>
    </w:rPr>
  </w:style>
  <w:style w:type="paragraph" w:customStyle="1" w:styleId="webdings">
    <w:name w:val="webdings"/>
    <w:basedOn w:val="Normal"/>
    <w:rsid w:val="00984859"/>
    <w:pPr>
      <w:spacing w:before="100" w:beforeAutospacing="1" w:after="100" w:afterAutospacing="1" w:line="240" w:lineRule="auto"/>
    </w:pPr>
    <w:rPr>
      <w:rFonts w:ascii="Webdings" w:eastAsia="Times New Roman" w:hAnsi="Webdings" w:cs="Times New Roman"/>
      <w:sz w:val="18"/>
      <w:szCs w:val="18"/>
      <w:lang w:eastAsia="sr-Latn-RS"/>
    </w:rPr>
  </w:style>
  <w:style w:type="paragraph" w:customStyle="1" w:styleId="normalct">
    <w:name w:val="normalct"/>
    <w:basedOn w:val="Normal"/>
    <w:rsid w:val="00984859"/>
    <w:pPr>
      <w:spacing w:before="100" w:beforeAutospacing="1" w:after="100" w:afterAutospacing="1" w:line="240" w:lineRule="auto"/>
    </w:pPr>
    <w:rPr>
      <w:rFonts w:ascii="Arial" w:eastAsia="Times New Roman" w:hAnsi="Arial" w:cs="Arial"/>
      <w:sz w:val="16"/>
      <w:szCs w:val="16"/>
      <w:lang w:eastAsia="sr-Latn-RS"/>
    </w:rPr>
  </w:style>
  <w:style w:type="paragraph" w:customStyle="1" w:styleId="tabelamala">
    <w:name w:val="tabela_mala"/>
    <w:basedOn w:val="Normal"/>
    <w:rsid w:val="00984859"/>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zmenanaslov">
    <w:name w:val="izmena_naslov"/>
    <w:basedOn w:val="Normal"/>
    <w:rsid w:val="00984859"/>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podnaslov">
    <w:name w:val="izmena_podnaslov"/>
    <w:basedOn w:val="Normal"/>
    <w:rsid w:val="00984859"/>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izmenaclan">
    <w:name w:val="izmena_clan"/>
    <w:basedOn w:val="Normal"/>
    <w:rsid w:val="00984859"/>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tekst">
    <w:name w:val="izmena_tekst"/>
    <w:basedOn w:val="Normal"/>
    <w:rsid w:val="00984859"/>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centar">
    <w:name w:val="normalcentar"/>
    <w:basedOn w:val="Normal"/>
    <w:rsid w:val="00984859"/>
    <w:pPr>
      <w:spacing w:before="100" w:beforeAutospacing="1" w:after="100" w:afterAutospacing="1" w:line="240" w:lineRule="auto"/>
      <w:jc w:val="center"/>
    </w:pPr>
    <w:rPr>
      <w:rFonts w:ascii="Arial" w:eastAsia="Times New Roman" w:hAnsi="Arial" w:cs="Arial"/>
      <w:lang w:eastAsia="sr-Latn-RS"/>
    </w:rPr>
  </w:style>
  <w:style w:type="paragraph" w:customStyle="1" w:styleId="normalcentaritalic">
    <w:name w:val="normalcentaritalic"/>
    <w:basedOn w:val="Normal"/>
    <w:rsid w:val="00984859"/>
    <w:pPr>
      <w:spacing w:before="100" w:beforeAutospacing="1" w:after="100" w:afterAutospacing="1" w:line="240" w:lineRule="auto"/>
      <w:jc w:val="center"/>
    </w:pPr>
    <w:rPr>
      <w:rFonts w:ascii="Arial" w:eastAsia="Times New Roman" w:hAnsi="Arial" w:cs="Arial"/>
      <w:i/>
      <w:iCs/>
      <w:lang w:eastAsia="sr-Latn-RS"/>
    </w:rPr>
  </w:style>
  <w:style w:type="paragraph" w:customStyle="1" w:styleId="normalitalic">
    <w:name w:val="normalitalic"/>
    <w:basedOn w:val="Normal"/>
    <w:rsid w:val="00984859"/>
    <w:pPr>
      <w:spacing w:before="100" w:beforeAutospacing="1" w:after="100" w:afterAutospacing="1" w:line="240" w:lineRule="auto"/>
    </w:pPr>
    <w:rPr>
      <w:rFonts w:ascii="Arial" w:eastAsia="Times New Roman" w:hAnsi="Arial" w:cs="Arial"/>
      <w:i/>
      <w:iCs/>
      <w:lang w:eastAsia="sr-Latn-RS"/>
    </w:rPr>
  </w:style>
  <w:style w:type="paragraph" w:customStyle="1" w:styleId="tsaokvirom">
    <w:name w:val="tsaokvirom"/>
    <w:basedOn w:val="Normal"/>
    <w:rsid w:val="00984859"/>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ole">
    <w:name w:val="t_okvirdole"/>
    <w:basedOn w:val="Normal"/>
    <w:rsid w:val="00984859"/>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
    <w:name w:val="t_okvirgore"/>
    <w:basedOn w:val="Normal"/>
    <w:rsid w:val="00984859"/>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
    <w:name w:val="t_okvirgoredole"/>
    <w:basedOn w:val="Normal"/>
    <w:rsid w:val="00984859"/>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
    <w:name w:val="t_okvirlevo"/>
    <w:basedOn w:val="Normal"/>
    <w:rsid w:val="00984859"/>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
    <w:name w:val="t_okvirdesno"/>
    <w:basedOn w:val="Normal"/>
    <w:rsid w:val="00984859"/>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
    <w:name w:val="t_okvirlevodesno"/>
    <w:basedOn w:val="Normal"/>
    <w:rsid w:val="00984859"/>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gore">
    <w:name w:val="t_okvirlevodesnogore"/>
    <w:basedOn w:val="Normal"/>
    <w:rsid w:val="00984859"/>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dole">
    <w:name w:val="t_okvirlevodesnodole"/>
    <w:basedOn w:val="Normal"/>
    <w:rsid w:val="00984859"/>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ole">
    <w:name w:val="t_okvirlevodole"/>
    <w:basedOn w:val="Normal"/>
    <w:rsid w:val="00984859"/>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dole">
    <w:name w:val="t_okvirdesnodole"/>
    <w:basedOn w:val="Normal"/>
    <w:rsid w:val="00984859"/>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gore">
    <w:name w:val="t_okvirlevogore"/>
    <w:basedOn w:val="Normal"/>
    <w:rsid w:val="00984859"/>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gore">
    <w:name w:val="t_okvirdesnogore"/>
    <w:basedOn w:val="Normal"/>
    <w:rsid w:val="00984859"/>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desno">
    <w:name w:val="t_okvirgoredoledesno"/>
    <w:basedOn w:val="Normal"/>
    <w:rsid w:val="00984859"/>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levo">
    <w:name w:val="t_okvirgoredolelevo"/>
    <w:basedOn w:val="Normal"/>
    <w:rsid w:val="00984859"/>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prored">
    <w:name w:val="normalprored"/>
    <w:basedOn w:val="Normal"/>
    <w:rsid w:val="00984859"/>
    <w:pPr>
      <w:spacing w:after="0" w:line="240" w:lineRule="auto"/>
    </w:pPr>
    <w:rPr>
      <w:rFonts w:ascii="Arial" w:eastAsia="Times New Roman" w:hAnsi="Arial" w:cs="Arial"/>
      <w:sz w:val="26"/>
      <w:szCs w:val="26"/>
      <w:lang w:eastAsia="sr-Latn-RS"/>
    </w:rPr>
  </w:style>
  <w:style w:type="paragraph" w:customStyle="1" w:styleId="wyq010---deo">
    <w:name w:val="wyq010---deo"/>
    <w:basedOn w:val="Normal"/>
    <w:rsid w:val="00984859"/>
    <w:pPr>
      <w:spacing w:after="0" w:line="240" w:lineRule="auto"/>
      <w:jc w:val="center"/>
    </w:pPr>
    <w:rPr>
      <w:rFonts w:ascii="Arial" w:eastAsia="Times New Roman" w:hAnsi="Arial" w:cs="Arial"/>
      <w:b/>
      <w:bCs/>
      <w:sz w:val="36"/>
      <w:szCs w:val="36"/>
      <w:lang w:eastAsia="sr-Latn-RS"/>
    </w:rPr>
  </w:style>
  <w:style w:type="paragraph" w:customStyle="1" w:styleId="wyq020---poddeo">
    <w:name w:val="wyq020---poddeo"/>
    <w:basedOn w:val="Normal"/>
    <w:rsid w:val="00984859"/>
    <w:pPr>
      <w:spacing w:after="0" w:line="240" w:lineRule="auto"/>
      <w:jc w:val="center"/>
    </w:pPr>
    <w:rPr>
      <w:rFonts w:ascii="Arial" w:eastAsia="Times New Roman" w:hAnsi="Arial" w:cs="Arial"/>
      <w:sz w:val="36"/>
      <w:szCs w:val="36"/>
      <w:lang w:eastAsia="sr-Latn-RS"/>
    </w:rPr>
  </w:style>
  <w:style w:type="paragraph" w:customStyle="1" w:styleId="wyq030---glava">
    <w:name w:val="wyq030---glava"/>
    <w:basedOn w:val="Normal"/>
    <w:rsid w:val="00984859"/>
    <w:pPr>
      <w:spacing w:after="0" w:line="240" w:lineRule="auto"/>
      <w:jc w:val="center"/>
    </w:pPr>
    <w:rPr>
      <w:rFonts w:ascii="Arial" w:eastAsia="Times New Roman" w:hAnsi="Arial" w:cs="Arial"/>
      <w:b/>
      <w:bCs/>
      <w:sz w:val="34"/>
      <w:szCs w:val="34"/>
      <w:lang w:eastAsia="sr-Latn-RS"/>
    </w:rPr>
  </w:style>
  <w:style w:type="paragraph" w:customStyle="1" w:styleId="wyq040---podglava-kurziv-bold">
    <w:name w:val="wyq040---podglava-kurziv-bold"/>
    <w:basedOn w:val="Normal"/>
    <w:rsid w:val="00984859"/>
    <w:pPr>
      <w:spacing w:after="0" w:line="240" w:lineRule="auto"/>
      <w:jc w:val="center"/>
    </w:pPr>
    <w:rPr>
      <w:rFonts w:ascii="Arial" w:eastAsia="Times New Roman" w:hAnsi="Arial" w:cs="Arial"/>
      <w:b/>
      <w:bCs/>
      <w:i/>
      <w:iCs/>
      <w:sz w:val="34"/>
      <w:szCs w:val="34"/>
      <w:lang w:eastAsia="sr-Latn-RS"/>
    </w:rPr>
  </w:style>
  <w:style w:type="paragraph" w:customStyle="1" w:styleId="wyq045---podglava-kurziv">
    <w:name w:val="wyq045---podglava-kurziv"/>
    <w:basedOn w:val="Normal"/>
    <w:rsid w:val="00984859"/>
    <w:pPr>
      <w:spacing w:after="0" w:line="240" w:lineRule="auto"/>
      <w:jc w:val="center"/>
    </w:pPr>
    <w:rPr>
      <w:rFonts w:ascii="Arial" w:eastAsia="Times New Roman" w:hAnsi="Arial" w:cs="Arial"/>
      <w:i/>
      <w:iCs/>
      <w:sz w:val="34"/>
      <w:szCs w:val="34"/>
      <w:lang w:eastAsia="sr-Latn-RS"/>
    </w:rPr>
  </w:style>
  <w:style w:type="paragraph" w:customStyle="1" w:styleId="wyq050---odeljak">
    <w:name w:val="wyq050---odeljak"/>
    <w:basedOn w:val="Normal"/>
    <w:rsid w:val="00984859"/>
    <w:pPr>
      <w:spacing w:after="0" w:line="240" w:lineRule="auto"/>
      <w:jc w:val="center"/>
    </w:pPr>
    <w:rPr>
      <w:rFonts w:ascii="Arial" w:eastAsia="Times New Roman" w:hAnsi="Arial" w:cs="Arial"/>
      <w:b/>
      <w:bCs/>
      <w:sz w:val="31"/>
      <w:szCs w:val="31"/>
      <w:lang w:eastAsia="sr-Latn-RS"/>
    </w:rPr>
  </w:style>
  <w:style w:type="paragraph" w:customStyle="1" w:styleId="wyq060---pododeljak">
    <w:name w:val="wyq060---pododeljak"/>
    <w:basedOn w:val="Normal"/>
    <w:rsid w:val="00984859"/>
    <w:pPr>
      <w:spacing w:after="0" w:line="240" w:lineRule="auto"/>
      <w:jc w:val="center"/>
    </w:pPr>
    <w:rPr>
      <w:rFonts w:ascii="Arial" w:eastAsia="Times New Roman" w:hAnsi="Arial" w:cs="Arial"/>
      <w:sz w:val="31"/>
      <w:szCs w:val="31"/>
      <w:lang w:eastAsia="sr-Latn-RS"/>
    </w:rPr>
  </w:style>
  <w:style w:type="paragraph" w:customStyle="1" w:styleId="wyq070---podpododeljak-kurziv">
    <w:name w:val="wyq070---podpododeljak-kurziv"/>
    <w:basedOn w:val="Normal"/>
    <w:rsid w:val="00984859"/>
    <w:pPr>
      <w:spacing w:after="0" w:line="240" w:lineRule="auto"/>
      <w:jc w:val="center"/>
    </w:pPr>
    <w:rPr>
      <w:rFonts w:ascii="Arial" w:eastAsia="Times New Roman" w:hAnsi="Arial" w:cs="Arial"/>
      <w:i/>
      <w:iCs/>
      <w:sz w:val="30"/>
      <w:szCs w:val="30"/>
      <w:lang w:eastAsia="sr-Latn-RS"/>
    </w:rPr>
  </w:style>
  <w:style w:type="paragraph" w:customStyle="1" w:styleId="wyq080---odsek">
    <w:name w:val="wyq080---odsek"/>
    <w:basedOn w:val="Normal"/>
    <w:rsid w:val="00984859"/>
    <w:pPr>
      <w:spacing w:after="0" w:line="240" w:lineRule="auto"/>
      <w:jc w:val="center"/>
    </w:pPr>
    <w:rPr>
      <w:rFonts w:ascii="Arial" w:eastAsia="Times New Roman" w:hAnsi="Arial" w:cs="Arial"/>
      <w:b/>
      <w:bCs/>
      <w:sz w:val="29"/>
      <w:szCs w:val="29"/>
      <w:lang w:eastAsia="sr-Latn-RS"/>
    </w:rPr>
  </w:style>
  <w:style w:type="paragraph" w:customStyle="1" w:styleId="wyq090---pododsek">
    <w:name w:val="wyq090---pododsek"/>
    <w:basedOn w:val="Normal"/>
    <w:rsid w:val="00984859"/>
    <w:pPr>
      <w:spacing w:after="0" w:line="240" w:lineRule="auto"/>
      <w:jc w:val="center"/>
    </w:pPr>
    <w:rPr>
      <w:rFonts w:ascii="Arial" w:eastAsia="Times New Roman" w:hAnsi="Arial" w:cs="Arial"/>
      <w:sz w:val="28"/>
      <w:szCs w:val="28"/>
      <w:lang w:eastAsia="sr-Latn-RS"/>
    </w:rPr>
  </w:style>
  <w:style w:type="paragraph" w:customStyle="1" w:styleId="wyq100---naslov-grupe-clanova-kurziv">
    <w:name w:val="wyq100---naslov-grupe-clanova-kurziv"/>
    <w:basedOn w:val="Normal"/>
    <w:rsid w:val="00984859"/>
    <w:pPr>
      <w:spacing w:before="240" w:after="240" w:line="240" w:lineRule="auto"/>
      <w:jc w:val="center"/>
    </w:pPr>
    <w:rPr>
      <w:rFonts w:ascii="Arial" w:eastAsia="Times New Roman" w:hAnsi="Arial" w:cs="Arial"/>
      <w:b/>
      <w:bCs/>
      <w:i/>
      <w:iCs/>
      <w:sz w:val="24"/>
      <w:szCs w:val="24"/>
      <w:lang w:eastAsia="sr-Latn-RS"/>
    </w:rPr>
  </w:style>
  <w:style w:type="paragraph" w:customStyle="1" w:styleId="wyq110---naslov-clana">
    <w:name w:val="wyq110---naslov-clana"/>
    <w:basedOn w:val="Normal"/>
    <w:rsid w:val="00984859"/>
    <w:pPr>
      <w:spacing w:before="240" w:after="240" w:line="240" w:lineRule="auto"/>
      <w:jc w:val="center"/>
    </w:pPr>
    <w:rPr>
      <w:rFonts w:ascii="Arial" w:eastAsia="Times New Roman" w:hAnsi="Arial" w:cs="Arial"/>
      <w:b/>
      <w:bCs/>
      <w:sz w:val="24"/>
      <w:szCs w:val="24"/>
      <w:lang w:eastAsia="sr-Latn-RS"/>
    </w:rPr>
  </w:style>
  <w:style w:type="paragraph" w:customStyle="1" w:styleId="wyq120---podnaslov-clana">
    <w:name w:val="wyq120---podnaslov-clana"/>
    <w:basedOn w:val="Normal"/>
    <w:rsid w:val="00984859"/>
    <w:pPr>
      <w:spacing w:before="240" w:after="240" w:line="240" w:lineRule="auto"/>
      <w:jc w:val="center"/>
    </w:pPr>
    <w:rPr>
      <w:rFonts w:ascii="Arial" w:eastAsia="Times New Roman" w:hAnsi="Arial" w:cs="Arial"/>
      <w:i/>
      <w:iCs/>
      <w:sz w:val="24"/>
      <w:szCs w:val="24"/>
      <w:lang w:eastAsia="sr-Latn-RS"/>
    </w:rPr>
  </w:style>
  <w:style w:type="paragraph" w:customStyle="1" w:styleId="010---deo">
    <w:name w:val="010---deo"/>
    <w:basedOn w:val="Normal"/>
    <w:rsid w:val="00984859"/>
    <w:pPr>
      <w:spacing w:after="0" w:line="240" w:lineRule="auto"/>
      <w:jc w:val="center"/>
    </w:pPr>
    <w:rPr>
      <w:rFonts w:ascii="Arial" w:eastAsia="Times New Roman" w:hAnsi="Arial" w:cs="Arial"/>
      <w:b/>
      <w:bCs/>
      <w:sz w:val="36"/>
      <w:szCs w:val="36"/>
      <w:lang w:eastAsia="sr-Latn-RS"/>
    </w:rPr>
  </w:style>
  <w:style w:type="paragraph" w:customStyle="1" w:styleId="020---poddeo">
    <w:name w:val="020---poddeo"/>
    <w:basedOn w:val="Normal"/>
    <w:rsid w:val="00984859"/>
    <w:pPr>
      <w:spacing w:after="0" w:line="240" w:lineRule="auto"/>
      <w:jc w:val="center"/>
    </w:pPr>
    <w:rPr>
      <w:rFonts w:ascii="Arial" w:eastAsia="Times New Roman" w:hAnsi="Arial" w:cs="Arial"/>
      <w:sz w:val="36"/>
      <w:szCs w:val="36"/>
      <w:lang w:eastAsia="sr-Latn-RS"/>
    </w:rPr>
  </w:style>
  <w:style w:type="paragraph" w:customStyle="1" w:styleId="030---glava">
    <w:name w:val="030---glava"/>
    <w:basedOn w:val="Normal"/>
    <w:rsid w:val="00984859"/>
    <w:pPr>
      <w:spacing w:after="0" w:line="240" w:lineRule="auto"/>
      <w:jc w:val="center"/>
    </w:pPr>
    <w:rPr>
      <w:rFonts w:ascii="Arial" w:eastAsia="Times New Roman" w:hAnsi="Arial" w:cs="Arial"/>
      <w:b/>
      <w:bCs/>
      <w:sz w:val="34"/>
      <w:szCs w:val="34"/>
      <w:lang w:eastAsia="sr-Latn-RS"/>
    </w:rPr>
  </w:style>
  <w:style w:type="paragraph" w:customStyle="1" w:styleId="040---podglava-kurziv-bold">
    <w:name w:val="040---podglava-kurziv-bold"/>
    <w:basedOn w:val="Normal"/>
    <w:rsid w:val="00984859"/>
    <w:pPr>
      <w:spacing w:after="0" w:line="240" w:lineRule="auto"/>
      <w:jc w:val="center"/>
    </w:pPr>
    <w:rPr>
      <w:rFonts w:ascii="Arial" w:eastAsia="Times New Roman" w:hAnsi="Arial" w:cs="Arial"/>
      <w:b/>
      <w:bCs/>
      <w:i/>
      <w:iCs/>
      <w:sz w:val="34"/>
      <w:szCs w:val="34"/>
      <w:lang w:eastAsia="sr-Latn-RS"/>
    </w:rPr>
  </w:style>
  <w:style w:type="paragraph" w:customStyle="1" w:styleId="045---podglava-kurziv">
    <w:name w:val="045---podglava-kurziv"/>
    <w:basedOn w:val="Normal"/>
    <w:rsid w:val="00984859"/>
    <w:pPr>
      <w:spacing w:after="0" w:line="240" w:lineRule="auto"/>
      <w:jc w:val="center"/>
    </w:pPr>
    <w:rPr>
      <w:rFonts w:ascii="Arial" w:eastAsia="Times New Roman" w:hAnsi="Arial" w:cs="Arial"/>
      <w:i/>
      <w:iCs/>
      <w:sz w:val="34"/>
      <w:szCs w:val="34"/>
      <w:lang w:eastAsia="sr-Latn-RS"/>
    </w:rPr>
  </w:style>
  <w:style w:type="paragraph" w:customStyle="1" w:styleId="050---odeljak">
    <w:name w:val="050---odeljak"/>
    <w:basedOn w:val="Normal"/>
    <w:rsid w:val="00984859"/>
    <w:pPr>
      <w:spacing w:after="0" w:line="240" w:lineRule="auto"/>
      <w:jc w:val="center"/>
    </w:pPr>
    <w:rPr>
      <w:rFonts w:ascii="Arial" w:eastAsia="Times New Roman" w:hAnsi="Arial" w:cs="Arial"/>
      <w:b/>
      <w:bCs/>
      <w:sz w:val="31"/>
      <w:szCs w:val="31"/>
      <w:lang w:eastAsia="sr-Latn-RS"/>
    </w:rPr>
  </w:style>
  <w:style w:type="paragraph" w:customStyle="1" w:styleId="060---pododeljak">
    <w:name w:val="060---pododeljak"/>
    <w:basedOn w:val="Normal"/>
    <w:rsid w:val="00984859"/>
    <w:pPr>
      <w:spacing w:after="0" w:line="240" w:lineRule="auto"/>
      <w:jc w:val="center"/>
    </w:pPr>
    <w:rPr>
      <w:rFonts w:ascii="Arial" w:eastAsia="Times New Roman" w:hAnsi="Arial" w:cs="Arial"/>
      <w:sz w:val="31"/>
      <w:szCs w:val="31"/>
      <w:lang w:eastAsia="sr-Latn-RS"/>
    </w:rPr>
  </w:style>
  <w:style w:type="paragraph" w:customStyle="1" w:styleId="070---podpododeljak-kurziv">
    <w:name w:val="070---podpododeljak-kurziv"/>
    <w:basedOn w:val="Normal"/>
    <w:rsid w:val="00984859"/>
    <w:pPr>
      <w:spacing w:after="0" w:line="240" w:lineRule="auto"/>
      <w:jc w:val="center"/>
    </w:pPr>
    <w:rPr>
      <w:rFonts w:ascii="Arial" w:eastAsia="Times New Roman" w:hAnsi="Arial" w:cs="Arial"/>
      <w:i/>
      <w:iCs/>
      <w:sz w:val="30"/>
      <w:szCs w:val="30"/>
      <w:lang w:eastAsia="sr-Latn-RS"/>
    </w:rPr>
  </w:style>
  <w:style w:type="paragraph" w:customStyle="1" w:styleId="080---odsek">
    <w:name w:val="080---odsek"/>
    <w:basedOn w:val="Normal"/>
    <w:rsid w:val="00984859"/>
    <w:pPr>
      <w:spacing w:after="0" w:line="240" w:lineRule="auto"/>
      <w:jc w:val="center"/>
    </w:pPr>
    <w:rPr>
      <w:rFonts w:ascii="Arial" w:eastAsia="Times New Roman" w:hAnsi="Arial" w:cs="Arial"/>
      <w:b/>
      <w:bCs/>
      <w:sz w:val="29"/>
      <w:szCs w:val="29"/>
      <w:lang w:eastAsia="sr-Latn-RS"/>
    </w:rPr>
  </w:style>
  <w:style w:type="paragraph" w:customStyle="1" w:styleId="090---pododsek">
    <w:name w:val="090---pododsek"/>
    <w:basedOn w:val="Normal"/>
    <w:rsid w:val="00984859"/>
    <w:pPr>
      <w:spacing w:after="0" w:line="240" w:lineRule="auto"/>
      <w:jc w:val="center"/>
    </w:pPr>
    <w:rPr>
      <w:rFonts w:ascii="Arial" w:eastAsia="Times New Roman" w:hAnsi="Arial" w:cs="Arial"/>
      <w:sz w:val="28"/>
      <w:szCs w:val="28"/>
      <w:lang w:eastAsia="sr-Latn-RS"/>
    </w:rPr>
  </w:style>
  <w:style w:type="paragraph" w:customStyle="1" w:styleId="100---naslov-grupe-clanova-kurziv">
    <w:name w:val="100---naslov-grupe-clanova-kurziv"/>
    <w:basedOn w:val="Normal"/>
    <w:rsid w:val="00984859"/>
    <w:pPr>
      <w:spacing w:before="240" w:after="240" w:line="240" w:lineRule="auto"/>
      <w:jc w:val="center"/>
    </w:pPr>
    <w:rPr>
      <w:rFonts w:ascii="Arial" w:eastAsia="Times New Roman" w:hAnsi="Arial" w:cs="Arial"/>
      <w:b/>
      <w:bCs/>
      <w:i/>
      <w:iCs/>
      <w:sz w:val="24"/>
      <w:szCs w:val="24"/>
      <w:lang w:eastAsia="sr-Latn-RS"/>
    </w:rPr>
  </w:style>
  <w:style w:type="paragraph" w:customStyle="1" w:styleId="110---naslov-clana">
    <w:name w:val="110---naslov-clana"/>
    <w:basedOn w:val="Normal"/>
    <w:rsid w:val="00984859"/>
    <w:pPr>
      <w:spacing w:before="240" w:after="240" w:line="240" w:lineRule="auto"/>
      <w:jc w:val="center"/>
    </w:pPr>
    <w:rPr>
      <w:rFonts w:ascii="Arial" w:eastAsia="Times New Roman" w:hAnsi="Arial" w:cs="Arial"/>
      <w:b/>
      <w:bCs/>
      <w:sz w:val="24"/>
      <w:szCs w:val="24"/>
      <w:lang w:eastAsia="sr-Latn-RS"/>
    </w:rPr>
  </w:style>
  <w:style w:type="paragraph" w:customStyle="1" w:styleId="120---podnaslov-clana">
    <w:name w:val="120---podnaslov-clana"/>
    <w:basedOn w:val="Normal"/>
    <w:rsid w:val="00984859"/>
    <w:pPr>
      <w:spacing w:before="240" w:after="240" w:line="240" w:lineRule="auto"/>
      <w:jc w:val="center"/>
    </w:pPr>
    <w:rPr>
      <w:rFonts w:ascii="Arial" w:eastAsia="Times New Roman" w:hAnsi="Arial" w:cs="Arial"/>
      <w:i/>
      <w:iCs/>
      <w:sz w:val="24"/>
      <w:szCs w:val="24"/>
      <w:lang w:eastAsia="sr-Latn-RS"/>
    </w:rPr>
  </w:style>
  <w:style w:type="paragraph" w:customStyle="1" w:styleId="uvuceni">
    <w:name w:val="uvuceni"/>
    <w:basedOn w:val="Normal"/>
    <w:rsid w:val="00984859"/>
    <w:pPr>
      <w:spacing w:after="24" w:line="240" w:lineRule="auto"/>
      <w:ind w:left="720" w:hanging="288"/>
    </w:pPr>
    <w:rPr>
      <w:rFonts w:ascii="Arial" w:eastAsia="Times New Roman" w:hAnsi="Arial" w:cs="Arial"/>
      <w:lang w:eastAsia="sr-Latn-RS"/>
    </w:rPr>
  </w:style>
  <w:style w:type="paragraph" w:customStyle="1" w:styleId="uvuceni2">
    <w:name w:val="uvuceni2"/>
    <w:basedOn w:val="Normal"/>
    <w:rsid w:val="00984859"/>
    <w:pPr>
      <w:spacing w:after="24" w:line="240" w:lineRule="auto"/>
      <w:ind w:left="720" w:hanging="408"/>
    </w:pPr>
    <w:rPr>
      <w:rFonts w:ascii="Arial" w:eastAsia="Times New Roman" w:hAnsi="Arial" w:cs="Arial"/>
      <w:lang w:eastAsia="sr-Latn-RS"/>
    </w:rPr>
  </w:style>
  <w:style w:type="paragraph" w:customStyle="1" w:styleId="tabelaepress">
    <w:name w:val="tabela_epress"/>
    <w:basedOn w:val="Normal"/>
    <w:rsid w:val="00984859"/>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eastAsia="sr-Latn-RS"/>
    </w:rPr>
  </w:style>
  <w:style w:type="paragraph" w:customStyle="1" w:styleId="izmred">
    <w:name w:val="izm_red"/>
    <w:basedOn w:val="Normal"/>
    <w:rsid w:val="00984859"/>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izmgreen">
    <w:name w:val="izm_green"/>
    <w:basedOn w:val="Normal"/>
    <w:rsid w:val="00984859"/>
    <w:pPr>
      <w:spacing w:before="100" w:beforeAutospacing="1" w:after="100" w:afterAutospacing="1" w:line="240" w:lineRule="auto"/>
    </w:pPr>
    <w:rPr>
      <w:rFonts w:ascii="Times New Roman" w:eastAsia="Times New Roman" w:hAnsi="Times New Roman" w:cs="Times New Roman"/>
      <w:color w:val="00CC33"/>
      <w:sz w:val="24"/>
      <w:szCs w:val="24"/>
      <w:lang w:eastAsia="sr-Latn-RS"/>
    </w:rPr>
  </w:style>
  <w:style w:type="paragraph" w:customStyle="1" w:styleId="izmgreenback">
    <w:name w:val="izm_greenback"/>
    <w:basedOn w:val="Normal"/>
    <w:rsid w:val="00984859"/>
    <w:pPr>
      <w:shd w:val="clear" w:color="auto" w:fill="33FF3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t">
    <w:name w:val="ct"/>
    <w:basedOn w:val="Normal"/>
    <w:rsid w:val="00984859"/>
    <w:pPr>
      <w:spacing w:before="100" w:beforeAutospacing="1" w:after="100" w:afterAutospacing="1" w:line="240" w:lineRule="auto"/>
    </w:pPr>
    <w:rPr>
      <w:rFonts w:ascii="Times New Roman" w:eastAsia="Times New Roman" w:hAnsi="Times New Roman" w:cs="Times New Roman"/>
      <w:color w:val="DC2348"/>
      <w:sz w:val="24"/>
      <w:szCs w:val="24"/>
      <w:lang w:eastAsia="sr-Latn-RS"/>
    </w:rPr>
  </w:style>
  <w:style w:type="paragraph" w:customStyle="1" w:styleId="hrct">
    <w:name w:val="hr_ct"/>
    <w:basedOn w:val="Normal"/>
    <w:rsid w:val="00984859"/>
    <w:pPr>
      <w:shd w:val="clear" w:color="auto" w:fill="000000"/>
      <w:spacing w:after="0" w:line="240" w:lineRule="auto"/>
    </w:pPr>
    <w:rPr>
      <w:rFonts w:ascii="Times New Roman" w:eastAsia="Times New Roman" w:hAnsi="Times New Roman" w:cs="Times New Roman"/>
      <w:sz w:val="24"/>
      <w:szCs w:val="24"/>
      <w:lang w:eastAsia="sr-Latn-RS"/>
    </w:rPr>
  </w:style>
  <w:style w:type="paragraph" w:customStyle="1" w:styleId="s1">
    <w:name w:val="s1"/>
    <w:basedOn w:val="Normal"/>
    <w:rsid w:val="00984859"/>
    <w:pPr>
      <w:spacing w:before="100" w:beforeAutospacing="1" w:after="100" w:afterAutospacing="1" w:line="240" w:lineRule="auto"/>
    </w:pPr>
    <w:rPr>
      <w:rFonts w:ascii="Arial" w:eastAsia="Times New Roman" w:hAnsi="Arial" w:cs="Arial"/>
      <w:sz w:val="18"/>
      <w:szCs w:val="18"/>
      <w:lang w:eastAsia="sr-Latn-RS"/>
    </w:rPr>
  </w:style>
  <w:style w:type="paragraph" w:customStyle="1" w:styleId="s2">
    <w:name w:val="s2"/>
    <w:basedOn w:val="Normal"/>
    <w:rsid w:val="00984859"/>
    <w:pPr>
      <w:spacing w:before="100" w:beforeAutospacing="1" w:after="100" w:afterAutospacing="1" w:line="240" w:lineRule="auto"/>
      <w:ind w:firstLine="113"/>
    </w:pPr>
    <w:rPr>
      <w:rFonts w:ascii="Arial" w:eastAsia="Times New Roman" w:hAnsi="Arial" w:cs="Arial"/>
      <w:sz w:val="18"/>
      <w:szCs w:val="18"/>
      <w:lang w:eastAsia="sr-Latn-RS"/>
    </w:rPr>
  </w:style>
  <w:style w:type="paragraph" w:customStyle="1" w:styleId="s3">
    <w:name w:val="s3"/>
    <w:basedOn w:val="Normal"/>
    <w:rsid w:val="00984859"/>
    <w:pPr>
      <w:spacing w:before="100" w:beforeAutospacing="1" w:after="100" w:afterAutospacing="1" w:line="240" w:lineRule="auto"/>
      <w:ind w:firstLine="227"/>
    </w:pPr>
    <w:rPr>
      <w:rFonts w:ascii="Arial" w:eastAsia="Times New Roman" w:hAnsi="Arial" w:cs="Arial"/>
      <w:sz w:val="17"/>
      <w:szCs w:val="17"/>
      <w:lang w:eastAsia="sr-Latn-RS"/>
    </w:rPr>
  </w:style>
  <w:style w:type="paragraph" w:customStyle="1" w:styleId="s4">
    <w:name w:val="s4"/>
    <w:basedOn w:val="Normal"/>
    <w:rsid w:val="00984859"/>
    <w:pPr>
      <w:spacing w:before="100" w:beforeAutospacing="1" w:after="100" w:afterAutospacing="1" w:line="240" w:lineRule="auto"/>
      <w:ind w:firstLine="340"/>
    </w:pPr>
    <w:rPr>
      <w:rFonts w:ascii="Arial" w:eastAsia="Times New Roman" w:hAnsi="Arial" w:cs="Arial"/>
      <w:sz w:val="17"/>
      <w:szCs w:val="17"/>
      <w:lang w:eastAsia="sr-Latn-RS"/>
    </w:rPr>
  </w:style>
  <w:style w:type="paragraph" w:customStyle="1" w:styleId="s5">
    <w:name w:val="s5"/>
    <w:basedOn w:val="Normal"/>
    <w:rsid w:val="00984859"/>
    <w:pPr>
      <w:spacing w:before="100" w:beforeAutospacing="1" w:after="100" w:afterAutospacing="1" w:line="240" w:lineRule="auto"/>
      <w:ind w:firstLine="454"/>
    </w:pPr>
    <w:rPr>
      <w:rFonts w:ascii="Arial" w:eastAsia="Times New Roman" w:hAnsi="Arial" w:cs="Arial"/>
      <w:sz w:val="15"/>
      <w:szCs w:val="15"/>
      <w:lang w:eastAsia="sr-Latn-RS"/>
    </w:rPr>
  </w:style>
  <w:style w:type="paragraph" w:customStyle="1" w:styleId="s6">
    <w:name w:val="s6"/>
    <w:basedOn w:val="Normal"/>
    <w:rsid w:val="00984859"/>
    <w:pPr>
      <w:spacing w:before="100" w:beforeAutospacing="1" w:after="100" w:afterAutospacing="1" w:line="240" w:lineRule="auto"/>
      <w:ind w:firstLine="567"/>
    </w:pPr>
    <w:rPr>
      <w:rFonts w:ascii="Arial" w:eastAsia="Times New Roman" w:hAnsi="Arial" w:cs="Arial"/>
      <w:sz w:val="15"/>
      <w:szCs w:val="15"/>
      <w:lang w:eastAsia="sr-Latn-RS"/>
    </w:rPr>
  </w:style>
  <w:style w:type="paragraph" w:customStyle="1" w:styleId="s7">
    <w:name w:val="s7"/>
    <w:basedOn w:val="Normal"/>
    <w:rsid w:val="00984859"/>
    <w:pPr>
      <w:spacing w:before="100" w:beforeAutospacing="1" w:after="100" w:afterAutospacing="1" w:line="240" w:lineRule="auto"/>
      <w:ind w:firstLine="680"/>
    </w:pPr>
    <w:rPr>
      <w:rFonts w:ascii="Arial" w:eastAsia="Times New Roman" w:hAnsi="Arial" w:cs="Arial"/>
      <w:sz w:val="14"/>
      <w:szCs w:val="14"/>
      <w:lang w:eastAsia="sr-Latn-RS"/>
    </w:rPr>
  </w:style>
  <w:style w:type="paragraph" w:customStyle="1" w:styleId="s8">
    <w:name w:val="s8"/>
    <w:basedOn w:val="Normal"/>
    <w:rsid w:val="00984859"/>
    <w:pPr>
      <w:spacing w:before="100" w:beforeAutospacing="1" w:after="100" w:afterAutospacing="1" w:line="240" w:lineRule="auto"/>
      <w:ind w:firstLine="794"/>
    </w:pPr>
    <w:rPr>
      <w:rFonts w:ascii="Arial" w:eastAsia="Times New Roman" w:hAnsi="Arial" w:cs="Arial"/>
      <w:sz w:val="14"/>
      <w:szCs w:val="14"/>
      <w:lang w:eastAsia="sr-Latn-RS"/>
    </w:rPr>
  </w:style>
  <w:style w:type="paragraph" w:customStyle="1" w:styleId="s9">
    <w:name w:val="s9"/>
    <w:basedOn w:val="Normal"/>
    <w:rsid w:val="00984859"/>
    <w:pPr>
      <w:spacing w:before="100" w:beforeAutospacing="1" w:after="100" w:afterAutospacing="1" w:line="240" w:lineRule="auto"/>
      <w:ind w:firstLine="907"/>
    </w:pPr>
    <w:rPr>
      <w:rFonts w:ascii="Arial" w:eastAsia="Times New Roman" w:hAnsi="Arial" w:cs="Arial"/>
      <w:sz w:val="14"/>
      <w:szCs w:val="14"/>
      <w:lang w:eastAsia="sr-Latn-RS"/>
    </w:rPr>
  </w:style>
  <w:style w:type="paragraph" w:customStyle="1" w:styleId="s10">
    <w:name w:val="s10"/>
    <w:basedOn w:val="Normal"/>
    <w:rsid w:val="00984859"/>
    <w:pPr>
      <w:spacing w:before="100" w:beforeAutospacing="1" w:after="100" w:afterAutospacing="1" w:line="240" w:lineRule="auto"/>
      <w:ind w:firstLine="1021"/>
    </w:pPr>
    <w:rPr>
      <w:rFonts w:ascii="Arial" w:eastAsia="Times New Roman" w:hAnsi="Arial" w:cs="Arial"/>
      <w:sz w:val="14"/>
      <w:szCs w:val="14"/>
      <w:lang w:eastAsia="sr-Latn-RS"/>
    </w:rPr>
  </w:style>
  <w:style w:type="paragraph" w:customStyle="1" w:styleId="s11">
    <w:name w:val="s11"/>
    <w:basedOn w:val="Normal"/>
    <w:rsid w:val="00984859"/>
    <w:pPr>
      <w:spacing w:before="100" w:beforeAutospacing="1" w:after="100" w:afterAutospacing="1" w:line="240" w:lineRule="auto"/>
      <w:ind w:firstLine="1134"/>
    </w:pPr>
    <w:rPr>
      <w:rFonts w:ascii="Arial" w:eastAsia="Times New Roman" w:hAnsi="Arial" w:cs="Arial"/>
      <w:sz w:val="14"/>
      <w:szCs w:val="14"/>
      <w:lang w:eastAsia="sr-Latn-RS"/>
    </w:rPr>
  </w:style>
  <w:style w:type="paragraph" w:customStyle="1" w:styleId="s12">
    <w:name w:val="s12"/>
    <w:basedOn w:val="Normal"/>
    <w:rsid w:val="00984859"/>
    <w:pPr>
      <w:spacing w:before="100" w:beforeAutospacing="1" w:after="100" w:afterAutospacing="1" w:line="240" w:lineRule="auto"/>
      <w:ind w:firstLine="1247"/>
    </w:pPr>
    <w:rPr>
      <w:rFonts w:ascii="Arial" w:eastAsia="Times New Roman" w:hAnsi="Arial" w:cs="Arial"/>
      <w:sz w:val="14"/>
      <w:szCs w:val="14"/>
      <w:lang w:eastAsia="sr-Latn-RS"/>
    </w:rPr>
  </w:style>
  <w:style w:type="character" w:customStyle="1" w:styleId="stepen1">
    <w:name w:val="stepen1"/>
    <w:basedOn w:val="Podrazumevanifontpasusa"/>
    <w:rsid w:val="00984859"/>
    <w:rPr>
      <w:sz w:val="15"/>
      <w:szCs w:val="15"/>
      <w:vertAlign w:val="superscript"/>
    </w:rPr>
  </w:style>
  <w:style w:type="character" w:customStyle="1" w:styleId="indeks1">
    <w:name w:val="indeks1"/>
    <w:basedOn w:val="Podrazumevanifontpasusa"/>
    <w:rsid w:val="00984859"/>
    <w:rPr>
      <w:sz w:val="15"/>
      <w:szCs w:val="15"/>
      <w:vertAlign w:val="subscript"/>
    </w:rPr>
  </w:style>
  <w:style w:type="character" w:customStyle="1" w:styleId="simboli1">
    <w:name w:val="simboli1"/>
    <w:basedOn w:val="Podrazumevanifontpasusa"/>
    <w:rsid w:val="00984859"/>
    <w:rPr>
      <w:rFonts w:ascii="Symbol" w:hAnsi="Symbol" w:hint="default"/>
      <w:sz w:val="22"/>
      <w:szCs w:val="22"/>
    </w:rPr>
  </w:style>
  <w:style w:type="character" w:customStyle="1" w:styleId="normal10">
    <w:name w:val="normal1"/>
    <w:basedOn w:val="Podrazumevanifontpasusa"/>
    <w:rsid w:val="00984859"/>
    <w:rPr>
      <w:rFonts w:ascii="Arial" w:hAnsi="Arial" w:cs="Arial" w:hint="default"/>
      <w:sz w:val="22"/>
      <w:szCs w:val="22"/>
    </w:rPr>
  </w:style>
  <w:style w:type="paragraph" w:styleId="Tekstubaloniu">
    <w:name w:val="Balloon Text"/>
    <w:basedOn w:val="Normal"/>
    <w:link w:val="TekstubaloniuChar"/>
    <w:uiPriority w:val="99"/>
    <w:semiHidden/>
    <w:unhideWhenUsed/>
    <w:rsid w:val="00984859"/>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984859"/>
    <w:rPr>
      <w:rFonts w:ascii="Tahoma" w:hAnsi="Tahoma" w:cs="Tahoma"/>
      <w:sz w:val="16"/>
      <w:szCs w:val="16"/>
    </w:rPr>
  </w:style>
  <w:style w:type="character" w:customStyle="1" w:styleId="normalchar">
    <w:name w:val="normalchar"/>
    <w:basedOn w:val="Podrazumevanifontpasusa"/>
    <w:rsid w:val="00984859"/>
    <w:rPr>
      <w:rFonts w:ascii="Arial" w:hAnsi="Arial" w:cs="Arial" w:hint="default"/>
    </w:rPr>
  </w:style>
  <w:style w:type="paragraph" w:styleId="NormalWeb">
    <w:name w:val="Normal (Web)"/>
    <w:basedOn w:val="Normal"/>
    <w:uiPriority w:val="99"/>
    <w:semiHidden/>
    <w:unhideWhenUsed/>
    <w:rsid w:val="00984859"/>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stepenchar">
    <w:name w:val="stepenchar"/>
    <w:basedOn w:val="Podrazumevanifontpasusa"/>
    <w:rsid w:val="00984859"/>
    <w:rPr>
      <w:vertAlign w:val="superscript"/>
    </w:rPr>
  </w:style>
  <w:style w:type="character" w:customStyle="1" w:styleId="indekschar">
    <w:name w:val="indekschar"/>
    <w:basedOn w:val="Podrazumevanifontpasusa"/>
    <w:rsid w:val="00984859"/>
    <w:rPr>
      <w:vertAlign w:val="subscript"/>
    </w:rPr>
  </w:style>
  <w:style w:type="character" w:customStyle="1" w:styleId="normalcentar1">
    <w:name w:val="normalcentar1"/>
    <w:basedOn w:val="Podrazumevanifontpasusa"/>
    <w:rsid w:val="00984859"/>
    <w:rPr>
      <w:rFonts w:ascii="Arial" w:hAnsi="Arial" w:cs="Arial" w:hint="default"/>
      <w:sz w:val="22"/>
      <w:szCs w:val="22"/>
    </w:rPr>
  </w:style>
  <w:style w:type="paragraph" w:styleId="Naslov">
    <w:name w:val="Title"/>
    <w:basedOn w:val="Normal"/>
    <w:next w:val="Normal"/>
    <w:link w:val="NaslovChar"/>
    <w:uiPriority w:val="10"/>
    <w:qFormat/>
    <w:rsid w:val="008375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Podrazumevanifontpasusa"/>
    <w:link w:val="Naslov"/>
    <w:uiPriority w:val="10"/>
    <w:rsid w:val="008375EC"/>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ormal"/>
    <w:next w:val="Normal"/>
    <w:link w:val="PodnaslovChar"/>
    <w:uiPriority w:val="11"/>
    <w:qFormat/>
    <w:rsid w:val="008375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Podrazumevanifontpasusa"/>
    <w:link w:val="Podnaslov"/>
    <w:uiPriority w:val="11"/>
    <w:rsid w:val="008375E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4">
    <w:name w:val="heading 4"/>
    <w:basedOn w:val="Normal"/>
    <w:link w:val="Naslov4Char"/>
    <w:uiPriority w:val="9"/>
    <w:qFormat/>
    <w:rsid w:val="00984859"/>
    <w:pPr>
      <w:spacing w:before="100" w:beforeAutospacing="1" w:after="100" w:afterAutospacing="1" w:line="240" w:lineRule="auto"/>
      <w:outlineLvl w:val="3"/>
    </w:pPr>
    <w:rPr>
      <w:rFonts w:ascii="Times New Roman" w:eastAsia="Times New Roman" w:hAnsi="Times New Roman" w:cs="Times New Roman"/>
      <w:b/>
      <w:bCs/>
      <w:sz w:val="24"/>
      <w:szCs w:val="24"/>
      <w:lang w:eastAsia="sr-Latn-RS"/>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4Char">
    <w:name w:val="Naslov 4 Char"/>
    <w:basedOn w:val="Podrazumevanifontpasusa"/>
    <w:link w:val="Naslov4"/>
    <w:uiPriority w:val="9"/>
    <w:rsid w:val="00984859"/>
    <w:rPr>
      <w:rFonts w:ascii="Times New Roman" w:eastAsia="Times New Roman" w:hAnsi="Times New Roman" w:cs="Times New Roman"/>
      <w:b/>
      <w:bCs/>
      <w:sz w:val="24"/>
      <w:szCs w:val="24"/>
      <w:lang w:eastAsia="sr-Latn-RS"/>
    </w:rPr>
  </w:style>
  <w:style w:type="character" w:styleId="Hiperveza">
    <w:name w:val="Hyperlink"/>
    <w:basedOn w:val="Podrazumevanifontpasusa"/>
    <w:uiPriority w:val="99"/>
    <w:semiHidden/>
    <w:unhideWhenUsed/>
    <w:rsid w:val="00984859"/>
    <w:rPr>
      <w:rFonts w:ascii="Arial" w:hAnsi="Arial" w:cs="Arial" w:hint="default"/>
      <w:strike w:val="0"/>
      <w:dstrike w:val="0"/>
      <w:color w:val="0000FF"/>
      <w:u w:val="single"/>
      <w:effect w:val="none"/>
    </w:rPr>
  </w:style>
  <w:style w:type="character" w:styleId="Ispraenahiperveza">
    <w:name w:val="FollowedHyperlink"/>
    <w:basedOn w:val="Podrazumevanifontpasusa"/>
    <w:uiPriority w:val="99"/>
    <w:semiHidden/>
    <w:unhideWhenUsed/>
    <w:rsid w:val="00984859"/>
    <w:rPr>
      <w:rFonts w:ascii="Arial" w:hAnsi="Arial" w:cs="Arial" w:hint="default"/>
      <w:strike w:val="0"/>
      <w:dstrike w:val="0"/>
      <w:color w:val="800080"/>
      <w:u w:val="single"/>
      <w:effect w:val="none"/>
    </w:rPr>
  </w:style>
  <w:style w:type="paragraph" w:customStyle="1" w:styleId="singl">
    <w:name w:val="singl"/>
    <w:basedOn w:val="Normal"/>
    <w:rsid w:val="00984859"/>
    <w:pPr>
      <w:spacing w:after="24" w:line="240" w:lineRule="auto"/>
    </w:pPr>
    <w:rPr>
      <w:rFonts w:ascii="Arial" w:eastAsia="Times New Roman" w:hAnsi="Arial" w:cs="Arial"/>
      <w:lang w:eastAsia="sr-Latn-RS"/>
    </w:rPr>
  </w:style>
  <w:style w:type="paragraph" w:customStyle="1" w:styleId="tabelamolovani">
    <w:name w:val="tabelamolovani"/>
    <w:basedOn w:val="Normal"/>
    <w:rsid w:val="00984859"/>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lang w:eastAsia="sr-Latn-RS"/>
    </w:rPr>
  </w:style>
  <w:style w:type="paragraph" w:customStyle="1" w:styleId="normalred">
    <w:name w:val="normal_red"/>
    <w:basedOn w:val="Normal"/>
    <w:rsid w:val="00984859"/>
    <w:pPr>
      <w:spacing w:before="100" w:beforeAutospacing="1" w:after="100" w:afterAutospacing="1" w:line="240" w:lineRule="auto"/>
    </w:pPr>
    <w:rPr>
      <w:rFonts w:ascii="Arial" w:eastAsia="Times New Roman" w:hAnsi="Arial" w:cs="Arial"/>
      <w:color w:val="FF0000"/>
      <w:lang w:eastAsia="sr-Latn-RS"/>
    </w:rPr>
  </w:style>
  <w:style w:type="paragraph" w:customStyle="1" w:styleId="normalgreenback">
    <w:name w:val="normal_greenback"/>
    <w:basedOn w:val="Normal"/>
    <w:rsid w:val="00984859"/>
    <w:pPr>
      <w:shd w:val="clear" w:color="auto" w:fill="33FF33"/>
      <w:spacing w:before="100" w:beforeAutospacing="1" w:after="100" w:afterAutospacing="1" w:line="240" w:lineRule="auto"/>
    </w:pPr>
    <w:rPr>
      <w:rFonts w:ascii="Arial" w:eastAsia="Times New Roman" w:hAnsi="Arial" w:cs="Arial"/>
      <w:lang w:eastAsia="sr-Latn-RS"/>
    </w:rPr>
  </w:style>
  <w:style w:type="paragraph" w:customStyle="1" w:styleId="clan">
    <w:name w:val="clan"/>
    <w:basedOn w:val="Normal"/>
    <w:rsid w:val="00984859"/>
    <w:pPr>
      <w:spacing w:before="240" w:after="120" w:line="240" w:lineRule="auto"/>
      <w:jc w:val="center"/>
    </w:pPr>
    <w:rPr>
      <w:rFonts w:ascii="Arial" w:eastAsia="Times New Roman" w:hAnsi="Arial" w:cs="Arial"/>
      <w:b/>
      <w:bCs/>
      <w:sz w:val="24"/>
      <w:szCs w:val="24"/>
      <w:lang w:eastAsia="sr-Latn-RS"/>
    </w:rPr>
  </w:style>
  <w:style w:type="paragraph" w:customStyle="1" w:styleId="simboli">
    <w:name w:val="simboli"/>
    <w:basedOn w:val="Normal"/>
    <w:rsid w:val="00984859"/>
    <w:pPr>
      <w:spacing w:before="100" w:beforeAutospacing="1" w:after="100" w:afterAutospacing="1" w:line="240" w:lineRule="auto"/>
    </w:pPr>
    <w:rPr>
      <w:rFonts w:ascii="Symbol" w:eastAsia="Times New Roman" w:hAnsi="Symbol" w:cs="Times New Roman"/>
      <w:lang w:eastAsia="sr-Latn-RS"/>
    </w:rPr>
  </w:style>
  <w:style w:type="paragraph" w:customStyle="1" w:styleId="simboliindeks">
    <w:name w:val="simboliindeks"/>
    <w:basedOn w:val="Normal"/>
    <w:rsid w:val="00984859"/>
    <w:pPr>
      <w:spacing w:before="100" w:beforeAutospacing="1" w:after="100" w:afterAutospacing="1" w:line="240" w:lineRule="auto"/>
    </w:pPr>
    <w:rPr>
      <w:rFonts w:ascii="Symbol" w:eastAsia="Times New Roman" w:hAnsi="Symbol" w:cs="Times New Roman"/>
      <w:sz w:val="24"/>
      <w:szCs w:val="24"/>
      <w:vertAlign w:val="subscript"/>
      <w:lang w:eastAsia="sr-Latn-RS"/>
    </w:rPr>
  </w:style>
  <w:style w:type="paragraph" w:customStyle="1" w:styleId="Normal1">
    <w:name w:val="Normal1"/>
    <w:basedOn w:val="Normal"/>
    <w:rsid w:val="00984859"/>
    <w:pPr>
      <w:spacing w:before="100" w:beforeAutospacing="1" w:after="100" w:afterAutospacing="1" w:line="240" w:lineRule="auto"/>
    </w:pPr>
    <w:rPr>
      <w:rFonts w:ascii="Arial" w:eastAsia="Times New Roman" w:hAnsi="Arial" w:cs="Arial"/>
      <w:lang w:eastAsia="sr-Latn-RS"/>
    </w:rPr>
  </w:style>
  <w:style w:type="paragraph" w:customStyle="1" w:styleId="normaltd">
    <w:name w:val="normaltd"/>
    <w:basedOn w:val="Normal"/>
    <w:rsid w:val="00984859"/>
    <w:pPr>
      <w:spacing w:before="100" w:beforeAutospacing="1" w:after="100" w:afterAutospacing="1" w:line="240" w:lineRule="auto"/>
      <w:jc w:val="right"/>
    </w:pPr>
    <w:rPr>
      <w:rFonts w:ascii="Arial" w:eastAsia="Times New Roman" w:hAnsi="Arial" w:cs="Arial"/>
      <w:lang w:eastAsia="sr-Latn-RS"/>
    </w:rPr>
  </w:style>
  <w:style w:type="paragraph" w:customStyle="1" w:styleId="normaltdb">
    <w:name w:val="normaltdb"/>
    <w:basedOn w:val="Normal"/>
    <w:rsid w:val="00984859"/>
    <w:pPr>
      <w:spacing w:before="100" w:beforeAutospacing="1" w:after="100" w:afterAutospacing="1" w:line="240" w:lineRule="auto"/>
      <w:jc w:val="right"/>
    </w:pPr>
    <w:rPr>
      <w:rFonts w:ascii="Arial" w:eastAsia="Times New Roman" w:hAnsi="Arial" w:cs="Arial"/>
      <w:b/>
      <w:bCs/>
      <w:lang w:eastAsia="sr-Latn-RS"/>
    </w:rPr>
  </w:style>
  <w:style w:type="paragraph" w:customStyle="1" w:styleId="samostalni">
    <w:name w:val="samostalni"/>
    <w:basedOn w:val="Normal"/>
    <w:rsid w:val="00984859"/>
    <w:pPr>
      <w:spacing w:before="100" w:beforeAutospacing="1" w:after="100" w:afterAutospacing="1" w:line="240" w:lineRule="auto"/>
      <w:jc w:val="center"/>
    </w:pPr>
    <w:rPr>
      <w:rFonts w:ascii="Arial" w:eastAsia="Times New Roman" w:hAnsi="Arial" w:cs="Arial"/>
      <w:b/>
      <w:bCs/>
      <w:i/>
      <w:iCs/>
      <w:sz w:val="24"/>
      <w:szCs w:val="24"/>
      <w:lang w:eastAsia="sr-Latn-RS"/>
    </w:rPr>
  </w:style>
  <w:style w:type="paragraph" w:customStyle="1" w:styleId="samostalni1">
    <w:name w:val="samostalni1"/>
    <w:basedOn w:val="Normal"/>
    <w:rsid w:val="00984859"/>
    <w:pPr>
      <w:spacing w:before="100" w:beforeAutospacing="1" w:after="100" w:afterAutospacing="1" w:line="240" w:lineRule="auto"/>
      <w:jc w:val="center"/>
    </w:pPr>
    <w:rPr>
      <w:rFonts w:ascii="Arial" w:eastAsia="Times New Roman" w:hAnsi="Arial" w:cs="Arial"/>
      <w:i/>
      <w:iCs/>
      <w:lang w:eastAsia="sr-Latn-RS"/>
    </w:rPr>
  </w:style>
  <w:style w:type="paragraph" w:customStyle="1" w:styleId="tabelaobrazac">
    <w:name w:val="tabelaobrazac"/>
    <w:basedOn w:val="Normal"/>
    <w:rsid w:val="00984859"/>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naslov">
    <w:name w:val="tabelanaslov"/>
    <w:basedOn w:val="Normal"/>
    <w:rsid w:val="00984859"/>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m">
    <w:name w:val="tabela_sm"/>
    <w:basedOn w:val="Normal"/>
    <w:rsid w:val="00984859"/>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p">
    <w:name w:val="tabela_sp"/>
    <w:basedOn w:val="Normal"/>
    <w:rsid w:val="00984859"/>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ct">
    <w:name w:val="tabela_ct"/>
    <w:basedOn w:val="Normal"/>
    <w:rsid w:val="00984859"/>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naslov1">
    <w:name w:val="naslov1"/>
    <w:basedOn w:val="Normal"/>
    <w:rsid w:val="00984859"/>
    <w:pPr>
      <w:spacing w:before="100" w:beforeAutospacing="1" w:after="100" w:afterAutospacing="1" w:line="240" w:lineRule="auto"/>
      <w:jc w:val="center"/>
    </w:pPr>
    <w:rPr>
      <w:rFonts w:ascii="Arial" w:eastAsia="Times New Roman" w:hAnsi="Arial" w:cs="Arial"/>
      <w:b/>
      <w:bCs/>
      <w:sz w:val="24"/>
      <w:szCs w:val="24"/>
      <w:lang w:eastAsia="sr-Latn-RS"/>
    </w:rPr>
  </w:style>
  <w:style w:type="paragraph" w:customStyle="1" w:styleId="naslov2">
    <w:name w:val="naslov2"/>
    <w:basedOn w:val="Normal"/>
    <w:rsid w:val="00984859"/>
    <w:pPr>
      <w:spacing w:before="100" w:beforeAutospacing="1" w:after="100" w:afterAutospacing="1" w:line="240" w:lineRule="auto"/>
      <w:jc w:val="center"/>
    </w:pPr>
    <w:rPr>
      <w:rFonts w:ascii="Arial" w:eastAsia="Times New Roman" w:hAnsi="Arial" w:cs="Arial"/>
      <w:b/>
      <w:bCs/>
      <w:sz w:val="29"/>
      <w:szCs w:val="29"/>
      <w:lang w:eastAsia="sr-Latn-RS"/>
    </w:rPr>
  </w:style>
  <w:style w:type="paragraph" w:customStyle="1" w:styleId="naslov3">
    <w:name w:val="naslov3"/>
    <w:basedOn w:val="Normal"/>
    <w:rsid w:val="00984859"/>
    <w:pPr>
      <w:spacing w:before="100" w:beforeAutospacing="1" w:after="100" w:afterAutospacing="1" w:line="240" w:lineRule="auto"/>
      <w:jc w:val="center"/>
    </w:pPr>
    <w:rPr>
      <w:rFonts w:ascii="Arial" w:eastAsia="Times New Roman" w:hAnsi="Arial" w:cs="Arial"/>
      <w:b/>
      <w:bCs/>
      <w:sz w:val="23"/>
      <w:szCs w:val="23"/>
      <w:lang w:eastAsia="sr-Latn-RS"/>
    </w:rPr>
  </w:style>
  <w:style w:type="paragraph" w:customStyle="1" w:styleId="normaluvuceni">
    <w:name w:val="normal_uvuceni"/>
    <w:basedOn w:val="Normal"/>
    <w:rsid w:val="00984859"/>
    <w:pPr>
      <w:spacing w:before="100" w:beforeAutospacing="1" w:after="100" w:afterAutospacing="1" w:line="240" w:lineRule="auto"/>
      <w:ind w:left="1134" w:hanging="142"/>
    </w:pPr>
    <w:rPr>
      <w:rFonts w:ascii="Arial" w:eastAsia="Times New Roman" w:hAnsi="Arial" w:cs="Arial"/>
      <w:lang w:eastAsia="sr-Latn-RS"/>
    </w:rPr>
  </w:style>
  <w:style w:type="paragraph" w:customStyle="1" w:styleId="normaluvuceni2">
    <w:name w:val="normal_uvuceni2"/>
    <w:basedOn w:val="Normal"/>
    <w:rsid w:val="00984859"/>
    <w:pPr>
      <w:spacing w:before="100" w:beforeAutospacing="1" w:after="100" w:afterAutospacing="1" w:line="240" w:lineRule="auto"/>
      <w:ind w:left="1701" w:hanging="227"/>
    </w:pPr>
    <w:rPr>
      <w:rFonts w:ascii="Arial" w:eastAsia="Times New Roman" w:hAnsi="Arial" w:cs="Arial"/>
      <w:lang w:eastAsia="sr-Latn-RS"/>
    </w:rPr>
  </w:style>
  <w:style w:type="paragraph" w:customStyle="1" w:styleId="normaluvuceni3">
    <w:name w:val="normal_uvuceni3"/>
    <w:basedOn w:val="Normal"/>
    <w:rsid w:val="00984859"/>
    <w:pPr>
      <w:spacing w:before="100" w:beforeAutospacing="1" w:after="100" w:afterAutospacing="1" w:line="240" w:lineRule="auto"/>
      <w:ind w:left="992"/>
    </w:pPr>
    <w:rPr>
      <w:rFonts w:ascii="Arial" w:eastAsia="Times New Roman" w:hAnsi="Arial" w:cs="Arial"/>
      <w:lang w:eastAsia="sr-Latn-RS"/>
    </w:rPr>
  </w:style>
  <w:style w:type="paragraph" w:customStyle="1" w:styleId="naslovpropisa1">
    <w:name w:val="naslovpropisa1"/>
    <w:basedOn w:val="Normal"/>
    <w:rsid w:val="00984859"/>
    <w:pPr>
      <w:spacing w:before="100" w:beforeAutospacing="1" w:after="100" w:afterAutospacing="1" w:line="240" w:lineRule="auto"/>
      <w:ind w:right="975"/>
      <w:jc w:val="center"/>
    </w:pPr>
    <w:rPr>
      <w:rFonts w:ascii="Arial" w:eastAsia="Times New Roman" w:hAnsi="Arial" w:cs="Arial"/>
      <w:b/>
      <w:bCs/>
      <w:color w:val="FFE8BF"/>
      <w:sz w:val="36"/>
      <w:szCs w:val="36"/>
      <w:lang w:eastAsia="sr-Latn-RS"/>
    </w:rPr>
  </w:style>
  <w:style w:type="paragraph" w:customStyle="1" w:styleId="naslovpropisa1a">
    <w:name w:val="naslovpropisa1a"/>
    <w:basedOn w:val="Normal"/>
    <w:rsid w:val="00984859"/>
    <w:pPr>
      <w:spacing w:before="100" w:beforeAutospacing="1" w:after="100" w:afterAutospacing="1" w:line="240" w:lineRule="auto"/>
      <w:ind w:right="975"/>
      <w:jc w:val="center"/>
    </w:pPr>
    <w:rPr>
      <w:rFonts w:ascii="Arial" w:eastAsia="Times New Roman" w:hAnsi="Arial" w:cs="Arial"/>
      <w:b/>
      <w:bCs/>
      <w:color w:val="FFFFFF"/>
      <w:sz w:val="34"/>
      <w:szCs w:val="34"/>
      <w:lang w:eastAsia="sr-Latn-RS"/>
    </w:rPr>
  </w:style>
  <w:style w:type="paragraph" w:customStyle="1" w:styleId="podnaslovpropisa">
    <w:name w:val="podnaslovpropisa"/>
    <w:basedOn w:val="Normal"/>
    <w:rsid w:val="00984859"/>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sr-Latn-RS"/>
    </w:rPr>
  </w:style>
  <w:style w:type="paragraph" w:customStyle="1" w:styleId="naslov40">
    <w:name w:val="naslov4"/>
    <w:basedOn w:val="Normal"/>
    <w:rsid w:val="00984859"/>
    <w:pPr>
      <w:spacing w:before="100" w:beforeAutospacing="1" w:after="100" w:afterAutospacing="1" w:line="240" w:lineRule="auto"/>
      <w:jc w:val="center"/>
    </w:pPr>
    <w:rPr>
      <w:rFonts w:ascii="Arial" w:eastAsia="Times New Roman" w:hAnsi="Arial" w:cs="Arial"/>
      <w:b/>
      <w:bCs/>
      <w:lang w:eastAsia="sr-Latn-RS"/>
    </w:rPr>
  </w:style>
  <w:style w:type="paragraph" w:customStyle="1" w:styleId="naslov5">
    <w:name w:val="naslov5"/>
    <w:basedOn w:val="Normal"/>
    <w:rsid w:val="00984859"/>
    <w:pPr>
      <w:spacing w:before="100" w:beforeAutospacing="1" w:after="100" w:afterAutospacing="1" w:line="240" w:lineRule="auto"/>
      <w:jc w:val="center"/>
    </w:pPr>
    <w:rPr>
      <w:rFonts w:ascii="Arial" w:eastAsia="Times New Roman" w:hAnsi="Arial" w:cs="Arial"/>
      <w:b/>
      <w:bCs/>
      <w:lang w:eastAsia="sr-Latn-RS"/>
    </w:rPr>
  </w:style>
  <w:style w:type="paragraph" w:customStyle="1" w:styleId="normalbold">
    <w:name w:val="normalbold"/>
    <w:basedOn w:val="Normal"/>
    <w:rsid w:val="00984859"/>
    <w:pPr>
      <w:spacing w:before="100" w:beforeAutospacing="1" w:after="100" w:afterAutospacing="1" w:line="240" w:lineRule="auto"/>
    </w:pPr>
    <w:rPr>
      <w:rFonts w:ascii="Arial" w:eastAsia="Times New Roman" w:hAnsi="Arial" w:cs="Arial"/>
      <w:b/>
      <w:bCs/>
      <w:lang w:eastAsia="sr-Latn-RS"/>
    </w:rPr>
  </w:style>
  <w:style w:type="paragraph" w:customStyle="1" w:styleId="normalboldct">
    <w:name w:val="normalboldct"/>
    <w:basedOn w:val="Normal"/>
    <w:rsid w:val="00984859"/>
    <w:pPr>
      <w:spacing w:before="100" w:beforeAutospacing="1" w:after="100" w:afterAutospacing="1" w:line="240" w:lineRule="auto"/>
    </w:pPr>
    <w:rPr>
      <w:rFonts w:ascii="Arial" w:eastAsia="Times New Roman" w:hAnsi="Arial" w:cs="Arial"/>
      <w:b/>
      <w:bCs/>
      <w:sz w:val="24"/>
      <w:szCs w:val="24"/>
      <w:lang w:eastAsia="sr-Latn-RS"/>
    </w:rPr>
  </w:style>
  <w:style w:type="paragraph" w:customStyle="1" w:styleId="normalbolditalic">
    <w:name w:val="normalbolditalic"/>
    <w:basedOn w:val="Normal"/>
    <w:rsid w:val="00984859"/>
    <w:pPr>
      <w:spacing w:before="100" w:beforeAutospacing="1" w:after="100" w:afterAutospacing="1" w:line="240" w:lineRule="auto"/>
    </w:pPr>
    <w:rPr>
      <w:rFonts w:ascii="Arial" w:eastAsia="Times New Roman" w:hAnsi="Arial" w:cs="Arial"/>
      <w:b/>
      <w:bCs/>
      <w:i/>
      <w:iCs/>
      <w:lang w:eastAsia="sr-Latn-RS"/>
    </w:rPr>
  </w:style>
  <w:style w:type="paragraph" w:customStyle="1" w:styleId="normalboldcentar">
    <w:name w:val="normalboldcentar"/>
    <w:basedOn w:val="Normal"/>
    <w:rsid w:val="00984859"/>
    <w:pPr>
      <w:spacing w:before="100" w:beforeAutospacing="1" w:after="100" w:afterAutospacing="1" w:line="240" w:lineRule="auto"/>
      <w:jc w:val="center"/>
    </w:pPr>
    <w:rPr>
      <w:rFonts w:ascii="Arial" w:eastAsia="Times New Roman" w:hAnsi="Arial" w:cs="Arial"/>
      <w:b/>
      <w:bCs/>
      <w:lang w:eastAsia="sr-Latn-RS"/>
    </w:rPr>
  </w:style>
  <w:style w:type="paragraph" w:customStyle="1" w:styleId="stepen">
    <w:name w:val="stepen"/>
    <w:basedOn w:val="Normal"/>
    <w:rsid w:val="00984859"/>
    <w:pPr>
      <w:spacing w:before="100" w:beforeAutospacing="1" w:after="100" w:afterAutospacing="1" w:line="240" w:lineRule="auto"/>
    </w:pPr>
    <w:rPr>
      <w:rFonts w:ascii="Times New Roman" w:eastAsia="Times New Roman" w:hAnsi="Times New Roman" w:cs="Times New Roman"/>
      <w:sz w:val="15"/>
      <w:szCs w:val="15"/>
      <w:vertAlign w:val="superscript"/>
      <w:lang w:eastAsia="sr-Latn-RS"/>
    </w:rPr>
  </w:style>
  <w:style w:type="paragraph" w:customStyle="1" w:styleId="indeks">
    <w:name w:val="indeks"/>
    <w:basedOn w:val="Normal"/>
    <w:rsid w:val="00984859"/>
    <w:pPr>
      <w:spacing w:before="100" w:beforeAutospacing="1" w:after="100" w:afterAutospacing="1" w:line="240" w:lineRule="auto"/>
    </w:pPr>
    <w:rPr>
      <w:rFonts w:ascii="Times New Roman" w:eastAsia="Times New Roman" w:hAnsi="Times New Roman" w:cs="Times New Roman"/>
      <w:sz w:val="15"/>
      <w:szCs w:val="15"/>
      <w:vertAlign w:val="subscript"/>
      <w:lang w:eastAsia="sr-Latn-RS"/>
    </w:rPr>
  </w:style>
  <w:style w:type="paragraph" w:customStyle="1" w:styleId="tbezokvira">
    <w:name w:val="tbezokvira"/>
    <w:basedOn w:val="Normal"/>
    <w:rsid w:val="00984859"/>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slovlevo">
    <w:name w:val="naslovlevo"/>
    <w:basedOn w:val="Normal"/>
    <w:rsid w:val="00984859"/>
    <w:pPr>
      <w:spacing w:before="100" w:beforeAutospacing="1" w:after="100" w:afterAutospacing="1" w:line="240" w:lineRule="auto"/>
    </w:pPr>
    <w:rPr>
      <w:rFonts w:ascii="Arial" w:eastAsia="Times New Roman" w:hAnsi="Arial" w:cs="Arial"/>
      <w:b/>
      <w:bCs/>
      <w:sz w:val="26"/>
      <w:szCs w:val="26"/>
      <w:lang w:eastAsia="sr-Latn-RS"/>
    </w:rPr>
  </w:style>
  <w:style w:type="paragraph" w:customStyle="1" w:styleId="bulletedni">
    <w:name w:val="bulletedni"/>
    <w:basedOn w:val="Normal"/>
    <w:rsid w:val="00984859"/>
    <w:pPr>
      <w:spacing w:before="100" w:beforeAutospacing="1" w:after="100" w:afterAutospacing="1" w:line="240" w:lineRule="auto"/>
    </w:pPr>
    <w:rPr>
      <w:rFonts w:ascii="Arial" w:eastAsia="Times New Roman" w:hAnsi="Arial" w:cs="Arial"/>
      <w:lang w:eastAsia="sr-Latn-RS"/>
    </w:rPr>
  </w:style>
  <w:style w:type="paragraph" w:customStyle="1" w:styleId="normalpraksa">
    <w:name w:val="normalpraksa"/>
    <w:basedOn w:val="Normal"/>
    <w:rsid w:val="00984859"/>
    <w:pPr>
      <w:spacing w:before="100" w:beforeAutospacing="1" w:after="100" w:afterAutospacing="1" w:line="240" w:lineRule="auto"/>
    </w:pPr>
    <w:rPr>
      <w:rFonts w:ascii="Arial" w:eastAsia="Times New Roman" w:hAnsi="Arial" w:cs="Arial"/>
      <w:i/>
      <w:iCs/>
      <w:lang w:eastAsia="sr-Latn-RS"/>
    </w:rPr>
  </w:style>
  <w:style w:type="paragraph" w:customStyle="1" w:styleId="normalctzaglavlje">
    <w:name w:val="normalctzaglavlje"/>
    <w:basedOn w:val="Normal"/>
    <w:rsid w:val="00984859"/>
    <w:pPr>
      <w:spacing w:before="100" w:beforeAutospacing="1" w:after="100" w:afterAutospacing="1" w:line="240" w:lineRule="auto"/>
    </w:pPr>
    <w:rPr>
      <w:rFonts w:ascii="Arial" w:eastAsia="Times New Roman" w:hAnsi="Arial" w:cs="Arial"/>
      <w:b/>
      <w:bCs/>
      <w:sz w:val="16"/>
      <w:szCs w:val="16"/>
      <w:lang w:eastAsia="sr-Latn-RS"/>
    </w:rPr>
  </w:style>
  <w:style w:type="paragraph" w:customStyle="1" w:styleId="windings">
    <w:name w:val="windings"/>
    <w:basedOn w:val="Normal"/>
    <w:rsid w:val="00984859"/>
    <w:pPr>
      <w:spacing w:before="100" w:beforeAutospacing="1" w:after="100" w:afterAutospacing="1" w:line="240" w:lineRule="auto"/>
    </w:pPr>
    <w:rPr>
      <w:rFonts w:ascii="Wingdings" w:eastAsia="Times New Roman" w:hAnsi="Wingdings" w:cs="Times New Roman"/>
      <w:sz w:val="18"/>
      <w:szCs w:val="18"/>
      <w:lang w:eastAsia="sr-Latn-RS"/>
    </w:rPr>
  </w:style>
  <w:style w:type="paragraph" w:customStyle="1" w:styleId="webdings">
    <w:name w:val="webdings"/>
    <w:basedOn w:val="Normal"/>
    <w:rsid w:val="00984859"/>
    <w:pPr>
      <w:spacing w:before="100" w:beforeAutospacing="1" w:after="100" w:afterAutospacing="1" w:line="240" w:lineRule="auto"/>
    </w:pPr>
    <w:rPr>
      <w:rFonts w:ascii="Webdings" w:eastAsia="Times New Roman" w:hAnsi="Webdings" w:cs="Times New Roman"/>
      <w:sz w:val="18"/>
      <w:szCs w:val="18"/>
      <w:lang w:eastAsia="sr-Latn-RS"/>
    </w:rPr>
  </w:style>
  <w:style w:type="paragraph" w:customStyle="1" w:styleId="normalct">
    <w:name w:val="normalct"/>
    <w:basedOn w:val="Normal"/>
    <w:rsid w:val="00984859"/>
    <w:pPr>
      <w:spacing w:before="100" w:beforeAutospacing="1" w:after="100" w:afterAutospacing="1" w:line="240" w:lineRule="auto"/>
    </w:pPr>
    <w:rPr>
      <w:rFonts w:ascii="Arial" w:eastAsia="Times New Roman" w:hAnsi="Arial" w:cs="Arial"/>
      <w:sz w:val="16"/>
      <w:szCs w:val="16"/>
      <w:lang w:eastAsia="sr-Latn-RS"/>
    </w:rPr>
  </w:style>
  <w:style w:type="paragraph" w:customStyle="1" w:styleId="tabelamala">
    <w:name w:val="tabela_mala"/>
    <w:basedOn w:val="Normal"/>
    <w:rsid w:val="00984859"/>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zmenanaslov">
    <w:name w:val="izmena_naslov"/>
    <w:basedOn w:val="Normal"/>
    <w:rsid w:val="00984859"/>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podnaslov">
    <w:name w:val="izmena_podnaslov"/>
    <w:basedOn w:val="Normal"/>
    <w:rsid w:val="00984859"/>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izmenaclan">
    <w:name w:val="izmena_clan"/>
    <w:basedOn w:val="Normal"/>
    <w:rsid w:val="00984859"/>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tekst">
    <w:name w:val="izmena_tekst"/>
    <w:basedOn w:val="Normal"/>
    <w:rsid w:val="00984859"/>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centar">
    <w:name w:val="normalcentar"/>
    <w:basedOn w:val="Normal"/>
    <w:rsid w:val="00984859"/>
    <w:pPr>
      <w:spacing w:before="100" w:beforeAutospacing="1" w:after="100" w:afterAutospacing="1" w:line="240" w:lineRule="auto"/>
      <w:jc w:val="center"/>
    </w:pPr>
    <w:rPr>
      <w:rFonts w:ascii="Arial" w:eastAsia="Times New Roman" w:hAnsi="Arial" w:cs="Arial"/>
      <w:lang w:eastAsia="sr-Latn-RS"/>
    </w:rPr>
  </w:style>
  <w:style w:type="paragraph" w:customStyle="1" w:styleId="normalcentaritalic">
    <w:name w:val="normalcentaritalic"/>
    <w:basedOn w:val="Normal"/>
    <w:rsid w:val="00984859"/>
    <w:pPr>
      <w:spacing w:before="100" w:beforeAutospacing="1" w:after="100" w:afterAutospacing="1" w:line="240" w:lineRule="auto"/>
      <w:jc w:val="center"/>
    </w:pPr>
    <w:rPr>
      <w:rFonts w:ascii="Arial" w:eastAsia="Times New Roman" w:hAnsi="Arial" w:cs="Arial"/>
      <w:i/>
      <w:iCs/>
      <w:lang w:eastAsia="sr-Latn-RS"/>
    </w:rPr>
  </w:style>
  <w:style w:type="paragraph" w:customStyle="1" w:styleId="normalitalic">
    <w:name w:val="normalitalic"/>
    <w:basedOn w:val="Normal"/>
    <w:rsid w:val="00984859"/>
    <w:pPr>
      <w:spacing w:before="100" w:beforeAutospacing="1" w:after="100" w:afterAutospacing="1" w:line="240" w:lineRule="auto"/>
    </w:pPr>
    <w:rPr>
      <w:rFonts w:ascii="Arial" w:eastAsia="Times New Roman" w:hAnsi="Arial" w:cs="Arial"/>
      <w:i/>
      <w:iCs/>
      <w:lang w:eastAsia="sr-Latn-RS"/>
    </w:rPr>
  </w:style>
  <w:style w:type="paragraph" w:customStyle="1" w:styleId="tsaokvirom">
    <w:name w:val="tsaokvirom"/>
    <w:basedOn w:val="Normal"/>
    <w:rsid w:val="00984859"/>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ole">
    <w:name w:val="t_okvirdole"/>
    <w:basedOn w:val="Normal"/>
    <w:rsid w:val="00984859"/>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
    <w:name w:val="t_okvirgore"/>
    <w:basedOn w:val="Normal"/>
    <w:rsid w:val="00984859"/>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
    <w:name w:val="t_okvirgoredole"/>
    <w:basedOn w:val="Normal"/>
    <w:rsid w:val="00984859"/>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
    <w:name w:val="t_okvirlevo"/>
    <w:basedOn w:val="Normal"/>
    <w:rsid w:val="00984859"/>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
    <w:name w:val="t_okvirdesno"/>
    <w:basedOn w:val="Normal"/>
    <w:rsid w:val="00984859"/>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
    <w:name w:val="t_okvirlevodesno"/>
    <w:basedOn w:val="Normal"/>
    <w:rsid w:val="00984859"/>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gore">
    <w:name w:val="t_okvirlevodesnogore"/>
    <w:basedOn w:val="Normal"/>
    <w:rsid w:val="00984859"/>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dole">
    <w:name w:val="t_okvirlevodesnodole"/>
    <w:basedOn w:val="Normal"/>
    <w:rsid w:val="00984859"/>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ole">
    <w:name w:val="t_okvirlevodole"/>
    <w:basedOn w:val="Normal"/>
    <w:rsid w:val="00984859"/>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dole">
    <w:name w:val="t_okvirdesnodole"/>
    <w:basedOn w:val="Normal"/>
    <w:rsid w:val="00984859"/>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gore">
    <w:name w:val="t_okvirlevogore"/>
    <w:basedOn w:val="Normal"/>
    <w:rsid w:val="00984859"/>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gore">
    <w:name w:val="t_okvirdesnogore"/>
    <w:basedOn w:val="Normal"/>
    <w:rsid w:val="00984859"/>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desno">
    <w:name w:val="t_okvirgoredoledesno"/>
    <w:basedOn w:val="Normal"/>
    <w:rsid w:val="00984859"/>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levo">
    <w:name w:val="t_okvirgoredolelevo"/>
    <w:basedOn w:val="Normal"/>
    <w:rsid w:val="00984859"/>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prored">
    <w:name w:val="normalprored"/>
    <w:basedOn w:val="Normal"/>
    <w:rsid w:val="00984859"/>
    <w:pPr>
      <w:spacing w:after="0" w:line="240" w:lineRule="auto"/>
    </w:pPr>
    <w:rPr>
      <w:rFonts w:ascii="Arial" w:eastAsia="Times New Roman" w:hAnsi="Arial" w:cs="Arial"/>
      <w:sz w:val="26"/>
      <w:szCs w:val="26"/>
      <w:lang w:eastAsia="sr-Latn-RS"/>
    </w:rPr>
  </w:style>
  <w:style w:type="paragraph" w:customStyle="1" w:styleId="wyq010---deo">
    <w:name w:val="wyq010---deo"/>
    <w:basedOn w:val="Normal"/>
    <w:rsid w:val="00984859"/>
    <w:pPr>
      <w:spacing w:after="0" w:line="240" w:lineRule="auto"/>
      <w:jc w:val="center"/>
    </w:pPr>
    <w:rPr>
      <w:rFonts w:ascii="Arial" w:eastAsia="Times New Roman" w:hAnsi="Arial" w:cs="Arial"/>
      <w:b/>
      <w:bCs/>
      <w:sz w:val="36"/>
      <w:szCs w:val="36"/>
      <w:lang w:eastAsia="sr-Latn-RS"/>
    </w:rPr>
  </w:style>
  <w:style w:type="paragraph" w:customStyle="1" w:styleId="wyq020---poddeo">
    <w:name w:val="wyq020---poddeo"/>
    <w:basedOn w:val="Normal"/>
    <w:rsid w:val="00984859"/>
    <w:pPr>
      <w:spacing w:after="0" w:line="240" w:lineRule="auto"/>
      <w:jc w:val="center"/>
    </w:pPr>
    <w:rPr>
      <w:rFonts w:ascii="Arial" w:eastAsia="Times New Roman" w:hAnsi="Arial" w:cs="Arial"/>
      <w:sz w:val="36"/>
      <w:szCs w:val="36"/>
      <w:lang w:eastAsia="sr-Latn-RS"/>
    </w:rPr>
  </w:style>
  <w:style w:type="paragraph" w:customStyle="1" w:styleId="wyq030---glava">
    <w:name w:val="wyq030---glava"/>
    <w:basedOn w:val="Normal"/>
    <w:rsid w:val="00984859"/>
    <w:pPr>
      <w:spacing w:after="0" w:line="240" w:lineRule="auto"/>
      <w:jc w:val="center"/>
    </w:pPr>
    <w:rPr>
      <w:rFonts w:ascii="Arial" w:eastAsia="Times New Roman" w:hAnsi="Arial" w:cs="Arial"/>
      <w:b/>
      <w:bCs/>
      <w:sz w:val="34"/>
      <w:szCs w:val="34"/>
      <w:lang w:eastAsia="sr-Latn-RS"/>
    </w:rPr>
  </w:style>
  <w:style w:type="paragraph" w:customStyle="1" w:styleId="wyq040---podglava-kurziv-bold">
    <w:name w:val="wyq040---podglava-kurziv-bold"/>
    <w:basedOn w:val="Normal"/>
    <w:rsid w:val="00984859"/>
    <w:pPr>
      <w:spacing w:after="0" w:line="240" w:lineRule="auto"/>
      <w:jc w:val="center"/>
    </w:pPr>
    <w:rPr>
      <w:rFonts w:ascii="Arial" w:eastAsia="Times New Roman" w:hAnsi="Arial" w:cs="Arial"/>
      <w:b/>
      <w:bCs/>
      <w:i/>
      <w:iCs/>
      <w:sz w:val="34"/>
      <w:szCs w:val="34"/>
      <w:lang w:eastAsia="sr-Latn-RS"/>
    </w:rPr>
  </w:style>
  <w:style w:type="paragraph" w:customStyle="1" w:styleId="wyq045---podglava-kurziv">
    <w:name w:val="wyq045---podglava-kurziv"/>
    <w:basedOn w:val="Normal"/>
    <w:rsid w:val="00984859"/>
    <w:pPr>
      <w:spacing w:after="0" w:line="240" w:lineRule="auto"/>
      <w:jc w:val="center"/>
    </w:pPr>
    <w:rPr>
      <w:rFonts w:ascii="Arial" w:eastAsia="Times New Roman" w:hAnsi="Arial" w:cs="Arial"/>
      <w:i/>
      <w:iCs/>
      <w:sz w:val="34"/>
      <w:szCs w:val="34"/>
      <w:lang w:eastAsia="sr-Latn-RS"/>
    </w:rPr>
  </w:style>
  <w:style w:type="paragraph" w:customStyle="1" w:styleId="wyq050---odeljak">
    <w:name w:val="wyq050---odeljak"/>
    <w:basedOn w:val="Normal"/>
    <w:rsid w:val="00984859"/>
    <w:pPr>
      <w:spacing w:after="0" w:line="240" w:lineRule="auto"/>
      <w:jc w:val="center"/>
    </w:pPr>
    <w:rPr>
      <w:rFonts w:ascii="Arial" w:eastAsia="Times New Roman" w:hAnsi="Arial" w:cs="Arial"/>
      <w:b/>
      <w:bCs/>
      <w:sz w:val="31"/>
      <w:szCs w:val="31"/>
      <w:lang w:eastAsia="sr-Latn-RS"/>
    </w:rPr>
  </w:style>
  <w:style w:type="paragraph" w:customStyle="1" w:styleId="wyq060---pododeljak">
    <w:name w:val="wyq060---pododeljak"/>
    <w:basedOn w:val="Normal"/>
    <w:rsid w:val="00984859"/>
    <w:pPr>
      <w:spacing w:after="0" w:line="240" w:lineRule="auto"/>
      <w:jc w:val="center"/>
    </w:pPr>
    <w:rPr>
      <w:rFonts w:ascii="Arial" w:eastAsia="Times New Roman" w:hAnsi="Arial" w:cs="Arial"/>
      <w:sz w:val="31"/>
      <w:szCs w:val="31"/>
      <w:lang w:eastAsia="sr-Latn-RS"/>
    </w:rPr>
  </w:style>
  <w:style w:type="paragraph" w:customStyle="1" w:styleId="wyq070---podpododeljak-kurziv">
    <w:name w:val="wyq070---podpododeljak-kurziv"/>
    <w:basedOn w:val="Normal"/>
    <w:rsid w:val="00984859"/>
    <w:pPr>
      <w:spacing w:after="0" w:line="240" w:lineRule="auto"/>
      <w:jc w:val="center"/>
    </w:pPr>
    <w:rPr>
      <w:rFonts w:ascii="Arial" w:eastAsia="Times New Roman" w:hAnsi="Arial" w:cs="Arial"/>
      <w:i/>
      <w:iCs/>
      <w:sz w:val="30"/>
      <w:szCs w:val="30"/>
      <w:lang w:eastAsia="sr-Latn-RS"/>
    </w:rPr>
  </w:style>
  <w:style w:type="paragraph" w:customStyle="1" w:styleId="wyq080---odsek">
    <w:name w:val="wyq080---odsek"/>
    <w:basedOn w:val="Normal"/>
    <w:rsid w:val="00984859"/>
    <w:pPr>
      <w:spacing w:after="0" w:line="240" w:lineRule="auto"/>
      <w:jc w:val="center"/>
    </w:pPr>
    <w:rPr>
      <w:rFonts w:ascii="Arial" w:eastAsia="Times New Roman" w:hAnsi="Arial" w:cs="Arial"/>
      <w:b/>
      <w:bCs/>
      <w:sz w:val="29"/>
      <w:szCs w:val="29"/>
      <w:lang w:eastAsia="sr-Latn-RS"/>
    </w:rPr>
  </w:style>
  <w:style w:type="paragraph" w:customStyle="1" w:styleId="wyq090---pododsek">
    <w:name w:val="wyq090---pododsek"/>
    <w:basedOn w:val="Normal"/>
    <w:rsid w:val="00984859"/>
    <w:pPr>
      <w:spacing w:after="0" w:line="240" w:lineRule="auto"/>
      <w:jc w:val="center"/>
    </w:pPr>
    <w:rPr>
      <w:rFonts w:ascii="Arial" w:eastAsia="Times New Roman" w:hAnsi="Arial" w:cs="Arial"/>
      <w:sz w:val="28"/>
      <w:szCs w:val="28"/>
      <w:lang w:eastAsia="sr-Latn-RS"/>
    </w:rPr>
  </w:style>
  <w:style w:type="paragraph" w:customStyle="1" w:styleId="wyq100---naslov-grupe-clanova-kurziv">
    <w:name w:val="wyq100---naslov-grupe-clanova-kurziv"/>
    <w:basedOn w:val="Normal"/>
    <w:rsid w:val="00984859"/>
    <w:pPr>
      <w:spacing w:before="240" w:after="240" w:line="240" w:lineRule="auto"/>
      <w:jc w:val="center"/>
    </w:pPr>
    <w:rPr>
      <w:rFonts w:ascii="Arial" w:eastAsia="Times New Roman" w:hAnsi="Arial" w:cs="Arial"/>
      <w:b/>
      <w:bCs/>
      <w:i/>
      <w:iCs/>
      <w:sz w:val="24"/>
      <w:szCs w:val="24"/>
      <w:lang w:eastAsia="sr-Latn-RS"/>
    </w:rPr>
  </w:style>
  <w:style w:type="paragraph" w:customStyle="1" w:styleId="wyq110---naslov-clana">
    <w:name w:val="wyq110---naslov-clana"/>
    <w:basedOn w:val="Normal"/>
    <w:rsid w:val="00984859"/>
    <w:pPr>
      <w:spacing w:before="240" w:after="240" w:line="240" w:lineRule="auto"/>
      <w:jc w:val="center"/>
    </w:pPr>
    <w:rPr>
      <w:rFonts w:ascii="Arial" w:eastAsia="Times New Roman" w:hAnsi="Arial" w:cs="Arial"/>
      <w:b/>
      <w:bCs/>
      <w:sz w:val="24"/>
      <w:szCs w:val="24"/>
      <w:lang w:eastAsia="sr-Latn-RS"/>
    </w:rPr>
  </w:style>
  <w:style w:type="paragraph" w:customStyle="1" w:styleId="wyq120---podnaslov-clana">
    <w:name w:val="wyq120---podnaslov-clana"/>
    <w:basedOn w:val="Normal"/>
    <w:rsid w:val="00984859"/>
    <w:pPr>
      <w:spacing w:before="240" w:after="240" w:line="240" w:lineRule="auto"/>
      <w:jc w:val="center"/>
    </w:pPr>
    <w:rPr>
      <w:rFonts w:ascii="Arial" w:eastAsia="Times New Roman" w:hAnsi="Arial" w:cs="Arial"/>
      <w:i/>
      <w:iCs/>
      <w:sz w:val="24"/>
      <w:szCs w:val="24"/>
      <w:lang w:eastAsia="sr-Latn-RS"/>
    </w:rPr>
  </w:style>
  <w:style w:type="paragraph" w:customStyle="1" w:styleId="010---deo">
    <w:name w:val="010---deo"/>
    <w:basedOn w:val="Normal"/>
    <w:rsid w:val="00984859"/>
    <w:pPr>
      <w:spacing w:after="0" w:line="240" w:lineRule="auto"/>
      <w:jc w:val="center"/>
    </w:pPr>
    <w:rPr>
      <w:rFonts w:ascii="Arial" w:eastAsia="Times New Roman" w:hAnsi="Arial" w:cs="Arial"/>
      <w:b/>
      <w:bCs/>
      <w:sz w:val="36"/>
      <w:szCs w:val="36"/>
      <w:lang w:eastAsia="sr-Latn-RS"/>
    </w:rPr>
  </w:style>
  <w:style w:type="paragraph" w:customStyle="1" w:styleId="020---poddeo">
    <w:name w:val="020---poddeo"/>
    <w:basedOn w:val="Normal"/>
    <w:rsid w:val="00984859"/>
    <w:pPr>
      <w:spacing w:after="0" w:line="240" w:lineRule="auto"/>
      <w:jc w:val="center"/>
    </w:pPr>
    <w:rPr>
      <w:rFonts w:ascii="Arial" w:eastAsia="Times New Roman" w:hAnsi="Arial" w:cs="Arial"/>
      <w:sz w:val="36"/>
      <w:szCs w:val="36"/>
      <w:lang w:eastAsia="sr-Latn-RS"/>
    </w:rPr>
  </w:style>
  <w:style w:type="paragraph" w:customStyle="1" w:styleId="030---glava">
    <w:name w:val="030---glava"/>
    <w:basedOn w:val="Normal"/>
    <w:rsid w:val="00984859"/>
    <w:pPr>
      <w:spacing w:after="0" w:line="240" w:lineRule="auto"/>
      <w:jc w:val="center"/>
    </w:pPr>
    <w:rPr>
      <w:rFonts w:ascii="Arial" w:eastAsia="Times New Roman" w:hAnsi="Arial" w:cs="Arial"/>
      <w:b/>
      <w:bCs/>
      <w:sz w:val="34"/>
      <w:szCs w:val="34"/>
      <w:lang w:eastAsia="sr-Latn-RS"/>
    </w:rPr>
  </w:style>
  <w:style w:type="paragraph" w:customStyle="1" w:styleId="040---podglava-kurziv-bold">
    <w:name w:val="040---podglava-kurziv-bold"/>
    <w:basedOn w:val="Normal"/>
    <w:rsid w:val="00984859"/>
    <w:pPr>
      <w:spacing w:after="0" w:line="240" w:lineRule="auto"/>
      <w:jc w:val="center"/>
    </w:pPr>
    <w:rPr>
      <w:rFonts w:ascii="Arial" w:eastAsia="Times New Roman" w:hAnsi="Arial" w:cs="Arial"/>
      <w:b/>
      <w:bCs/>
      <w:i/>
      <w:iCs/>
      <w:sz w:val="34"/>
      <w:szCs w:val="34"/>
      <w:lang w:eastAsia="sr-Latn-RS"/>
    </w:rPr>
  </w:style>
  <w:style w:type="paragraph" w:customStyle="1" w:styleId="045---podglava-kurziv">
    <w:name w:val="045---podglava-kurziv"/>
    <w:basedOn w:val="Normal"/>
    <w:rsid w:val="00984859"/>
    <w:pPr>
      <w:spacing w:after="0" w:line="240" w:lineRule="auto"/>
      <w:jc w:val="center"/>
    </w:pPr>
    <w:rPr>
      <w:rFonts w:ascii="Arial" w:eastAsia="Times New Roman" w:hAnsi="Arial" w:cs="Arial"/>
      <w:i/>
      <w:iCs/>
      <w:sz w:val="34"/>
      <w:szCs w:val="34"/>
      <w:lang w:eastAsia="sr-Latn-RS"/>
    </w:rPr>
  </w:style>
  <w:style w:type="paragraph" w:customStyle="1" w:styleId="050---odeljak">
    <w:name w:val="050---odeljak"/>
    <w:basedOn w:val="Normal"/>
    <w:rsid w:val="00984859"/>
    <w:pPr>
      <w:spacing w:after="0" w:line="240" w:lineRule="auto"/>
      <w:jc w:val="center"/>
    </w:pPr>
    <w:rPr>
      <w:rFonts w:ascii="Arial" w:eastAsia="Times New Roman" w:hAnsi="Arial" w:cs="Arial"/>
      <w:b/>
      <w:bCs/>
      <w:sz w:val="31"/>
      <w:szCs w:val="31"/>
      <w:lang w:eastAsia="sr-Latn-RS"/>
    </w:rPr>
  </w:style>
  <w:style w:type="paragraph" w:customStyle="1" w:styleId="060---pododeljak">
    <w:name w:val="060---pododeljak"/>
    <w:basedOn w:val="Normal"/>
    <w:rsid w:val="00984859"/>
    <w:pPr>
      <w:spacing w:after="0" w:line="240" w:lineRule="auto"/>
      <w:jc w:val="center"/>
    </w:pPr>
    <w:rPr>
      <w:rFonts w:ascii="Arial" w:eastAsia="Times New Roman" w:hAnsi="Arial" w:cs="Arial"/>
      <w:sz w:val="31"/>
      <w:szCs w:val="31"/>
      <w:lang w:eastAsia="sr-Latn-RS"/>
    </w:rPr>
  </w:style>
  <w:style w:type="paragraph" w:customStyle="1" w:styleId="070---podpododeljak-kurziv">
    <w:name w:val="070---podpododeljak-kurziv"/>
    <w:basedOn w:val="Normal"/>
    <w:rsid w:val="00984859"/>
    <w:pPr>
      <w:spacing w:after="0" w:line="240" w:lineRule="auto"/>
      <w:jc w:val="center"/>
    </w:pPr>
    <w:rPr>
      <w:rFonts w:ascii="Arial" w:eastAsia="Times New Roman" w:hAnsi="Arial" w:cs="Arial"/>
      <w:i/>
      <w:iCs/>
      <w:sz w:val="30"/>
      <w:szCs w:val="30"/>
      <w:lang w:eastAsia="sr-Latn-RS"/>
    </w:rPr>
  </w:style>
  <w:style w:type="paragraph" w:customStyle="1" w:styleId="080---odsek">
    <w:name w:val="080---odsek"/>
    <w:basedOn w:val="Normal"/>
    <w:rsid w:val="00984859"/>
    <w:pPr>
      <w:spacing w:after="0" w:line="240" w:lineRule="auto"/>
      <w:jc w:val="center"/>
    </w:pPr>
    <w:rPr>
      <w:rFonts w:ascii="Arial" w:eastAsia="Times New Roman" w:hAnsi="Arial" w:cs="Arial"/>
      <w:b/>
      <w:bCs/>
      <w:sz w:val="29"/>
      <w:szCs w:val="29"/>
      <w:lang w:eastAsia="sr-Latn-RS"/>
    </w:rPr>
  </w:style>
  <w:style w:type="paragraph" w:customStyle="1" w:styleId="090---pododsek">
    <w:name w:val="090---pododsek"/>
    <w:basedOn w:val="Normal"/>
    <w:rsid w:val="00984859"/>
    <w:pPr>
      <w:spacing w:after="0" w:line="240" w:lineRule="auto"/>
      <w:jc w:val="center"/>
    </w:pPr>
    <w:rPr>
      <w:rFonts w:ascii="Arial" w:eastAsia="Times New Roman" w:hAnsi="Arial" w:cs="Arial"/>
      <w:sz w:val="28"/>
      <w:szCs w:val="28"/>
      <w:lang w:eastAsia="sr-Latn-RS"/>
    </w:rPr>
  </w:style>
  <w:style w:type="paragraph" w:customStyle="1" w:styleId="100---naslov-grupe-clanova-kurziv">
    <w:name w:val="100---naslov-grupe-clanova-kurziv"/>
    <w:basedOn w:val="Normal"/>
    <w:rsid w:val="00984859"/>
    <w:pPr>
      <w:spacing w:before="240" w:after="240" w:line="240" w:lineRule="auto"/>
      <w:jc w:val="center"/>
    </w:pPr>
    <w:rPr>
      <w:rFonts w:ascii="Arial" w:eastAsia="Times New Roman" w:hAnsi="Arial" w:cs="Arial"/>
      <w:b/>
      <w:bCs/>
      <w:i/>
      <w:iCs/>
      <w:sz w:val="24"/>
      <w:szCs w:val="24"/>
      <w:lang w:eastAsia="sr-Latn-RS"/>
    </w:rPr>
  </w:style>
  <w:style w:type="paragraph" w:customStyle="1" w:styleId="110---naslov-clana">
    <w:name w:val="110---naslov-clana"/>
    <w:basedOn w:val="Normal"/>
    <w:rsid w:val="00984859"/>
    <w:pPr>
      <w:spacing w:before="240" w:after="240" w:line="240" w:lineRule="auto"/>
      <w:jc w:val="center"/>
    </w:pPr>
    <w:rPr>
      <w:rFonts w:ascii="Arial" w:eastAsia="Times New Roman" w:hAnsi="Arial" w:cs="Arial"/>
      <w:b/>
      <w:bCs/>
      <w:sz w:val="24"/>
      <w:szCs w:val="24"/>
      <w:lang w:eastAsia="sr-Latn-RS"/>
    </w:rPr>
  </w:style>
  <w:style w:type="paragraph" w:customStyle="1" w:styleId="120---podnaslov-clana">
    <w:name w:val="120---podnaslov-clana"/>
    <w:basedOn w:val="Normal"/>
    <w:rsid w:val="00984859"/>
    <w:pPr>
      <w:spacing w:before="240" w:after="240" w:line="240" w:lineRule="auto"/>
      <w:jc w:val="center"/>
    </w:pPr>
    <w:rPr>
      <w:rFonts w:ascii="Arial" w:eastAsia="Times New Roman" w:hAnsi="Arial" w:cs="Arial"/>
      <w:i/>
      <w:iCs/>
      <w:sz w:val="24"/>
      <w:szCs w:val="24"/>
      <w:lang w:eastAsia="sr-Latn-RS"/>
    </w:rPr>
  </w:style>
  <w:style w:type="paragraph" w:customStyle="1" w:styleId="uvuceni">
    <w:name w:val="uvuceni"/>
    <w:basedOn w:val="Normal"/>
    <w:rsid w:val="00984859"/>
    <w:pPr>
      <w:spacing w:after="24" w:line="240" w:lineRule="auto"/>
      <w:ind w:left="720" w:hanging="288"/>
    </w:pPr>
    <w:rPr>
      <w:rFonts w:ascii="Arial" w:eastAsia="Times New Roman" w:hAnsi="Arial" w:cs="Arial"/>
      <w:lang w:eastAsia="sr-Latn-RS"/>
    </w:rPr>
  </w:style>
  <w:style w:type="paragraph" w:customStyle="1" w:styleId="uvuceni2">
    <w:name w:val="uvuceni2"/>
    <w:basedOn w:val="Normal"/>
    <w:rsid w:val="00984859"/>
    <w:pPr>
      <w:spacing w:after="24" w:line="240" w:lineRule="auto"/>
      <w:ind w:left="720" w:hanging="408"/>
    </w:pPr>
    <w:rPr>
      <w:rFonts w:ascii="Arial" w:eastAsia="Times New Roman" w:hAnsi="Arial" w:cs="Arial"/>
      <w:lang w:eastAsia="sr-Latn-RS"/>
    </w:rPr>
  </w:style>
  <w:style w:type="paragraph" w:customStyle="1" w:styleId="tabelaepress">
    <w:name w:val="tabela_epress"/>
    <w:basedOn w:val="Normal"/>
    <w:rsid w:val="00984859"/>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eastAsia="sr-Latn-RS"/>
    </w:rPr>
  </w:style>
  <w:style w:type="paragraph" w:customStyle="1" w:styleId="izmred">
    <w:name w:val="izm_red"/>
    <w:basedOn w:val="Normal"/>
    <w:rsid w:val="00984859"/>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izmgreen">
    <w:name w:val="izm_green"/>
    <w:basedOn w:val="Normal"/>
    <w:rsid w:val="00984859"/>
    <w:pPr>
      <w:spacing w:before="100" w:beforeAutospacing="1" w:after="100" w:afterAutospacing="1" w:line="240" w:lineRule="auto"/>
    </w:pPr>
    <w:rPr>
      <w:rFonts w:ascii="Times New Roman" w:eastAsia="Times New Roman" w:hAnsi="Times New Roman" w:cs="Times New Roman"/>
      <w:color w:val="00CC33"/>
      <w:sz w:val="24"/>
      <w:szCs w:val="24"/>
      <w:lang w:eastAsia="sr-Latn-RS"/>
    </w:rPr>
  </w:style>
  <w:style w:type="paragraph" w:customStyle="1" w:styleId="izmgreenback">
    <w:name w:val="izm_greenback"/>
    <w:basedOn w:val="Normal"/>
    <w:rsid w:val="00984859"/>
    <w:pPr>
      <w:shd w:val="clear" w:color="auto" w:fill="33FF3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t">
    <w:name w:val="ct"/>
    <w:basedOn w:val="Normal"/>
    <w:rsid w:val="00984859"/>
    <w:pPr>
      <w:spacing w:before="100" w:beforeAutospacing="1" w:after="100" w:afterAutospacing="1" w:line="240" w:lineRule="auto"/>
    </w:pPr>
    <w:rPr>
      <w:rFonts w:ascii="Times New Roman" w:eastAsia="Times New Roman" w:hAnsi="Times New Roman" w:cs="Times New Roman"/>
      <w:color w:val="DC2348"/>
      <w:sz w:val="24"/>
      <w:szCs w:val="24"/>
      <w:lang w:eastAsia="sr-Latn-RS"/>
    </w:rPr>
  </w:style>
  <w:style w:type="paragraph" w:customStyle="1" w:styleId="hrct">
    <w:name w:val="hr_ct"/>
    <w:basedOn w:val="Normal"/>
    <w:rsid w:val="00984859"/>
    <w:pPr>
      <w:shd w:val="clear" w:color="auto" w:fill="000000"/>
      <w:spacing w:after="0" w:line="240" w:lineRule="auto"/>
    </w:pPr>
    <w:rPr>
      <w:rFonts w:ascii="Times New Roman" w:eastAsia="Times New Roman" w:hAnsi="Times New Roman" w:cs="Times New Roman"/>
      <w:sz w:val="24"/>
      <w:szCs w:val="24"/>
      <w:lang w:eastAsia="sr-Latn-RS"/>
    </w:rPr>
  </w:style>
  <w:style w:type="paragraph" w:customStyle="1" w:styleId="s1">
    <w:name w:val="s1"/>
    <w:basedOn w:val="Normal"/>
    <w:rsid w:val="00984859"/>
    <w:pPr>
      <w:spacing w:before="100" w:beforeAutospacing="1" w:after="100" w:afterAutospacing="1" w:line="240" w:lineRule="auto"/>
    </w:pPr>
    <w:rPr>
      <w:rFonts w:ascii="Arial" w:eastAsia="Times New Roman" w:hAnsi="Arial" w:cs="Arial"/>
      <w:sz w:val="18"/>
      <w:szCs w:val="18"/>
      <w:lang w:eastAsia="sr-Latn-RS"/>
    </w:rPr>
  </w:style>
  <w:style w:type="paragraph" w:customStyle="1" w:styleId="s2">
    <w:name w:val="s2"/>
    <w:basedOn w:val="Normal"/>
    <w:rsid w:val="00984859"/>
    <w:pPr>
      <w:spacing w:before="100" w:beforeAutospacing="1" w:after="100" w:afterAutospacing="1" w:line="240" w:lineRule="auto"/>
      <w:ind w:firstLine="113"/>
    </w:pPr>
    <w:rPr>
      <w:rFonts w:ascii="Arial" w:eastAsia="Times New Roman" w:hAnsi="Arial" w:cs="Arial"/>
      <w:sz w:val="18"/>
      <w:szCs w:val="18"/>
      <w:lang w:eastAsia="sr-Latn-RS"/>
    </w:rPr>
  </w:style>
  <w:style w:type="paragraph" w:customStyle="1" w:styleId="s3">
    <w:name w:val="s3"/>
    <w:basedOn w:val="Normal"/>
    <w:rsid w:val="00984859"/>
    <w:pPr>
      <w:spacing w:before="100" w:beforeAutospacing="1" w:after="100" w:afterAutospacing="1" w:line="240" w:lineRule="auto"/>
      <w:ind w:firstLine="227"/>
    </w:pPr>
    <w:rPr>
      <w:rFonts w:ascii="Arial" w:eastAsia="Times New Roman" w:hAnsi="Arial" w:cs="Arial"/>
      <w:sz w:val="17"/>
      <w:szCs w:val="17"/>
      <w:lang w:eastAsia="sr-Latn-RS"/>
    </w:rPr>
  </w:style>
  <w:style w:type="paragraph" w:customStyle="1" w:styleId="s4">
    <w:name w:val="s4"/>
    <w:basedOn w:val="Normal"/>
    <w:rsid w:val="00984859"/>
    <w:pPr>
      <w:spacing w:before="100" w:beforeAutospacing="1" w:after="100" w:afterAutospacing="1" w:line="240" w:lineRule="auto"/>
      <w:ind w:firstLine="340"/>
    </w:pPr>
    <w:rPr>
      <w:rFonts w:ascii="Arial" w:eastAsia="Times New Roman" w:hAnsi="Arial" w:cs="Arial"/>
      <w:sz w:val="17"/>
      <w:szCs w:val="17"/>
      <w:lang w:eastAsia="sr-Latn-RS"/>
    </w:rPr>
  </w:style>
  <w:style w:type="paragraph" w:customStyle="1" w:styleId="s5">
    <w:name w:val="s5"/>
    <w:basedOn w:val="Normal"/>
    <w:rsid w:val="00984859"/>
    <w:pPr>
      <w:spacing w:before="100" w:beforeAutospacing="1" w:after="100" w:afterAutospacing="1" w:line="240" w:lineRule="auto"/>
      <w:ind w:firstLine="454"/>
    </w:pPr>
    <w:rPr>
      <w:rFonts w:ascii="Arial" w:eastAsia="Times New Roman" w:hAnsi="Arial" w:cs="Arial"/>
      <w:sz w:val="15"/>
      <w:szCs w:val="15"/>
      <w:lang w:eastAsia="sr-Latn-RS"/>
    </w:rPr>
  </w:style>
  <w:style w:type="paragraph" w:customStyle="1" w:styleId="s6">
    <w:name w:val="s6"/>
    <w:basedOn w:val="Normal"/>
    <w:rsid w:val="00984859"/>
    <w:pPr>
      <w:spacing w:before="100" w:beforeAutospacing="1" w:after="100" w:afterAutospacing="1" w:line="240" w:lineRule="auto"/>
      <w:ind w:firstLine="567"/>
    </w:pPr>
    <w:rPr>
      <w:rFonts w:ascii="Arial" w:eastAsia="Times New Roman" w:hAnsi="Arial" w:cs="Arial"/>
      <w:sz w:val="15"/>
      <w:szCs w:val="15"/>
      <w:lang w:eastAsia="sr-Latn-RS"/>
    </w:rPr>
  </w:style>
  <w:style w:type="paragraph" w:customStyle="1" w:styleId="s7">
    <w:name w:val="s7"/>
    <w:basedOn w:val="Normal"/>
    <w:rsid w:val="00984859"/>
    <w:pPr>
      <w:spacing w:before="100" w:beforeAutospacing="1" w:after="100" w:afterAutospacing="1" w:line="240" w:lineRule="auto"/>
      <w:ind w:firstLine="680"/>
    </w:pPr>
    <w:rPr>
      <w:rFonts w:ascii="Arial" w:eastAsia="Times New Roman" w:hAnsi="Arial" w:cs="Arial"/>
      <w:sz w:val="14"/>
      <w:szCs w:val="14"/>
      <w:lang w:eastAsia="sr-Latn-RS"/>
    </w:rPr>
  </w:style>
  <w:style w:type="paragraph" w:customStyle="1" w:styleId="s8">
    <w:name w:val="s8"/>
    <w:basedOn w:val="Normal"/>
    <w:rsid w:val="00984859"/>
    <w:pPr>
      <w:spacing w:before="100" w:beforeAutospacing="1" w:after="100" w:afterAutospacing="1" w:line="240" w:lineRule="auto"/>
      <w:ind w:firstLine="794"/>
    </w:pPr>
    <w:rPr>
      <w:rFonts w:ascii="Arial" w:eastAsia="Times New Roman" w:hAnsi="Arial" w:cs="Arial"/>
      <w:sz w:val="14"/>
      <w:szCs w:val="14"/>
      <w:lang w:eastAsia="sr-Latn-RS"/>
    </w:rPr>
  </w:style>
  <w:style w:type="paragraph" w:customStyle="1" w:styleId="s9">
    <w:name w:val="s9"/>
    <w:basedOn w:val="Normal"/>
    <w:rsid w:val="00984859"/>
    <w:pPr>
      <w:spacing w:before="100" w:beforeAutospacing="1" w:after="100" w:afterAutospacing="1" w:line="240" w:lineRule="auto"/>
      <w:ind w:firstLine="907"/>
    </w:pPr>
    <w:rPr>
      <w:rFonts w:ascii="Arial" w:eastAsia="Times New Roman" w:hAnsi="Arial" w:cs="Arial"/>
      <w:sz w:val="14"/>
      <w:szCs w:val="14"/>
      <w:lang w:eastAsia="sr-Latn-RS"/>
    </w:rPr>
  </w:style>
  <w:style w:type="paragraph" w:customStyle="1" w:styleId="s10">
    <w:name w:val="s10"/>
    <w:basedOn w:val="Normal"/>
    <w:rsid w:val="00984859"/>
    <w:pPr>
      <w:spacing w:before="100" w:beforeAutospacing="1" w:after="100" w:afterAutospacing="1" w:line="240" w:lineRule="auto"/>
      <w:ind w:firstLine="1021"/>
    </w:pPr>
    <w:rPr>
      <w:rFonts w:ascii="Arial" w:eastAsia="Times New Roman" w:hAnsi="Arial" w:cs="Arial"/>
      <w:sz w:val="14"/>
      <w:szCs w:val="14"/>
      <w:lang w:eastAsia="sr-Latn-RS"/>
    </w:rPr>
  </w:style>
  <w:style w:type="paragraph" w:customStyle="1" w:styleId="s11">
    <w:name w:val="s11"/>
    <w:basedOn w:val="Normal"/>
    <w:rsid w:val="00984859"/>
    <w:pPr>
      <w:spacing w:before="100" w:beforeAutospacing="1" w:after="100" w:afterAutospacing="1" w:line="240" w:lineRule="auto"/>
      <w:ind w:firstLine="1134"/>
    </w:pPr>
    <w:rPr>
      <w:rFonts w:ascii="Arial" w:eastAsia="Times New Roman" w:hAnsi="Arial" w:cs="Arial"/>
      <w:sz w:val="14"/>
      <w:szCs w:val="14"/>
      <w:lang w:eastAsia="sr-Latn-RS"/>
    </w:rPr>
  </w:style>
  <w:style w:type="paragraph" w:customStyle="1" w:styleId="s12">
    <w:name w:val="s12"/>
    <w:basedOn w:val="Normal"/>
    <w:rsid w:val="00984859"/>
    <w:pPr>
      <w:spacing w:before="100" w:beforeAutospacing="1" w:after="100" w:afterAutospacing="1" w:line="240" w:lineRule="auto"/>
      <w:ind w:firstLine="1247"/>
    </w:pPr>
    <w:rPr>
      <w:rFonts w:ascii="Arial" w:eastAsia="Times New Roman" w:hAnsi="Arial" w:cs="Arial"/>
      <w:sz w:val="14"/>
      <w:szCs w:val="14"/>
      <w:lang w:eastAsia="sr-Latn-RS"/>
    </w:rPr>
  </w:style>
  <w:style w:type="character" w:customStyle="1" w:styleId="stepen1">
    <w:name w:val="stepen1"/>
    <w:basedOn w:val="Podrazumevanifontpasusa"/>
    <w:rsid w:val="00984859"/>
    <w:rPr>
      <w:sz w:val="15"/>
      <w:szCs w:val="15"/>
      <w:vertAlign w:val="superscript"/>
    </w:rPr>
  </w:style>
  <w:style w:type="character" w:customStyle="1" w:styleId="indeks1">
    <w:name w:val="indeks1"/>
    <w:basedOn w:val="Podrazumevanifontpasusa"/>
    <w:rsid w:val="00984859"/>
    <w:rPr>
      <w:sz w:val="15"/>
      <w:szCs w:val="15"/>
      <w:vertAlign w:val="subscript"/>
    </w:rPr>
  </w:style>
  <w:style w:type="character" w:customStyle="1" w:styleId="simboli1">
    <w:name w:val="simboli1"/>
    <w:basedOn w:val="Podrazumevanifontpasusa"/>
    <w:rsid w:val="00984859"/>
    <w:rPr>
      <w:rFonts w:ascii="Symbol" w:hAnsi="Symbol" w:hint="default"/>
      <w:sz w:val="22"/>
      <w:szCs w:val="22"/>
    </w:rPr>
  </w:style>
  <w:style w:type="character" w:customStyle="1" w:styleId="normal10">
    <w:name w:val="normal1"/>
    <w:basedOn w:val="Podrazumevanifontpasusa"/>
    <w:rsid w:val="00984859"/>
    <w:rPr>
      <w:rFonts w:ascii="Arial" w:hAnsi="Arial" w:cs="Arial" w:hint="default"/>
      <w:sz w:val="22"/>
      <w:szCs w:val="22"/>
    </w:rPr>
  </w:style>
  <w:style w:type="paragraph" w:styleId="Tekstubaloniu">
    <w:name w:val="Balloon Text"/>
    <w:basedOn w:val="Normal"/>
    <w:link w:val="TekstubaloniuChar"/>
    <w:uiPriority w:val="99"/>
    <w:semiHidden/>
    <w:unhideWhenUsed/>
    <w:rsid w:val="00984859"/>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984859"/>
    <w:rPr>
      <w:rFonts w:ascii="Tahoma" w:hAnsi="Tahoma" w:cs="Tahoma"/>
      <w:sz w:val="16"/>
      <w:szCs w:val="16"/>
    </w:rPr>
  </w:style>
  <w:style w:type="character" w:customStyle="1" w:styleId="normalchar">
    <w:name w:val="normalchar"/>
    <w:basedOn w:val="Podrazumevanifontpasusa"/>
    <w:rsid w:val="00984859"/>
    <w:rPr>
      <w:rFonts w:ascii="Arial" w:hAnsi="Arial" w:cs="Arial" w:hint="default"/>
    </w:rPr>
  </w:style>
  <w:style w:type="paragraph" w:styleId="NormalWeb">
    <w:name w:val="Normal (Web)"/>
    <w:basedOn w:val="Normal"/>
    <w:uiPriority w:val="99"/>
    <w:semiHidden/>
    <w:unhideWhenUsed/>
    <w:rsid w:val="00984859"/>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stepenchar">
    <w:name w:val="stepenchar"/>
    <w:basedOn w:val="Podrazumevanifontpasusa"/>
    <w:rsid w:val="00984859"/>
    <w:rPr>
      <w:vertAlign w:val="superscript"/>
    </w:rPr>
  </w:style>
  <w:style w:type="character" w:customStyle="1" w:styleId="indekschar">
    <w:name w:val="indekschar"/>
    <w:basedOn w:val="Podrazumevanifontpasusa"/>
    <w:rsid w:val="00984859"/>
    <w:rPr>
      <w:vertAlign w:val="subscript"/>
    </w:rPr>
  </w:style>
  <w:style w:type="character" w:customStyle="1" w:styleId="normalcentar1">
    <w:name w:val="normalcentar1"/>
    <w:basedOn w:val="Podrazumevanifontpasusa"/>
    <w:rsid w:val="00984859"/>
    <w:rPr>
      <w:rFonts w:ascii="Arial" w:hAnsi="Arial" w:cs="Arial" w:hint="default"/>
      <w:sz w:val="22"/>
      <w:szCs w:val="22"/>
    </w:rPr>
  </w:style>
  <w:style w:type="paragraph" w:styleId="Naslov">
    <w:name w:val="Title"/>
    <w:basedOn w:val="Normal"/>
    <w:next w:val="Normal"/>
    <w:link w:val="NaslovChar"/>
    <w:uiPriority w:val="10"/>
    <w:qFormat/>
    <w:rsid w:val="008375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Podrazumevanifontpasusa"/>
    <w:link w:val="Naslov"/>
    <w:uiPriority w:val="10"/>
    <w:rsid w:val="008375EC"/>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ormal"/>
    <w:next w:val="Normal"/>
    <w:link w:val="PodnaslovChar"/>
    <w:uiPriority w:val="11"/>
    <w:qFormat/>
    <w:rsid w:val="008375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Podrazumevanifontpasusa"/>
    <w:link w:val="Podnaslov"/>
    <w:uiPriority w:val="11"/>
    <w:rsid w:val="008375E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5726">
      <w:bodyDiv w:val="1"/>
      <w:marLeft w:val="0"/>
      <w:marRight w:val="0"/>
      <w:marTop w:val="0"/>
      <w:marBottom w:val="0"/>
      <w:divBdr>
        <w:top w:val="none" w:sz="0" w:space="0" w:color="auto"/>
        <w:left w:val="none" w:sz="0" w:space="0" w:color="auto"/>
        <w:bottom w:val="none" w:sz="0" w:space="0" w:color="auto"/>
        <w:right w:val="none" w:sz="0" w:space="0" w:color="auto"/>
      </w:divBdr>
    </w:div>
    <w:div w:id="78796204">
      <w:bodyDiv w:val="1"/>
      <w:marLeft w:val="0"/>
      <w:marRight w:val="0"/>
      <w:marTop w:val="0"/>
      <w:marBottom w:val="0"/>
      <w:divBdr>
        <w:top w:val="none" w:sz="0" w:space="0" w:color="auto"/>
        <w:left w:val="none" w:sz="0" w:space="0" w:color="auto"/>
        <w:bottom w:val="none" w:sz="0" w:space="0" w:color="auto"/>
        <w:right w:val="none" w:sz="0" w:space="0" w:color="auto"/>
      </w:divBdr>
    </w:div>
    <w:div w:id="900822555">
      <w:bodyDiv w:val="1"/>
      <w:marLeft w:val="0"/>
      <w:marRight w:val="0"/>
      <w:marTop w:val="0"/>
      <w:marBottom w:val="0"/>
      <w:divBdr>
        <w:top w:val="none" w:sz="0" w:space="0" w:color="auto"/>
        <w:left w:val="none" w:sz="0" w:space="0" w:color="auto"/>
        <w:bottom w:val="none" w:sz="0" w:space="0" w:color="auto"/>
        <w:right w:val="none" w:sz="0" w:space="0" w:color="auto"/>
      </w:divBdr>
    </w:div>
    <w:div w:id="1434206719">
      <w:bodyDiv w:val="1"/>
      <w:marLeft w:val="0"/>
      <w:marRight w:val="0"/>
      <w:marTop w:val="0"/>
      <w:marBottom w:val="0"/>
      <w:divBdr>
        <w:top w:val="none" w:sz="0" w:space="0" w:color="auto"/>
        <w:left w:val="none" w:sz="0" w:space="0" w:color="auto"/>
        <w:bottom w:val="none" w:sz="0" w:space="0" w:color="auto"/>
        <w:right w:val="none" w:sz="0" w:space="0" w:color="auto"/>
      </w:divBdr>
    </w:div>
    <w:div w:id="1572304848">
      <w:bodyDiv w:val="1"/>
      <w:marLeft w:val="0"/>
      <w:marRight w:val="0"/>
      <w:marTop w:val="0"/>
      <w:marBottom w:val="0"/>
      <w:divBdr>
        <w:top w:val="none" w:sz="0" w:space="0" w:color="auto"/>
        <w:left w:val="none" w:sz="0" w:space="0" w:color="auto"/>
        <w:bottom w:val="none" w:sz="0" w:space="0" w:color="auto"/>
        <w:right w:val="none" w:sz="0" w:space="0" w:color="auto"/>
      </w:divBdr>
    </w:div>
    <w:div w:id="1625773120">
      <w:bodyDiv w:val="1"/>
      <w:marLeft w:val="0"/>
      <w:marRight w:val="0"/>
      <w:marTop w:val="0"/>
      <w:marBottom w:val="0"/>
      <w:divBdr>
        <w:top w:val="none" w:sz="0" w:space="0" w:color="auto"/>
        <w:left w:val="none" w:sz="0" w:space="0" w:color="auto"/>
        <w:bottom w:val="none" w:sz="0" w:space="0" w:color="auto"/>
        <w:right w:val="none" w:sz="0" w:space="0" w:color="auto"/>
      </w:divBdr>
    </w:div>
    <w:div w:id="163093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gif"/><Relationship Id="rId117" Type="http://schemas.openxmlformats.org/officeDocument/2006/relationships/image" Target="media/image113.gif"/><Relationship Id="rId21" Type="http://schemas.openxmlformats.org/officeDocument/2006/relationships/image" Target="media/image17.gif"/><Relationship Id="rId42" Type="http://schemas.openxmlformats.org/officeDocument/2006/relationships/image" Target="media/image38.gif"/><Relationship Id="rId47" Type="http://schemas.openxmlformats.org/officeDocument/2006/relationships/image" Target="media/image43.gif"/><Relationship Id="rId63" Type="http://schemas.openxmlformats.org/officeDocument/2006/relationships/image" Target="media/image59.gif"/><Relationship Id="rId68" Type="http://schemas.openxmlformats.org/officeDocument/2006/relationships/image" Target="media/image64.gif"/><Relationship Id="rId84" Type="http://schemas.openxmlformats.org/officeDocument/2006/relationships/image" Target="media/image80.gif"/><Relationship Id="rId89" Type="http://schemas.openxmlformats.org/officeDocument/2006/relationships/image" Target="media/image85.gif"/><Relationship Id="rId112" Type="http://schemas.openxmlformats.org/officeDocument/2006/relationships/image" Target="media/image108.gif"/><Relationship Id="rId133" Type="http://schemas.openxmlformats.org/officeDocument/2006/relationships/image" Target="media/image129.gif"/><Relationship Id="rId138" Type="http://schemas.openxmlformats.org/officeDocument/2006/relationships/image" Target="media/image134.gif"/><Relationship Id="rId154" Type="http://schemas.openxmlformats.org/officeDocument/2006/relationships/image" Target="media/image150.gif"/><Relationship Id="rId159" Type="http://schemas.openxmlformats.org/officeDocument/2006/relationships/image" Target="media/image155.gif"/><Relationship Id="rId16" Type="http://schemas.openxmlformats.org/officeDocument/2006/relationships/image" Target="media/image12.gif"/><Relationship Id="rId107" Type="http://schemas.openxmlformats.org/officeDocument/2006/relationships/image" Target="media/image103.gif"/><Relationship Id="rId11" Type="http://schemas.openxmlformats.org/officeDocument/2006/relationships/image" Target="media/image7.gif"/><Relationship Id="rId32" Type="http://schemas.openxmlformats.org/officeDocument/2006/relationships/image" Target="media/image28.gif"/><Relationship Id="rId37" Type="http://schemas.openxmlformats.org/officeDocument/2006/relationships/image" Target="media/image33.gif"/><Relationship Id="rId53" Type="http://schemas.openxmlformats.org/officeDocument/2006/relationships/image" Target="media/image49.gif"/><Relationship Id="rId58" Type="http://schemas.openxmlformats.org/officeDocument/2006/relationships/image" Target="media/image54.gif"/><Relationship Id="rId74" Type="http://schemas.openxmlformats.org/officeDocument/2006/relationships/image" Target="media/image70.gif"/><Relationship Id="rId79" Type="http://schemas.openxmlformats.org/officeDocument/2006/relationships/image" Target="media/image75.gif"/><Relationship Id="rId102" Type="http://schemas.openxmlformats.org/officeDocument/2006/relationships/image" Target="media/image98.gif"/><Relationship Id="rId123" Type="http://schemas.openxmlformats.org/officeDocument/2006/relationships/image" Target="media/image119.gif"/><Relationship Id="rId128" Type="http://schemas.openxmlformats.org/officeDocument/2006/relationships/image" Target="media/image124.gif"/><Relationship Id="rId144" Type="http://schemas.openxmlformats.org/officeDocument/2006/relationships/image" Target="media/image140.gif"/><Relationship Id="rId149" Type="http://schemas.openxmlformats.org/officeDocument/2006/relationships/image" Target="media/image145.gif"/><Relationship Id="rId5" Type="http://schemas.openxmlformats.org/officeDocument/2006/relationships/image" Target="media/image1.gif"/><Relationship Id="rId90" Type="http://schemas.openxmlformats.org/officeDocument/2006/relationships/image" Target="media/image86.gif"/><Relationship Id="rId95" Type="http://schemas.openxmlformats.org/officeDocument/2006/relationships/image" Target="media/image91.gif"/><Relationship Id="rId160" Type="http://schemas.openxmlformats.org/officeDocument/2006/relationships/fontTable" Target="fontTable.xml"/><Relationship Id="rId22" Type="http://schemas.openxmlformats.org/officeDocument/2006/relationships/image" Target="media/image18.gif"/><Relationship Id="rId27" Type="http://schemas.openxmlformats.org/officeDocument/2006/relationships/image" Target="media/image23.gif"/><Relationship Id="rId43" Type="http://schemas.openxmlformats.org/officeDocument/2006/relationships/image" Target="media/image39.gif"/><Relationship Id="rId48" Type="http://schemas.openxmlformats.org/officeDocument/2006/relationships/image" Target="media/image44.gif"/><Relationship Id="rId64" Type="http://schemas.openxmlformats.org/officeDocument/2006/relationships/image" Target="media/image60.gif"/><Relationship Id="rId69" Type="http://schemas.openxmlformats.org/officeDocument/2006/relationships/image" Target="media/image65.gif"/><Relationship Id="rId113" Type="http://schemas.openxmlformats.org/officeDocument/2006/relationships/image" Target="media/image109.gif"/><Relationship Id="rId118" Type="http://schemas.openxmlformats.org/officeDocument/2006/relationships/image" Target="media/image114.gif"/><Relationship Id="rId134" Type="http://schemas.openxmlformats.org/officeDocument/2006/relationships/image" Target="media/image130.gif"/><Relationship Id="rId139" Type="http://schemas.openxmlformats.org/officeDocument/2006/relationships/image" Target="media/image135.gif"/><Relationship Id="rId80" Type="http://schemas.openxmlformats.org/officeDocument/2006/relationships/image" Target="media/image76.gif"/><Relationship Id="rId85" Type="http://schemas.openxmlformats.org/officeDocument/2006/relationships/image" Target="media/image81.gif"/><Relationship Id="rId150" Type="http://schemas.openxmlformats.org/officeDocument/2006/relationships/image" Target="media/image146.gif"/><Relationship Id="rId155" Type="http://schemas.openxmlformats.org/officeDocument/2006/relationships/image" Target="media/image151.gif"/><Relationship Id="rId12" Type="http://schemas.openxmlformats.org/officeDocument/2006/relationships/image" Target="media/image8.gif"/><Relationship Id="rId17" Type="http://schemas.openxmlformats.org/officeDocument/2006/relationships/image" Target="media/image13.gif"/><Relationship Id="rId33" Type="http://schemas.openxmlformats.org/officeDocument/2006/relationships/image" Target="media/image29.gif"/><Relationship Id="rId38" Type="http://schemas.openxmlformats.org/officeDocument/2006/relationships/image" Target="media/image34.gif"/><Relationship Id="rId59" Type="http://schemas.openxmlformats.org/officeDocument/2006/relationships/image" Target="media/image55.gif"/><Relationship Id="rId103" Type="http://schemas.openxmlformats.org/officeDocument/2006/relationships/image" Target="media/image99.gif"/><Relationship Id="rId108" Type="http://schemas.openxmlformats.org/officeDocument/2006/relationships/image" Target="media/image104.gif"/><Relationship Id="rId124" Type="http://schemas.openxmlformats.org/officeDocument/2006/relationships/image" Target="media/image120.gif"/><Relationship Id="rId129" Type="http://schemas.openxmlformats.org/officeDocument/2006/relationships/image" Target="media/image125.gif"/><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 Id="rId75" Type="http://schemas.openxmlformats.org/officeDocument/2006/relationships/image" Target="media/image71.gif"/><Relationship Id="rId83" Type="http://schemas.openxmlformats.org/officeDocument/2006/relationships/image" Target="media/image79.gif"/><Relationship Id="rId88" Type="http://schemas.openxmlformats.org/officeDocument/2006/relationships/image" Target="media/image84.gif"/><Relationship Id="rId91" Type="http://schemas.openxmlformats.org/officeDocument/2006/relationships/image" Target="media/image87.gif"/><Relationship Id="rId96" Type="http://schemas.openxmlformats.org/officeDocument/2006/relationships/image" Target="media/image92.gif"/><Relationship Id="rId111" Type="http://schemas.openxmlformats.org/officeDocument/2006/relationships/image" Target="media/image107.gif"/><Relationship Id="rId132" Type="http://schemas.openxmlformats.org/officeDocument/2006/relationships/image" Target="media/image128.gif"/><Relationship Id="rId140" Type="http://schemas.openxmlformats.org/officeDocument/2006/relationships/image" Target="media/image136.gif"/><Relationship Id="rId145" Type="http://schemas.openxmlformats.org/officeDocument/2006/relationships/image" Target="media/image141.gif"/><Relationship Id="rId153" Type="http://schemas.openxmlformats.org/officeDocument/2006/relationships/image" Target="media/image149.gif"/><Relationship Id="rId16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106" Type="http://schemas.openxmlformats.org/officeDocument/2006/relationships/image" Target="media/image102.gif"/><Relationship Id="rId114" Type="http://schemas.openxmlformats.org/officeDocument/2006/relationships/image" Target="media/image110.gif"/><Relationship Id="rId119" Type="http://schemas.openxmlformats.org/officeDocument/2006/relationships/image" Target="media/image115.gif"/><Relationship Id="rId127" Type="http://schemas.openxmlformats.org/officeDocument/2006/relationships/image" Target="media/image123.gif"/><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gif"/><Relationship Id="rId73" Type="http://schemas.openxmlformats.org/officeDocument/2006/relationships/image" Target="media/image69.gif"/><Relationship Id="rId78" Type="http://schemas.openxmlformats.org/officeDocument/2006/relationships/image" Target="media/image74.gif"/><Relationship Id="rId81" Type="http://schemas.openxmlformats.org/officeDocument/2006/relationships/image" Target="media/image77.gif"/><Relationship Id="rId86" Type="http://schemas.openxmlformats.org/officeDocument/2006/relationships/image" Target="media/image82.gif"/><Relationship Id="rId94" Type="http://schemas.openxmlformats.org/officeDocument/2006/relationships/image" Target="media/image90.gif"/><Relationship Id="rId99" Type="http://schemas.openxmlformats.org/officeDocument/2006/relationships/image" Target="media/image95.gif"/><Relationship Id="rId101" Type="http://schemas.openxmlformats.org/officeDocument/2006/relationships/image" Target="media/image97.gif"/><Relationship Id="rId122" Type="http://schemas.openxmlformats.org/officeDocument/2006/relationships/image" Target="media/image118.gif"/><Relationship Id="rId130" Type="http://schemas.openxmlformats.org/officeDocument/2006/relationships/image" Target="media/image126.gif"/><Relationship Id="rId135" Type="http://schemas.openxmlformats.org/officeDocument/2006/relationships/image" Target="media/image131.gif"/><Relationship Id="rId143" Type="http://schemas.openxmlformats.org/officeDocument/2006/relationships/image" Target="media/image139.gif"/><Relationship Id="rId148" Type="http://schemas.openxmlformats.org/officeDocument/2006/relationships/image" Target="media/image144.gif"/><Relationship Id="rId151" Type="http://schemas.openxmlformats.org/officeDocument/2006/relationships/image" Target="media/image147.gif"/><Relationship Id="rId156" Type="http://schemas.openxmlformats.org/officeDocument/2006/relationships/image" Target="media/image152.gif"/><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gif"/><Relationship Id="rId18" Type="http://schemas.openxmlformats.org/officeDocument/2006/relationships/image" Target="media/image14.gif"/><Relationship Id="rId39" Type="http://schemas.openxmlformats.org/officeDocument/2006/relationships/image" Target="media/image35.gif"/><Relationship Id="rId109" Type="http://schemas.openxmlformats.org/officeDocument/2006/relationships/image" Target="media/image105.gif"/><Relationship Id="rId34" Type="http://schemas.openxmlformats.org/officeDocument/2006/relationships/image" Target="media/image30.gif"/><Relationship Id="rId50" Type="http://schemas.openxmlformats.org/officeDocument/2006/relationships/image" Target="media/image46.gif"/><Relationship Id="rId55" Type="http://schemas.openxmlformats.org/officeDocument/2006/relationships/image" Target="media/image51.gif"/><Relationship Id="rId76" Type="http://schemas.openxmlformats.org/officeDocument/2006/relationships/image" Target="media/image72.gif"/><Relationship Id="rId97" Type="http://schemas.openxmlformats.org/officeDocument/2006/relationships/image" Target="media/image93.gif"/><Relationship Id="rId104" Type="http://schemas.openxmlformats.org/officeDocument/2006/relationships/image" Target="media/image100.gif"/><Relationship Id="rId120" Type="http://schemas.openxmlformats.org/officeDocument/2006/relationships/image" Target="media/image116.gif"/><Relationship Id="rId125" Type="http://schemas.openxmlformats.org/officeDocument/2006/relationships/image" Target="media/image121.gif"/><Relationship Id="rId141" Type="http://schemas.openxmlformats.org/officeDocument/2006/relationships/image" Target="media/image137.gif"/><Relationship Id="rId146" Type="http://schemas.openxmlformats.org/officeDocument/2006/relationships/image" Target="media/image142.gif"/><Relationship Id="rId7" Type="http://schemas.openxmlformats.org/officeDocument/2006/relationships/image" Target="media/image3.gif"/><Relationship Id="rId71" Type="http://schemas.openxmlformats.org/officeDocument/2006/relationships/image" Target="media/image67.gif"/><Relationship Id="rId92" Type="http://schemas.openxmlformats.org/officeDocument/2006/relationships/image" Target="media/image88.gif"/><Relationship Id="rId2" Type="http://schemas.microsoft.com/office/2007/relationships/stylesWithEffects" Target="stylesWithEffects.xml"/><Relationship Id="rId29" Type="http://schemas.openxmlformats.org/officeDocument/2006/relationships/image" Target="media/image25.gif"/><Relationship Id="rId24" Type="http://schemas.openxmlformats.org/officeDocument/2006/relationships/image" Target="media/image20.gif"/><Relationship Id="rId40" Type="http://schemas.openxmlformats.org/officeDocument/2006/relationships/image" Target="media/image36.gif"/><Relationship Id="rId45" Type="http://schemas.openxmlformats.org/officeDocument/2006/relationships/image" Target="media/image41.gif"/><Relationship Id="rId66" Type="http://schemas.openxmlformats.org/officeDocument/2006/relationships/image" Target="media/image62.gif"/><Relationship Id="rId87" Type="http://schemas.openxmlformats.org/officeDocument/2006/relationships/image" Target="media/image83.gif"/><Relationship Id="rId110" Type="http://schemas.openxmlformats.org/officeDocument/2006/relationships/image" Target="media/image106.gif"/><Relationship Id="rId115" Type="http://schemas.openxmlformats.org/officeDocument/2006/relationships/image" Target="media/image111.gif"/><Relationship Id="rId131" Type="http://schemas.openxmlformats.org/officeDocument/2006/relationships/image" Target="media/image127.gif"/><Relationship Id="rId136" Type="http://schemas.openxmlformats.org/officeDocument/2006/relationships/image" Target="media/image132.gif"/><Relationship Id="rId157" Type="http://schemas.openxmlformats.org/officeDocument/2006/relationships/image" Target="media/image153.gif"/><Relationship Id="rId61" Type="http://schemas.openxmlformats.org/officeDocument/2006/relationships/image" Target="media/image57.gif"/><Relationship Id="rId82" Type="http://schemas.openxmlformats.org/officeDocument/2006/relationships/image" Target="media/image78.gif"/><Relationship Id="rId152" Type="http://schemas.openxmlformats.org/officeDocument/2006/relationships/image" Target="media/image148.gif"/><Relationship Id="rId19" Type="http://schemas.openxmlformats.org/officeDocument/2006/relationships/image" Target="media/image15.gif"/><Relationship Id="rId14" Type="http://schemas.openxmlformats.org/officeDocument/2006/relationships/image" Target="media/image10.gif"/><Relationship Id="rId30" Type="http://schemas.openxmlformats.org/officeDocument/2006/relationships/image" Target="media/image26.gif"/><Relationship Id="rId35" Type="http://schemas.openxmlformats.org/officeDocument/2006/relationships/image" Target="media/image31.gif"/><Relationship Id="rId56" Type="http://schemas.openxmlformats.org/officeDocument/2006/relationships/image" Target="media/image52.gif"/><Relationship Id="rId77" Type="http://schemas.openxmlformats.org/officeDocument/2006/relationships/image" Target="media/image73.gif"/><Relationship Id="rId100" Type="http://schemas.openxmlformats.org/officeDocument/2006/relationships/image" Target="media/image96.gif"/><Relationship Id="rId105" Type="http://schemas.openxmlformats.org/officeDocument/2006/relationships/image" Target="media/image101.gif"/><Relationship Id="rId126" Type="http://schemas.openxmlformats.org/officeDocument/2006/relationships/image" Target="media/image122.gif"/><Relationship Id="rId147" Type="http://schemas.openxmlformats.org/officeDocument/2006/relationships/image" Target="media/image143.gif"/><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image" Target="media/image68.gif"/><Relationship Id="rId93" Type="http://schemas.openxmlformats.org/officeDocument/2006/relationships/image" Target="media/image89.gif"/><Relationship Id="rId98" Type="http://schemas.openxmlformats.org/officeDocument/2006/relationships/image" Target="media/image94.gif"/><Relationship Id="rId121" Type="http://schemas.openxmlformats.org/officeDocument/2006/relationships/image" Target="media/image117.gif"/><Relationship Id="rId142" Type="http://schemas.openxmlformats.org/officeDocument/2006/relationships/image" Target="media/image138.gif"/><Relationship Id="rId3" Type="http://schemas.openxmlformats.org/officeDocument/2006/relationships/settings" Target="settings.xml"/><Relationship Id="rId25" Type="http://schemas.openxmlformats.org/officeDocument/2006/relationships/image" Target="media/image21.gif"/><Relationship Id="rId46" Type="http://schemas.openxmlformats.org/officeDocument/2006/relationships/image" Target="media/image42.gif"/><Relationship Id="rId67" Type="http://schemas.openxmlformats.org/officeDocument/2006/relationships/image" Target="media/image63.gif"/><Relationship Id="rId116" Type="http://schemas.openxmlformats.org/officeDocument/2006/relationships/image" Target="media/image112.gif"/><Relationship Id="rId137" Type="http://schemas.openxmlformats.org/officeDocument/2006/relationships/image" Target="media/image133.gif"/><Relationship Id="rId158" Type="http://schemas.openxmlformats.org/officeDocument/2006/relationships/image" Target="media/image15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312722</Words>
  <Characters>1782521</Characters>
  <Application>Microsoft Office Word</Application>
  <DocSecurity>0</DocSecurity>
  <Lines>14854</Lines>
  <Paragraphs>4182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Dejana</dc:creator>
  <cp:lastModifiedBy>CIS</cp:lastModifiedBy>
  <cp:revision>3</cp:revision>
  <dcterms:created xsi:type="dcterms:W3CDTF">2014-03-11T09:39:00Z</dcterms:created>
  <dcterms:modified xsi:type="dcterms:W3CDTF">2018-09-06T12:20:00Z</dcterms:modified>
</cp:coreProperties>
</file>