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B8" w:rsidRPr="004455B8" w:rsidRDefault="004455B8" w:rsidP="004455B8">
      <w:pPr>
        <w:pStyle w:val="Naslov"/>
        <w:pBdr>
          <w:bottom w:val="single" w:sz="8" w:space="4" w:color="4F81BD" w:themeColor="accent1"/>
        </w:pBdr>
        <w:jc w:val="center"/>
        <w:rPr>
          <w:rFonts w:asciiTheme="majorHAnsi" w:hAnsiTheme="majorHAnsi" w:cstheme="majorBidi"/>
          <w:color w:val="17365D" w:themeColor="text2" w:themeShade="BF"/>
          <w:lang w:eastAsia="sr-Latn-RS"/>
        </w:rPr>
      </w:pPr>
      <w:bookmarkStart w:id="0" w:name="clan_1"/>
      <w:bookmarkEnd w:id="0"/>
      <w:r w:rsidRPr="004455B8">
        <w:rPr>
          <w:rFonts w:asciiTheme="majorHAnsi" w:hAnsiTheme="majorHAnsi" w:cstheme="majorBidi"/>
          <w:color w:val="17365D" w:themeColor="text2" w:themeShade="BF"/>
          <w:lang w:eastAsia="sr-Latn-RS"/>
        </w:rPr>
        <w:t>UREDBA</w:t>
      </w:r>
    </w:p>
    <w:p w:rsidR="004455B8" w:rsidRPr="004455B8" w:rsidRDefault="004455B8" w:rsidP="004455B8">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4455B8">
        <w:rPr>
          <w:rFonts w:asciiTheme="majorHAnsi" w:hAnsiTheme="majorHAnsi" w:cstheme="majorBidi"/>
          <w:color w:val="17365D" w:themeColor="text2" w:themeShade="BF"/>
          <w:lang w:eastAsia="sr-Latn-RS"/>
        </w:rPr>
        <w:t>O UTVRĐIVANJU LISTE PROJEKATA ZA KOJE JE OBAVEZNA PROCENA UTICAJA I LISTE PROJEKATA ZA KOJE SE MOŽE ZAHTEVATI PROCENA UTICAJA NA ŽIVOTNU SREDINU</w:t>
      </w:r>
    </w:p>
    <w:p w:rsidR="004455B8" w:rsidRPr="004455B8" w:rsidRDefault="004455B8" w:rsidP="004455B8">
      <w:pPr>
        <w:pStyle w:val="Podnaslov"/>
        <w:numPr>
          <w:ilvl w:val="0"/>
          <w:numId w:val="0"/>
        </w:numPr>
        <w:jc w:val="center"/>
        <w:rPr>
          <w:rFonts w:asciiTheme="majorHAnsi" w:hAnsiTheme="majorHAnsi" w:cstheme="majorBidi"/>
          <w:color w:val="4F81BD" w:themeColor="accent1"/>
          <w:lang w:eastAsia="sr-Latn-RS"/>
        </w:rPr>
      </w:pPr>
      <w:r w:rsidRPr="004455B8">
        <w:rPr>
          <w:rFonts w:asciiTheme="majorHAnsi" w:hAnsiTheme="majorHAnsi" w:cstheme="majorBidi"/>
          <w:color w:val="4F81BD" w:themeColor="accent1"/>
          <w:lang w:eastAsia="sr-Latn-RS"/>
        </w:rPr>
        <w:t>("Sl. glasnik RS", br. 114/2008)</w:t>
      </w:r>
    </w:p>
    <w:p w:rsidR="004455B8" w:rsidRDefault="004455B8" w:rsidP="006F3770">
      <w:pPr>
        <w:spacing w:before="240" w:after="120" w:line="240" w:lineRule="auto"/>
        <w:jc w:val="center"/>
        <w:rPr>
          <w:rFonts w:ascii="Arial" w:eastAsia="Times New Roman" w:hAnsi="Arial" w:cs="Arial"/>
          <w:b/>
          <w:bCs/>
          <w:sz w:val="24"/>
          <w:szCs w:val="24"/>
          <w:lang w:val="sr-Latn-RS"/>
        </w:rPr>
      </w:pPr>
      <w:bookmarkStart w:id="1" w:name="_GoBack"/>
      <w:bookmarkEnd w:id="1"/>
    </w:p>
    <w:p w:rsidR="006F3770" w:rsidRPr="006F3770" w:rsidRDefault="006F3770" w:rsidP="006F3770">
      <w:pPr>
        <w:spacing w:before="240" w:after="120" w:line="240" w:lineRule="auto"/>
        <w:jc w:val="center"/>
        <w:rPr>
          <w:rFonts w:ascii="Arial" w:eastAsia="Times New Roman" w:hAnsi="Arial" w:cs="Arial"/>
          <w:b/>
          <w:bCs/>
          <w:sz w:val="24"/>
          <w:szCs w:val="24"/>
          <w:lang w:val="sr-Latn-RS"/>
        </w:rPr>
      </w:pPr>
      <w:r w:rsidRPr="006F3770">
        <w:rPr>
          <w:rFonts w:ascii="Arial" w:eastAsia="Times New Roman" w:hAnsi="Arial" w:cs="Arial"/>
          <w:b/>
          <w:bCs/>
          <w:sz w:val="24"/>
          <w:szCs w:val="24"/>
          <w:lang w:val="sr-Latn-RS"/>
        </w:rPr>
        <w:t>Član 1</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Ovom uredbom utvrđuje se Lista I Projekti za koje je obavezna procena uticaja na životnu sredinu i Lista II Projekti za koje se može zahtevati procena uticaja na životnu sredinu, koje su odštampane uz ovu uredbu i čine njen sastavni deo.</w:t>
      </w:r>
    </w:p>
    <w:p w:rsidR="006F3770" w:rsidRPr="006F3770" w:rsidRDefault="006F3770" w:rsidP="006F3770">
      <w:pPr>
        <w:spacing w:before="240" w:after="120" w:line="240" w:lineRule="auto"/>
        <w:jc w:val="center"/>
        <w:rPr>
          <w:rFonts w:ascii="Arial" w:eastAsia="Times New Roman" w:hAnsi="Arial" w:cs="Arial"/>
          <w:b/>
          <w:bCs/>
          <w:sz w:val="24"/>
          <w:szCs w:val="24"/>
          <w:lang w:val="sr-Latn-RS"/>
        </w:rPr>
      </w:pPr>
      <w:bookmarkStart w:id="2" w:name="clan_2"/>
      <w:bookmarkEnd w:id="2"/>
      <w:r w:rsidRPr="006F3770">
        <w:rPr>
          <w:rFonts w:ascii="Arial" w:eastAsia="Times New Roman" w:hAnsi="Arial" w:cs="Arial"/>
          <w:b/>
          <w:bCs/>
          <w:sz w:val="24"/>
          <w:szCs w:val="24"/>
          <w:lang w:val="sr-Latn-RS"/>
        </w:rPr>
        <w:t>Član 2</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Lista II Projekti za koje se može zahtevati procena uticaja na životnu sredinu, pored naziva projekta, sadrži i kriterijume za odlučivanje o potrebi izrade procene uticaja na životnu sredinu.</w:t>
      </w:r>
    </w:p>
    <w:p w:rsidR="006F3770" w:rsidRPr="006F3770" w:rsidRDefault="006F3770" w:rsidP="006F3770">
      <w:pPr>
        <w:spacing w:before="240" w:after="120" w:line="240" w:lineRule="auto"/>
        <w:jc w:val="center"/>
        <w:rPr>
          <w:rFonts w:ascii="Arial" w:eastAsia="Times New Roman" w:hAnsi="Arial" w:cs="Arial"/>
          <w:b/>
          <w:bCs/>
          <w:sz w:val="24"/>
          <w:szCs w:val="24"/>
          <w:lang w:val="sr-Latn-RS"/>
        </w:rPr>
      </w:pPr>
      <w:bookmarkStart w:id="3" w:name="clan_3"/>
      <w:bookmarkEnd w:id="3"/>
      <w:r w:rsidRPr="006F3770">
        <w:rPr>
          <w:rFonts w:ascii="Arial" w:eastAsia="Times New Roman" w:hAnsi="Arial" w:cs="Arial"/>
          <w:b/>
          <w:bCs/>
          <w:sz w:val="24"/>
          <w:szCs w:val="24"/>
          <w:lang w:val="sr-Latn-RS"/>
        </w:rPr>
        <w:t>Član 3</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Danom stupanja na snagu ove uredbe prestaje da važi Uredba o utvrđivanju Liste projekata za koje je obavezna procena uticaja i Liste projekata za koje se može zahtevati procena uticaja na životnu sredinu ("Službeni glasnik RS", broj 84/05). </w:t>
      </w:r>
    </w:p>
    <w:p w:rsidR="006F3770" w:rsidRPr="006F3770" w:rsidRDefault="006F3770" w:rsidP="006F3770">
      <w:pPr>
        <w:spacing w:before="240" w:after="120" w:line="240" w:lineRule="auto"/>
        <w:jc w:val="center"/>
        <w:rPr>
          <w:rFonts w:ascii="Arial" w:eastAsia="Times New Roman" w:hAnsi="Arial" w:cs="Arial"/>
          <w:b/>
          <w:bCs/>
          <w:sz w:val="24"/>
          <w:szCs w:val="24"/>
          <w:lang w:val="sr-Latn-RS"/>
        </w:rPr>
      </w:pPr>
      <w:bookmarkStart w:id="4" w:name="clan_4"/>
      <w:bookmarkEnd w:id="4"/>
      <w:r w:rsidRPr="006F3770">
        <w:rPr>
          <w:rFonts w:ascii="Arial" w:eastAsia="Times New Roman" w:hAnsi="Arial" w:cs="Arial"/>
          <w:b/>
          <w:bCs/>
          <w:sz w:val="24"/>
          <w:szCs w:val="24"/>
          <w:lang w:val="sr-Latn-RS"/>
        </w:rPr>
        <w:t>Član 4</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Ova uredba stupa na snagu osmog dana od dana objavljivanja u "Službenom glasniku Republike Srbije".</w:t>
      </w:r>
    </w:p>
    <w:p w:rsidR="006F3770" w:rsidRPr="006F3770" w:rsidRDefault="006F3770" w:rsidP="006F3770">
      <w:pPr>
        <w:spacing w:after="0" w:line="240" w:lineRule="auto"/>
        <w:rPr>
          <w:rFonts w:ascii="Arial" w:eastAsia="Times New Roman" w:hAnsi="Arial" w:cs="Arial"/>
          <w:sz w:val="26"/>
          <w:szCs w:val="26"/>
          <w:lang w:val="sr-Latn-RS"/>
        </w:rPr>
      </w:pPr>
      <w:r w:rsidRPr="006F3770">
        <w:rPr>
          <w:rFonts w:ascii="Arial" w:eastAsia="Times New Roman" w:hAnsi="Arial" w:cs="Arial"/>
          <w:sz w:val="26"/>
          <w:szCs w:val="26"/>
          <w:lang w:val="sr-Latn-RS"/>
        </w:rPr>
        <w:t xml:space="preserve">  </w:t>
      </w:r>
    </w:p>
    <w:p w:rsidR="006F3770" w:rsidRPr="006F3770" w:rsidRDefault="006F3770" w:rsidP="006F3770">
      <w:pPr>
        <w:spacing w:after="0" w:line="240" w:lineRule="auto"/>
        <w:jc w:val="center"/>
        <w:rPr>
          <w:rFonts w:ascii="Arial" w:eastAsia="Times New Roman" w:hAnsi="Arial" w:cs="Arial"/>
          <w:b/>
          <w:bCs/>
          <w:sz w:val="29"/>
          <w:szCs w:val="29"/>
          <w:lang w:val="sr-Latn-RS"/>
        </w:rPr>
      </w:pPr>
      <w:bookmarkStart w:id="5" w:name="str_1"/>
      <w:bookmarkEnd w:id="5"/>
      <w:r w:rsidRPr="006F3770">
        <w:rPr>
          <w:rFonts w:ascii="Arial" w:eastAsia="Times New Roman" w:hAnsi="Arial" w:cs="Arial"/>
          <w:b/>
          <w:bCs/>
          <w:sz w:val="29"/>
          <w:szCs w:val="29"/>
          <w:lang w:val="sr-Latn-RS"/>
        </w:rPr>
        <w:t>LISTA I</w:t>
      </w:r>
    </w:p>
    <w:p w:rsidR="006F3770" w:rsidRPr="006F3770" w:rsidRDefault="006F3770" w:rsidP="006F3770">
      <w:pPr>
        <w:spacing w:after="0" w:line="240" w:lineRule="auto"/>
        <w:jc w:val="center"/>
        <w:rPr>
          <w:rFonts w:ascii="Arial" w:eastAsia="Times New Roman" w:hAnsi="Arial" w:cs="Arial"/>
          <w:b/>
          <w:bCs/>
          <w:sz w:val="29"/>
          <w:szCs w:val="29"/>
          <w:lang w:val="sr-Latn-RS"/>
        </w:rPr>
      </w:pPr>
      <w:r w:rsidRPr="006F3770">
        <w:rPr>
          <w:rFonts w:ascii="Arial" w:eastAsia="Times New Roman" w:hAnsi="Arial" w:cs="Arial"/>
          <w:b/>
          <w:bCs/>
          <w:sz w:val="29"/>
          <w:szCs w:val="29"/>
          <w:lang w:val="sr-Latn-RS"/>
        </w:rPr>
        <w:t>Projekti za koje je obavezna procena uticaja na životnu sredinu</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1. Postrojenja za:</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lastRenderedPageBreak/>
        <w:t>1) preradu nafte, naftnih derivata i prirodnog gasa;</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2) gasifikaciju i topljenje uglja ili bitumenskih škriljaca, teških ostataka sirove nafte.</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2. Postrojenja: </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 xml:space="preserve">1) za proizvodnju električne energije, vodene pare, tople vode, tehnološke pare ili zagrejanih gasova, upotrebom svih vrsta goriva, kao i postrojenja za pogon radnih mašina (termoelektrane, toplane, gasne turbine, postrojenja sa motorom sa unutrašnjim sagorevanjem i ostali uređaji za sagorevanje uključujući i parne kotlove) sa snagom od 50 MW ili više; </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2) nuklearni reaktori, uključujući demontažu ili isključenje iz pogona takvih reaktora,</w:t>
      </w:r>
      <w:r w:rsidRPr="006F3770">
        <w:rPr>
          <w:rFonts w:ascii="Arial" w:eastAsia="Times New Roman" w:hAnsi="Arial" w:cs="Arial"/>
          <w:b/>
          <w:bCs/>
          <w:sz w:val="15"/>
          <w:vertAlign w:val="superscript"/>
          <w:lang w:val="sr-Latn-RS"/>
        </w:rPr>
        <w:t>1</w:t>
      </w:r>
      <w:r w:rsidRPr="006F3770">
        <w:rPr>
          <w:rFonts w:ascii="Arial" w:eastAsia="Times New Roman" w:hAnsi="Arial" w:cs="Arial"/>
          <w:lang w:val="sr-Latn-RS"/>
        </w:rPr>
        <w:t xml:space="preserve"> izuzev naučnoistraživačkih postrojenja za proizvodnju i konverziju fisionih i obogaćenih materijala, čija ukupna snaga ne prelazi 1 kW stalnog termalnog opterećenja.</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3. Postrojenja:</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 xml:space="preserve">1) za preradu istrošenog nuklearnog goriva; </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2) predviđena:</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 za proizvodnju ili obogaćenje nuklearnog goriva;</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 za preradu istrošenog nuklearnog goriva ili visoko radioaktivnog nuklearnog otpada;</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 za trajno odlaganje istrošenog nuklearnog goriva;</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 za trajno odlaganje nuklearnog otpada;</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 za preradu, skladištenje i odlaganje radioaktivnog otpada.</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4. Postrojenja:</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1) za pečenje ili sinterovanje metalne rude (uključujući sulfidnu rudu);</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2) za proizvodnju sirovog gvožđa ili čelika (primarno ili sekundarno topljenje) uključujući kontinualno livenje, sa kapacitetom koji prelazi 2,5 t/h;</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3) za preradu u crnoj metalurgiji:</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 tople valjaonice sa kapacitetom iznad 20 t/h sirovog čelika;</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 kovačnice sa automatskim čekićima čija energija prelazi 50 kJ po jednom čekiću, kod kojih upotrebljena toplotna snaga prelazi 20 MW;</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 postrojenja za nanošenje metalnih zaštitnih slojeva na metalne površine pomoću topljenih kupki, sa ulazom koji prelazi 2 t/h sirovog materijala;</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lastRenderedPageBreak/>
        <w:t>4) Livnica crne metalurgije sa proizvodnim kapacitetom preko 20 t na dan;</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5) Postrojenja:</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 za proizvodnju obojenih sirovih metala iz rude, koncentrata ili sekundarnih sirovina putem metalurških i/ili hemijskih procesa i/ili elektrolitičkih procesa;</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 za topljenje uključujući i izradu legura od obojenih metala, kao i izradu korisnih nusproizvoda (rafinacija, livenje, itd.), sa kapacitetom topljenja od preko 4 t dnevno za olovo i kadmijum ili 20 t dnevno za sve ostale metale;</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6) za površinsku obradu metala i plastičnih materijala korišćenjem elektrolitičkih ili hemijskih procesa, gde zapremina kada za tretman prelazi 30 m</w:t>
      </w:r>
      <w:r w:rsidRPr="006F3770">
        <w:rPr>
          <w:rFonts w:ascii="Arial" w:eastAsia="Times New Roman" w:hAnsi="Arial" w:cs="Arial"/>
          <w:sz w:val="15"/>
          <w:vertAlign w:val="superscript"/>
          <w:lang w:val="sr-Latn-RS"/>
        </w:rPr>
        <w:t>3</w:t>
      </w:r>
      <w:r w:rsidRPr="006F3770">
        <w:rPr>
          <w:rFonts w:ascii="Arial" w:eastAsia="Times New Roman" w:hAnsi="Arial" w:cs="Arial"/>
          <w:lang w:val="sr-Latn-RS"/>
        </w:rPr>
        <w:t>.</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5. Postrojenja za:</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1) ekstrakciju, proizvodnju, preradu i obradu azbesta i proizvoda koji sadrže azbest;</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2) proizvodnju cementnog klinkera, cementa i kreča u rotacionim ili drugim pećima kapaciteta preko 500 t dnevno za proizvodnju cementnog klinkera ili kreča kapaciteta preko 50 t dnevno u rotacionim pećima.</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6. Kombinovana hemijska postrojenja, tj. postrojenja za industrijsku proizvodnju supstanci kod kojih se primenjuju postupci hemijske promene i u kojima se pojedini pogoni nalaze jedan pored drugog i funkcionalno su povezani, a namenjeni su za proizvodnju:</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osnovnih (baznih) organskih hemikalija;</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osnovnih (baznih) neorganskih hemikalija;</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veštačkih đubriva na bazi fosfora, azota ili kalijuma (prosta ili složena đubriva);</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osnovnih (baznih) proizvoda za zaštitu bilja, kao i biocida;</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osnovnih (baznih) farmaceutskih proizvoda uz primenu hemijskih ili bioloških postupaka;</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i/ili preradu i/ili obradu eksploziva.</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7. Izgradnja: </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1) magistralnih železničkih pruga uključujući pripadajuće objekte (mostove, tunele i stanice);</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2) magistralnih autoputeva i puteva sa četiri ili više traka, ili rekonstrukcija i/ili proširenje postojećeg puta sa dve trake ili manje, sa ciljem dobijanja puta sa četiri ili više traka, u slučaju da takav novi put ili rekonstruisana i/ili proširena deonica imaju neprekidnu dužinu od preko 10 km ili više, uključujući pripadajuće objekte, osim pratećih sadržaja magistralnog puta;</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lastRenderedPageBreak/>
        <w:t>3) aerodromi za obavljanje javnog avio-transporta</w:t>
      </w:r>
      <w:r w:rsidRPr="006F3770">
        <w:rPr>
          <w:rFonts w:ascii="Arial" w:eastAsia="Times New Roman" w:hAnsi="Arial" w:cs="Arial"/>
          <w:b/>
          <w:bCs/>
          <w:sz w:val="15"/>
          <w:vertAlign w:val="superscript"/>
          <w:lang w:val="sr-Latn-RS"/>
        </w:rPr>
        <w:t>2</w:t>
      </w:r>
      <w:r w:rsidRPr="006F3770">
        <w:rPr>
          <w:rFonts w:ascii="Arial" w:eastAsia="Times New Roman" w:hAnsi="Arial" w:cs="Arial"/>
          <w:lang w:val="sr-Latn-RS"/>
        </w:rPr>
        <w:t xml:space="preserve"> čija je poletna pista duža od 2.100 m.</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8. Unutrašnji plovni putevi na kojima važi međunarodni ili međudržavni režim plovidbe, kao i luke i pristaništa koje se nalaze na unutrašnjem plovnom putu na kojem važi međunarodni ili međudržavni režim plovidbe, regulacioni radovi na unutrašnjim plovnim putevima kojim se omogućava prolaz plovnim objektima od preko 1350 t.</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9. Postrojenja za tretman opasnog otpada spaljivanjem, termičkim i/ili fizičkim, fizičko-hemijskim, hemijskim postupcima, kao i centralna skladišta i /ili deponije za odlaganje opasnog otpada.</w:t>
      </w:r>
      <w:r w:rsidRPr="006F3770">
        <w:rPr>
          <w:rFonts w:ascii="Arial" w:eastAsia="Times New Roman" w:hAnsi="Arial" w:cs="Arial"/>
          <w:b/>
          <w:bCs/>
          <w:sz w:val="15"/>
          <w:vertAlign w:val="superscript"/>
          <w:lang w:val="sr-Latn-RS"/>
        </w:rPr>
        <w:t>3</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10. Postrojenja za tretman otpada koji nije opasan spaljivanjem ili hemijskim postupcima</w:t>
      </w:r>
      <w:r w:rsidRPr="006F3770">
        <w:rPr>
          <w:rFonts w:ascii="Arial" w:eastAsia="Times New Roman" w:hAnsi="Arial" w:cs="Arial"/>
          <w:b/>
          <w:bCs/>
          <w:sz w:val="15"/>
          <w:vertAlign w:val="superscript"/>
          <w:lang w:val="sr-Latn-RS"/>
        </w:rPr>
        <w:t>4</w:t>
      </w:r>
      <w:r w:rsidRPr="006F3770">
        <w:rPr>
          <w:rFonts w:ascii="Arial" w:eastAsia="Times New Roman" w:hAnsi="Arial" w:cs="Arial"/>
          <w:lang w:val="sr-Latn-RS"/>
        </w:rPr>
        <w:t xml:space="preserve"> kapaciteta više od 70 t na dan; deponije komunalnog otpada za preko 200.000 ekvivalent stanovnika.</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11. Eksploatacija podzemnih voda ili obogaćivanje podzemnih voda kod kojih je godišnja zapremina eksploatisane ili obogaćene vode jednaka količini od 10 miliona m</w:t>
      </w:r>
      <w:r w:rsidRPr="006F3770">
        <w:rPr>
          <w:rFonts w:ascii="Arial" w:eastAsia="Times New Roman" w:hAnsi="Arial" w:cs="Arial"/>
          <w:sz w:val="15"/>
          <w:vertAlign w:val="superscript"/>
          <w:lang w:val="sr-Latn-RS"/>
        </w:rPr>
        <w:t>3</w:t>
      </w:r>
      <w:r w:rsidRPr="006F3770">
        <w:rPr>
          <w:rFonts w:ascii="Arial" w:eastAsia="Times New Roman" w:hAnsi="Arial" w:cs="Arial"/>
          <w:lang w:val="sr-Latn-RS"/>
        </w:rPr>
        <w:t xml:space="preserve"> ili više.</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12. Objekti:</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1) hidrotehnički objekti za prebacivanje voda između rečnih slivova, namenjeni sprečavanju mogućih nestašica vode kod kojih količina prebačene vode prelazi 100 miliona kubnih metara godišnje;</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2) u svim drugim slučajevima, objekti namenjeni za prebacivanje voda između rečnih slivova kod kojih višegodišnji prosek protoka u slivu iz kog se voda zahvata prelazi 2.000 miliona m</w:t>
      </w:r>
      <w:r w:rsidRPr="006F3770">
        <w:rPr>
          <w:rFonts w:ascii="Arial" w:eastAsia="Times New Roman" w:hAnsi="Arial" w:cs="Arial"/>
          <w:sz w:val="15"/>
          <w:vertAlign w:val="superscript"/>
          <w:lang w:val="sr-Latn-RS"/>
        </w:rPr>
        <w:t>3</w:t>
      </w:r>
      <w:r w:rsidRPr="006F3770">
        <w:rPr>
          <w:rFonts w:ascii="Arial" w:eastAsia="Times New Roman" w:hAnsi="Arial" w:cs="Arial"/>
          <w:lang w:val="sr-Latn-RS"/>
        </w:rPr>
        <w:t xml:space="preserve"> godišnje i gde količina prebačene vode prelazi 5% od ovog protoka, osim u slučaju prenosa vode za piće cevovodima.</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13. Postrojenja za prečišćavanje otpadnih voda u naseljima preko 100.000 stanovnika.</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14. Vađenje nafte i prirodnog gasa. </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15. Brane i drugi objekti namenjeni zadržavanju i akumulaciji vode kod kojih voda koja dotiče, ili dodatno zadržana, ili akumulirana voda prelazi količinu od 10 miliona m</w:t>
      </w:r>
      <w:r w:rsidRPr="006F3770">
        <w:rPr>
          <w:rFonts w:ascii="Arial" w:eastAsia="Times New Roman" w:hAnsi="Arial" w:cs="Arial"/>
          <w:sz w:val="15"/>
          <w:vertAlign w:val="superscript"/>
          <w:lang w:val="sr-Latn-RS"/>
        </w:rPr>
        <w:t>3</w:t>
      </w:r>
      <w:r w:rsidRPr="006F3770">
        <w:rPr>
          <w:rFonts w:ascii="Arial" w:eastAsia="Times New Roman" w:hAnsi="Arial" w:cs="Arial"/>
          <w:lang w:val="sr-Latn-RS"/>
        </w:rPr>
        <w:t xml:space="preserve">. </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16. Cevovodi za transport gasa, tečnog gasa, nafte i naftnih derivata ili hemikalija prečnika većeg od 800 mm i dužine koja prelazi 40 km.</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17. Objekti za intenzivan uzgoj živine ili svinja sa kapacitetom preko:</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- 85.000 mesta za proizvodnju brojlera;</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- 40.000 mesta za živinu u uzgoju i eksploataciji;</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- 2.000 mesta za proizvodnju svinja (preko 30 kg težine);</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- 750 mesta za krmače.</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lastRenderedPageBreak/>
        <w:t>18. Industrijska postrojenja za proizvodnju:</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1) celuloze iz drvne mase, slame ili sličnih vlaknastih materijala;</w:t>
      </w:r>
    </w:p>
    <w:p w:rsidR="006F3770" w:rsidRPr="006F3770" w:rsidRDefault="006F3770" w:rsidP="006F3770">
      <w:pPr>
        <w:spacing w:before="100" w:beforeAutospacing="1" w:after="100" w:afterAutospacing="1" w:line="240" w:lineRule="auto"/>
        <w:ind w:left="1134" w:hanging="142"/>
        <w:rPr>
          <w:rFonts w:ascii="Arial" w:eastAsia="Times New Roman" w:hAnsi="Arial" w:cs="Arial"/>
          <w:lang w:val="sr-Latn-RS"/>
        </w:rPr>
      </w:pPr>
      <w:r w:rsidRPr="006F3770">
        <w:rPr>
          <w:rFonts w:ascii="Arial" w:eastAsia="Times New Roman" w:hAnsi="Arial" w:cs="Arial"/>
          <w:lang w:val="sr-Latn-RS"/>
        </w:rPr>
        <w:t>2) papira i kartona sa proizvodnim kapacitetom koji prelazi 20 t/dan.</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19. Površinski kopovi mineralnih sirovina čija površina prelazi 10 ha, ili vađenja treseta kad površina terena za eksploataciju prelazi 100 ha.</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20. Izgradnja nadzemnih dalekovoda čija voltaža iznosi 220 kV ili više i čija dužina prelazi 15 km.</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21. Objekti namenjeni skladištenju nafte, petrohemijskih ili hemijskih proizvoda, zemnog gasa, zapaljivih tečnosti i goriva čiji kapacitet iznosi 100.000 t ili više.</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22. Aktivnosti i postrojenja za koje se izdaje integrisana dozvola u skladu sa Uredbom o vrstama aktivnosti i postrojenja za koje se izdaje integrisana dozvola ("Službeni glasnik RS", broj 84/05).</w:t>
      </w:r>
    </w:p>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___________________</w:t>
      </w:r>
      <w:r w:rsidRPr="006F3770">
        <w:rPr>
          <w:rFonts w:ascii="Arial" w:eastAsia="Times New Roman" w:hAnsi="Arial" w:cs="Arial"/>
          <w:lang w:val="sr-Latn-RS"/>
        </w:rPr>
        <w:br/>
      </w:r>
      <w:r w:rsidRPr="006F3770">
        <w:rPr>
          <w:rFonts w:ascii="Arial" w:eastAsia="Times New Roman" w:hAnsi="Arial" w:cs="Arial"/>
          <w:b/>
          <w:bCs/>
          <w:sz w:val="15"/>
          <w:vertAlign w:val="superscript"/>
          <w:lang w:val="sr-Latn-RS"/>
        </w:rPr>
        <w:t>1</w:t>
      </w:r>
      <w:r w:rsidRPr="006F3770">
        <w:rPr>
          <w:rFonts w:ascii="Arial" w:eastAsia="Times New Roman" w:hAnsi="Arial" w:cs="Arial"/>
          <w:i/>
          <w:iCs/>
          <w:lang w:val="sr-Latn-RS"/>
        </w:rPr>
        <w:t xml:space="preserve"> Nuklearni reaktori prestaju da budu ovakva postrojenja kada se celokupno nuklearno gorivo i drugi radioaktivno zagađeni elementi trajno uklone sa mesta na kome su postrojenja izgrađena.</w:t>
      </w:r>
      <w:r w:rsidRPr="006F3770">
        <w:rPr>
          <w:rFonts w:ascii="Arial" w:eastAsia="Times New Roman" w:hAnsi="Arial" w:cs="Arial"/>
          <w:i/>
          <w:iCs/>
          <w:lang w:val="sr-Latn-RS"/>
        </w:rPr>
        <w:br/>
      </w:r>
      <w:r w:rsidRPr="006F3770">
        <w:rPr>
          <w:rFonts w:ascii="Arial" w:eastAsia="Times New Roman" w:hAnsi="Arial" w:cs="Arial"/>
          <w:b/>
          <w:bCs/>
          <w:sz w:val="15"/>
          <w:vertAlign w:val="superscript"/>
          <w:lang w:val="sr-Latn-RS"/>
        </w:rPr>
        <w:t>2</w:t>
      </w:r>
      <w:r w:rsidRPr="006F3770">
        <w:rPr>
          <w:rFonts w:ascii="Arial" w:eastAsia="Times New Roman" w:hAnsi="Arial" w:cs="Arial"/>
          <w:i/>
          <w:iCs/>
          <w:lang w:val="sr-Latn-RS"/>
        </w:rPr>
        <w:t xml:space="preserve"> Pod "aerodromom" se podrazumevaju aerodromi koji odgovaraju definiciji predviđenoj Čikaškom konvencijom iz 1944. godine, kojom je osnovana Međunarodna organizacija civilnog vazduhoplovstva (Aneks 14).</w:t>
      </w:r>
      <w:r w:rsidRPr="006F3770">
        <w:rPr>
          <w:rFonts w:ascii="Arial" w:eastAsia="Times New Roman" w:hAnsi="Arial" w:cs="Arial"/>
          <w:i/>
          <w:iCs/>
          <w:lang w:val="sr-Latn-RS"/>
        </w:rPr>
        <w:br/>
      </w:r>
      <w:r w:rsidRPr="006F3770">
        <w:rPr>
          <w:rFonts w:ascii="Arial" w:eastAsia="Times New Roman" w:hAnsi="Arial" w:cs="Arial"/>
          <w:b/>
          <w:bCs/>
          <w:sz w:val="15"/>
          <w:vertAlign w:val="superscript"/>
          <w:lang w:val="sr-Latn-RS"/>
        </w:rPr>
        <w:t>3</w:t>
      </w:r>
      <w:r w:rsidRPr="006F3770">
        <w:rPr>
          <w:rFonts w:ascii="Arial" w:eastAsia="Times New Roman" w:hAnsi="Arial" w:cs="Arial"/>
          <w:i/>
          <w:iCs/>
          <w:lang w:val="sr-Latn-RS"/>
        </w:rPr>
        <w:t xml:space="preserve"> Postrojenja definisana u Aneksu IIA uz Direktivu 75/442/EEZ, pod zaglavljem D9, kao i deponije za odlaganje opasnog otpada na koje se primenjuje Direktiva 91/689/EEZ.</w:t>
      </w:r>
      <w:r w:rsidRPr="006F3770">
        <w:rPr>
          <w:rFonts w:ascii="Arial" w:eastAsia="Times New Roman" w:hAnsi="Arial" w:cs="Arial"/>
          <w:i/>
          <w:iCs/>
          <w:lang w:val="sr-Latn-RS"/>
        </w:rPr>
        <w:br/>
      </w:r>
      <w:r w:rsidRPr="006F3770">
        <w:rPr>
          <w:rFonts w:ascii="Arial" w:eastAsia="Times New Roman" w:hAnsi="Arial" w:cs="Arial"/>
          <w:b/>
          <w:bCs/>
          <w:sz w:val="15"/>
          <w:vertAlign w:val="superscript"/>
          <w:lang w:val="sr-Latn-RS"/>
        </w:rPr>
        <w:t>4</w:t>
      </w:r>
      <w:r w:rsidRPr="006F3770">
        <w:rPr>
          <w:rFonts w:ascii="Arial" w:eastAsia="Times New Roman" w:hAnsi="Arial" w:cs="Arial"/>
          <w:i/>
          <w:iCs/>
          <w:lang w:val="sr-Latn-RS"/>
        </w:rPr>
        <w:t xml:space="preserve"> Postrojenja definisana u Aneksu IIA uz Direktivu 75/442/EEZ pod zaglavljem D9.</w:t>
      </w:r>
    </w:p>
    <w:p w:rsidR="006F3770" w:rsidRPr="006F3770" w:rsidRDefault="006F3770" w:rsidP="006F3770">
      <w:pPr>
        <w:spacing w:after="0" w:line="240" w:lineRule="auto"/>
        <w:rPr>
          <w:rFonts w:ascii="Arial" w:eastAsia="Times New Roman" w:hAnsi="Arial" w:cs="Arial"/>
          <w:sz w:val="26"/>
          <w:szCs w:val="26"/>
          <w:lang w:val="sr-Latn-RS"/>
        </w:rPr>
      </w:pPr>
      <w:r w:rsidRPr="006F3770">
        <w:rPr>
          <w:rFonts w:ascii="Arial" w:eastAsia="Times New Roman" w:hAnsi="Arial" w:cs="Arial"/>
          <w:sz w:val="26"/>
          <w:szCs w:val="26"/>
          <w:lang w:val="sr-Latn-RS"/>
        </w:rPr>
        <w:t> </w:t>
      </w:r>
    </w:p>
    <w:p w:rsidR="006F3770" w:rsidRPr="006F3770" w:rsidRDefault="006F3770" w:rsidP="006F3770">
      <w:pPr>
        <w:spacing w:after="0" w:line="240" w:lineRule="auto"/>
        <w:jc w:val="center"/>
        <w:rPr>
          <w:rFonts w:ascii="Arial" w:eastAsia="Times New Roman" w:hAnsi="Arial" w:cs="Arial"/>
          <w:b/>
          <w:bCs/>
          <w:sz w:val="29"/>
          <w:szCs w:val="29"/>
          <w:lang w:val="sr-Latn-RS"/>
        </w:rPr>
      </w:pPr>
      <w:bookmarkStart w:id="6" w:name="str_2"/>
      <w:bookmarkEnd w:id="6"/>
      <w:r w:rsidRPr="006F3770">
        <w:rPr>
          <w:rFonts w:ascii="Arial" w:eastAsia="Times New Roman" w:hAnsi="Arial" w:cs="Arial"/>
          <w:b/>
          <w:bCs/>
          <w:sz w:val="29"/>
          <w:szCs w:val="29"/>
          <w:lang w:val="sr-Latn-RS"/>
        </w:rPr>
        <w:t>LISTA II</w:t>
      </w:r>
    </w:p>
    <w:p w:rsidR="006F3770" w:rsidRPr="006F3770" w:rsidRDefault="006F3770" w:rsidP="006F3770">
      <w:pPr>
        <w:spacing w:after="0" w:line="240" w:lineRule="auto"/>
        <w:jc w:val="center"/>
        <w:rPr>
          <w:rFonts w:ascii="Arial" w:eastAsia="Times New Roman" w:hAnsi="Arial" w:cs="Arial"/>
          <w:b/>
          <w:bCs/>
          <w:sz w:val="29"/>
          <w:szCs w:val="29"/>
          <w:lang w:val="sr-Latn-RS"/>
        </w:rPr>
      </w:pPr>
      <w:r w:rsidRPr="006F3770">
        <w:rPr>
          <w:rFonts w:ascii="Arial" w:eastAsia="Times New Roman" w:hAnsi="Arial" w:cs="Arial"/>
          <w:b/>
          <w:bCs/>
          <w:sz w:val="29"/>
          <w:szCs w:val="29"/>
          <w:lang w:val="sr-Latn-RS"/>
        </w:rPr>
        <w:t>Projekti za koje se može zahtevati procena uticaja na životnu sredinu</w:t>
      </w:r>
    </w:p>
    <w:p w:rsidR="006F3770" w:rsidRPr="006F3770" w:rsidRDefault="006F3770" w:rsidP="006F3770">
      <w:pPr>
        <w:spacing w:after="0" w:line="240" w:lineRule="auto"/>
        <w:rPr>
          <w:rFonts w:ascii="Arial" w:eastAsia="Times New Roman" w:hAnsi="Arial" w:cs="Arial"/>
          <w:sz w:val="26"/>
          <w:szCs w:val="26"/>
          <w:lang w:val="sr-Latn-RS"/>
        </w:rPr>
      </w:pPr>
      <w:r w:rsidRPr="006F3770">
        <w:rPr>
          <w:rFonts w:ascii="Arial" w:eastAsia="Times New Roman" w:hAnsi="Arial" w:cs="Arial"/>
          <w:sz w:val="26"/>
          <w:szCs w:val="26"/>
          <w:lang w:val="sr-Latn-RS"/>
        </w:rPr>
        <w:t xml:space="preserve">  </w:t>
      </w:r>
    </w:p>
    <w:tbl>
      <w:tblPr>
        <w:tblW w:w="5000" w:type="pct"/>
        <w:tblCellSpacing w:w="0" w:type="dxa"/>
        <w:tblBorders>
          <w:top w:val="single" w:sz="6"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6824"/>
        <w:gridCol w:w="2606"/>
      </w:tblGrid>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Projekat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Kriterijumi za odlučivanje o potrebi izrade studije o proceni uticaja na životnu sredinu </w:t>
            </w:r>
          </w:p>
        </w:tc>
      </w:tr>
      <w:tr w:rsidR="006F3770" w:rsidRPr="006F3770" w:rsidTr="006F3770">
        <w:trPr>
          <w:tblCellSpacing w:w="0" w:type="dxa"/>
        </w:trPr>
        <w:tc>
          <w:tcPr>
            <w:tcW w:w="0" w:type="auto"/>
            <w:gridSpan w:val="2"/>
            <w:tcBorders>
              <w:top w:val="single" w:sz="6" w:space="0" w:color="000000"/>
              <w:left w:val="single" w:sz="2" w:space="0" w:color="000000"/>
              <w:bottom w:val="single" w:sz="6" w:space="0" w:color="000000"/>
              <w:right w:val="single" w:sz="2" w:space="0" w:color="000000"/>
            </w:tcBorders>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 Poljoprivreda, akvakultura i šumarstvo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 Sistemi za navodnjavanje i odvodnjavanje - meliorativni sistemi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Područje na kome se prostiru je veće od 20 ha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2) Objekti za intenzivan uzgoj i držanje živine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Kapaciteta od 30.000 do 85.000 mesta za brojlere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Kapaciteta od 10.000 do 40.000 mesta za živinu (uključujući i lovnu perad)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3) Objekti za intenzivan uzgoj goveda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200 mesta za </w:t>
            </w:r>
            <w:r w:rsidRPr="006F3770">
              <w:rPr>
                <w:rFonts w:ascii="Arial" w:eastAsia="Times New Roman" w:hAnsi="Arial" w:cs="Arial"/>
                <w:lang w:val="sr-Latn-RS"/>
              </w:rPr>
              <w:lastRenderedPageBreak/>
              <w:t xml:space="preserve">goveda i više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lastRenderedPageBreak/>
              <w:t xml:space="preserve">4) Objekti za intenzivan uzgoj: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svinja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od 1.000 do 2.000 mesta za svinje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krmača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od 450 do 750 mesta za krmače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5) Objekti za intenzivan uzgoj životinja sa plemenitim krznom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preko 1000 mesta za životinje sa plemenitim krznom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6) Intenzivan uzgoj riba u bazenima i ribnjacima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za salmonide godišnje proizvodnje 10 t i više.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za ciprinide površine 5 ha i veće.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7) Krčenje šuma radi prelaženja na drugi tip korišćenja zemljišta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Područje na kome se prostire je veće od 10 ha </w:t>
            </w:r>
          </w:p>
        </w:tc>
      </w:tr>
      <w:tr w:rsidR="006F3770" w:rsidRPr="006F3770" w:rsidTr="006F3770">
        <w:trPr>
          <w:tblCellSpacing w:w="0" w:type="dxa"/>
        </w:trPr>
        <w:tc>
          <w:tcPr>
            <w:tcW w:w="0" w:type="auto"/>
            <w:gridSpan w:val="2"/>
            <w:tcBorders>
              <w:top w:val="single" w:sz="6" w:space="0" w:color="000000"/>
              <w:left w:val="single" w:sz="2" w:space="0" w:color="000000"/>
              <w:bottom w:val="single" w:sz="6" w:space="0" w:color="000000"/>
              <w:right w:val="single" w:sz="2" w:space="0" w:color="000000"/>
            </w:tcBorders>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2. Ekstraktivna industrija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 Površinski kopovi mineralnih sirovina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koji nisu navedeni u Listi 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2) Vađenja treseta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Površina terena za eksploataciju je od 20 ha do 100 ha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3) Podzemna eksploatacija mineralnih sirovina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4) Eksploatacija mineralnih sirovina postupkom rečnog ili jezerskog bagerovanja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5) Bušenje u cilju istraživanja i eksploatacije nafte i prirodnog gasa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gridSpan w:val="2"/>
            <w:tcBorders>
              <w:top w:val="single" w:sz="6" w:space="0" w:color="000000"/>
              <w:left w:val="single" w:sz="2" w:space="0" w:color="000000"/>
              <w:bottom w:val="single" w:sz="6" w:space="0" w:color="000000"/>
              <w:right w:val="single" w:sz="2" w:space="0" w:color="000000"/>
            </w:tcBorders>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3. Proizvodnja energije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 Postrojenja za proizvodnju električne energije, vodene pare, tople vode, tehnološke pare ili zagrejanih gasova (termoelektrane, toplane, gasne turbine, postrojenja sa motorom sa unutrašnjim sagorevanjem, ostali uređaji za sagorevanje), uključujući i parne kotlove, u postrojenjima za sagorevanje uz korišćenje svih vrsta goriva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Sa snagom od 1 do 50 MW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2) Postrojenje za proizvodnju energije iz hidropotencijala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Snage preko 2 MW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3) Uređaji za korišćenje snage vetra u cilju proizvodnje energije (farme vetrenjača)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Ukupne snage preko 10 MW </w:t>
            </w:r>
          </w:p>
        </w:tc>
      </w:tr>
      <w:tr w:rsidR="006F3770" w:rsidRPr="006F3770" w:rsidTr="006F3770">
        <w:trPr>
          <w:tblCellSpacing w:w="0" w:type="dxa"/>
        </w:trPr>
        <w:tc>
          <w:tcPr>
            <w:tcW w:w="0" w:type="auto"/>
            <w:gridSpan w:val="2"/>
            <w:tcBorders>
              <w:top w:val="single" w:sz="6" w:space="0" w:color="000000"/>
              <w:left w:val="single" w:sz="2" w:space="0" w:color="000000"/>
              <w:bottom w:val="single" w:sz="6" w:space="0" w:color="000000"/>
              <w:right w:val="single" w:sz="2" w:space="0" w:color="000000"/>
            </w:tcBorders>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4. Cevovodi sa pratećim objektima za transport gasa, nafte, hemikalija, vodene pare, vrele vode ili bez pratećih objekata, kao i vodovi za prenos električne energije nadzemnim dalekovodima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 Cevovodi za transport gasa, osim internih fabričkih cevovoda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Dužine preko 10 km i prečnika preko 150 mm.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2) Cevovodi za transport hemikalija, osim cevovoda koji predstavljaju deo postrojenja za rukovanje takvim hemikalijama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Dužine preko 2 km i prečnika preko 150 mm.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3) Cevovodi za transport pare ili tople vode iz postrojenja navedenih u tački 3.1 osim internih fabričkih cevovoda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Dužine preko 20 km.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4) Cevovodi za transport otpadnih voda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Dužine preko 10 km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5) Cevovodi za transport nafte i naftnih derivata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koji nisu navedeni u Listi 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lastRenderedPageBreak/>
              <w:t xml:space="preserve">6) Nadzemni dalekovodi visokog napona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Nominalnog napona od 110 kV ili više </w:t>
            </w:r>
          </w:p>
        </w:tc>
      </w:tr>
      <w:tr w:rsidR="006F3770" w:rsidRPr="006F3770" w:rsidTr="006F3770">
        <w:trPr>
          <w:tblCellSpacing w:w="0" w:type="dxa"/>
        </w:trPr>
        <w:tc>
          <w:tcPr>
            <w:tcW w:w="0" w:type="auto"/>
            <w:gridSpan w:val="2"/>
            <w:tcBorders>
              <w:top w:val="single" w:sz="6" w:space="0" w:color="000000"/>
              <w:left w:val="single" w:sz="2" w:space="0" w:color="000000"/>
              <w:bottom w:val="single" w:sz="6" w:space="0" w:color="000000"/>
              <w:right w:val="single" w:sz="2" w:space="0" w:color="000000"/>
            </w:tcBorders>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5. Skladištenje zapaljivih tečnosti i gasova, zemnog gasa, fosilnih goriva, nafte i naftnih derivata i hemikalija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 Skladištenje zapaljivih gasova ili proizvoda koji sadrže zapaljive gasove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Ukupnog kapaciteta preko 50 m</w:t>
            </w:r>
            <w:r w:rsidRPr="006F3770">
              <w:rPr>
                <w:rFonts w:ascii="Arial" w:eastAsia="Times New Roman" w:hAnsi="Arial" w:cs="Arial"/>
                <w:sz w:val="15"/>
                <w:vertAlign w:val="superscript"/>
                <w:lang w:val="sr-Latn-RS"/>
              </w:rPr>
              <w:t>3</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2) Skladištenje zapaljivih tečnosti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Ukupnog kapaciteta preko 500 m</w:t>
            </w:r>
            <w:r w:rsidRPr="006F3770">
              <w:rPr>
                <w:rFonts w:ascii="Arial" w:eastAsia="Times New Roman" w:hAnsi="Arial" w:cs="Arial"/>
                <w:sz w:val="15"/>
                <w:vertAlign w:val="superscript"/>
                <w:lang w:val="sr-Latn-RS"/>
              </w:rPr>
              <w:t>3</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3) Skladištenje hlora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4) Skladištenje sumpor-dioksida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5) Skladištenje amonijum nitrata ili supstanci koje u sebi sadrže amonijum nitrat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6) Skladištenje amonijaka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7) Skladištenje ostalih hemikalija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preko 10 t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8) Površinsko (nadzemno) skladištenje zemnog gasa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Kapaciteta preko 50 m</w:t>
            </w:r>
            <w:r w:rsidRPr="006F3770">
              <w:rPr>
                <w:rFonts w:ascii="Arial" w:eastAsia="Times New Roman" w:hAnsi="Arial" w:cs="Arial"/>
                <w:sz w:val="15"/>
                <w:vertAlign w:val="superscript"/>
                <w:lang w:val="sr-Latn-RS"/>
              </w:rPr>
              <w:t>3</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9) Skladištenje uglja ili lignita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preko 20.000 t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10) Skladištenje nafte ili naftnih derivata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Kapaciteta preko 5.000 m</w:t>
            </w:r>
            <w:r w:rsidRPr="006F3770">
              <w:rPr>
                <w:rFonts w:ascii="Arial" w:eastAsia="Times New Roman" w:hAnsi="Arial" w:cs="Arial"/>
                <w:sz w:val="15"/>
                <w:vertAlign w:val="superscript"/>
                <w:lang w:val="sr-Latn-RS"/>
              </w:rPr>
              <w:t>3</w:t>
            </w:r>
          </w:p>
        </w:tc>
      </w:tr>
      <w:tr w:rsidR="006F3770" w:rsidRPr="006F3770" w:rsidTr="006F3770">
        <w:trPr>
          <w:tblCellSpacing w:w="0" w:type="dxa"/>
        </w:trPr>
        <w:tc>
          <w:tcPr>
            <w:tcW w:w="0" w:type="auto"/>
            <w:gridSpan w:val="2"/>
            <w:tcBorders>
              <w:top w:val="single" w:sz="6" w:space="0" w:color="000000"/>
              <w:left w:val="single" w:sz="2" w:space="0" w:color="000000"/>
              <w:bottom w:val="single" w:sz="6" w:space="0" w:color="000000"/>
              <w:right w:val="single" w:sz="2" w:space="0" w:color="000000"/>
            </w:tcBorders>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6. Proizvodnja i prerada metala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 Postrojenja za proizvodnju sirovog gvožđa ili čelika (primarno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koji nisu navedeni u Listi 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ili sekundarno topljenje) uključujući kontinualni postupak livenja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2) Postrojenja za preradu u crnoj metalurgiji: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koji nisu navedeni u Listi 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vruće valjaonice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kovačnice sa jednim ili više čekića ili maljeva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za nanošenje površinskih zaštitnih metalnih slojeva u rastopljenom stanju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3) Livnice crne metalurgije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koji nisu navedeni u Listi 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4) Postrojenja za topljenje uključujući i izradu legura od obojenih metala, kao i izradu korisnih nusproizvoda (rafinacija, livenje, itd.)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koji nisu navedeni u Listi 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5) Postrojenja za površinsku obradu metala i plastičnih materijala korišćenjem elektrolitičkih ili hemijskih postupaka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koji nisu navedeni u Listi 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6) Postrojenja za proizvodnju ili sklapanje motornih vozila i proizvodnju motora za motorna vozila (automobili, autobusi, teretna vozila, poljoprivredna, građevinska i rudarska mehanizacija kao i druga vozila na motorni pogon)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7) Postrojenja za proizvodnju baterija i akumulatora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8) Brodogradilišta (proizvodnja i/ili popravka brodskih trupova ili motora ili delova broda)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Dužine broda 20 m ili više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9) Proizvodnja i popravka vazduhoplova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sa izuzetkom radova na redovnom održavanju vazduhoplova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lastRenderedPageBreak/>
              <w:t xml:space="preserve">10) Proizvodnja šinskih vozila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11) Postrojenja za eksplozivno deformisanje metala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12) Postrojenja za pripremu, obogaćivanje, pečenje i sinterovanje metalnih ruda, kao i iskorišćavanje jalovine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gridSpan w:val="2"/>
            <w:tcBorders>
              <w:top w:val="single" w:sz="6" w:space="0" w:color="000000"/>
              <w:left w:val="single" w:sz="2" w:space="0" w:color="000000"/>
              <w:bottom w:val="single" w:sz="6" w:space="0" w:color="000000"/>
              <w:right w:val="single" w:sz="2" w:space="0" w:color="000000"/>
            </w:tcBorders>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7. Industrijska prerada minerala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 Postrojenja za suvu destilaciju uglja (plinare, tinjajuće peći i dr.)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2) Postrojenja za proizvodnju cementnog klinkera, cementa i kreča u rotacionim ili drugim pećima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koji nisu navedeni u Listi 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3) Postrojenja za proizvodnju stakla i staklenih vlakana, uključujući proizvodnju stakla koje se dobija preradom starog stakla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do 20 t na dan*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4) Postrojenja za topljenje mineralnih materija, uključujući i proizvodnju mineralnih vlakana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do 20 t na dan*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5) Postrojenja za proizvodnju keramičkih proizvoda pečenjem (pločice, sanitarna galanterija, kućni pribor od keramike i porcelana i slično) kao i proizvodnja građevinskog materijala pečenjem (crep, cigla i slično)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od 40 t do 75 t na dan*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6) Postrojenja za proizvodnju asfaltnih mešavina uključujući mobilana postrojenja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preko 50 t na sat </w:t>
            </w:r>
          </w:p>
        </w:tc>
      </w:tr>
      <w:tr w:rsidR="006F3770" w:rsidRPr="006F3770" w:rsidTr="006F3770">
        <w:trPr>
          <w:tblCellSpacing w:w="0" w:type="dxa"/>
        </w:trPr>
        <w:tc>
          <w:tcPr>
            <w:tcW w:w="0" w:type="auto"/>
            <w:gridSpan w:val="2"/>
            <w:tcBorders>
              <w:top w:val="single" w:sz="6" w:space="0" w:color="000000"/>
              <w:left w:val="single" w:sz="2" w:space="0" w:color="000000"/>
              <w:bottom w:val="single" w:sz="6" w:space="0" w:color="000000"/>
              <w:right w:val="single" w:sz="2" w:space="0" w:color="000000"/>
            </w:tcBorders>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8. Hemijska industrija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 Obrada poluproizvoda i proizvodnja hemikalija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koji nisu navedeni u Listi 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2) Samostalna postrojenja za proizvodnju, preradu, formiranje i pakovanje baznih organskih i neorganskih hemikalija, veštačkih đubriva na bazi fosfora, azota i kalijuma (prosta i složena hemijska đubriva) proizvoda za zaštitu bilja, kao i biocida, farmaceutskih i kozmetičkih proizvoda, plastičnih masa, eksploziva, boja i lakova, deterdženata i sredstava za održavanje higijene i čišćenje i dr.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koji nisu navedeni u Listi 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3) Postrojenje za proizvodnju mineralnih ulja i maziva (destilacijom, rafinacijom ili na drugi način)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gridSpan w:val="2"/>
            <w:tcBorders>
              <w:top w:val="single" w:sz="6" w:space="0" w:color="000000"/>
              <w:left w:val="single" w:sz="2" w:space="0" w:color="000000"/>
              <w:bottom w:val="single" w:sz="6" w:space="0" w:color="000000"/>
              <w:right w:val="single" w:sz="2" w:space="0" w:color="000000"/>
            </w:tcBorders>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9. Prehrambena industrija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 Postrojenja za proizvodnju, tretman, preradu ili obradu proizvoda iz: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sirovina životinjskog porekla (osim mleka)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Kapaciteta od 10 t do 75 t na dan*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sirovina biljnog porekla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Kapaciteta od 30 t do 300 t na dan*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2) Postrojenja za preradu, pakovanje i konzerviranje mesa, povrća i voća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preko 10 t na dan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3) Postrojenja za proizvodnju hrane za životinje osim mešaona stočne hrane za sopstvene potrebe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preko 5 t na dan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4) Postrojenja za obradu, tretman i preradu mleka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od 5.000 litara do 200.000 litara na dan*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5) Postrojenja za zahvatanje i preradu podzemnih voda, punjenje i pakovanje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6) Postrojenja za proizvodnju piva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preko </w:t>
            </w:r>
            <w:r w:rsidRPr="006F3770">
              <w:rPr>
                <w:rFonts w:ascii="Arial" w:eastAsia="Times New Roman" w:hAnsi="Arial" w:cs="Arial"/>
                <w:lang w:val="sr-Latn-RS"/>
              </w:rPr>
              <w:lastRenderedPageBreak/>
              <w:t xml:space="preserve">3.000.000 litara godišnje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lastRenderedPageBreak/>
              <w:t xml:space="preserve">7) Postrojenja za proizvodnju slada i kvasca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preko 200 t godišnje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8) Postrojenja za proizvodnju slatkiša ili sirupa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preko 5.000 t godišnje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9) Postrojenja za proizvodnju: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alkoholnih pića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preko 10.000 litara dnevno za alkoholna pića;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bezalkoholnih pića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preko 20.000 litara dnevno za bezalkoholna pića;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sirćeta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preko 10.000 litara dnevno za sirće.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10) Postrojenja za klanje životinja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od 3 t do 50 t na dan*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11) Postrojenja za preradu ribe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preko 1 t dnevno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12) Postrojenja za proizvodnju ribljeg brašna ili ribljeg ulja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13) Postrojenja za proizvodnju i preradu skroba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preko 100 t dnevno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14) Postrojenja za proizvodnju ili rafiniranje šećera korišćenjem šećerne repe ili sirovog šećera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15) Mlinovi i sušare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preko 200 t dnevno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16) Hladnjače (bez pogona za preradu sirovine)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preko 10 t rashladnog fluida u sistemu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17) Proizvodnja melase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gridSpan w:val="2"/>
            <w:tcBorders>
              <w:top w:val="single" w:sz="6" w:space="0" w:color="000000"/>
              <w:left w:val="single" w:sz="2" w:space="0" w:color="000000"/>
              <w:bottom w:val="single" w:sz="6" w:space="0" w:color="000000"/>
              <w:right w:val="single" w:sz="2" w:space="0" w:color="000000"/>
            </w:tcBorders>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10. Industrija tekstila, kože, drveta i papira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 Postrojenja za proizvodnju papira i kartona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koji nisu navedeni u Listi 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2) Postrojenja za proizvodnju proizvoda od celuloze (iverica, lesonit, medijapan i šperploča)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3) Postrojenja za preradu, obradu i oplemenjivanje drveta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4) Postrojenja za predtretman vlakana, tkanina i papira (pranje, beljenje, mercerizacija, štampanje, hemijski tretman) ili bojenje vlakana ili tkanina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do 10 t na dan*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5) Postrojenja za štavljenje i obradu kože</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do 12 t na dan* </w:t>
            </w:r>
          </w:p>
        </w:tc>
      </w:tr>
      <w:tr w:rsidR="006F3770" w:rsidRPr="006F3770" w:rsidTr="006F3770">
        <w:trPr>
          <w:tblCellSpacing w:w="0" w:type="dxa"/>
        </w:trPr>
        <w:tc>
          <w:tcPr>
            <w:tcW w:w="0" w:type="auto"/>
            <w:gridSpan w:val="2"/>
            <w:tcBorders>
              <w:top w:val="single" w:sz="6" w:space="0" w:color="000000"/>
              <w:left w:val="single" w:sz="2" w:space="0" w:color="000000"/>
              <w:bottom w:val="single" w:sz="6" w:space="0" w:color="000000"/>
              <w:right w:val="single" w:sz="2" w:space="0" w:color="000000"/>
            </w:tcBorders>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11. Gumarska industrija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 Postrojenja za proizvodnju i preradu gume i kaučuka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2) Postrojenja za vulkaniziranje prirodnog ili sintetičkog kaučuka uz korišćenje sumpora ili sumpornih jedinjenja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gridSpan w:val="2"/>
            <w:tcBorders>
              <w:top w:val="single" w:sz="6" w:space="0" w:color="000000"/>
              <w:left w:val="single" w:sz="2" w:space="0" w:color="000000"/>
              <w:bottom w:val="single" w:sz="6" w:space="0" w:color="000000"/>
              <w:right w:val="single" w:sz="2" w:space="0" w:color="000000"/>
            </w:tcBorders>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lastRenderedPageBreak/>
              <w:t xml:space="preserve">12. Infrastrukturni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 Projekti urbanog razvoja: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trgovački, poslovni i prodajni centri;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Ukupne korisne površine veće od 60.000 m</w:t>
            </w:r>
            <w:r w:rsidRPr="006F3770">
              <w:rPr>
                <w:rFonts w:ascii="Arial" w:eastAsia="Times New Roman" w:hAnsi="Arial" w:cs="Arial"/>
                <w:sz w:val="15"/>
                <w:vertAlign w:val="superscript"/>
                <w:lang w:val="sr-Latn-RS"/>
              </w:rPr>
              <w:t>2</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stadioni sa pratećim objektima;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Kapaciteta preko 25.000 posetilaca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nadzemni ili podzemni parking.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Kapaciteta 1.000 mesta ili više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2) Železničke pruge uključujući pripadajuće objekte i uređaje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koji nisu navedeni u Listi 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3) Uspinjače i žičare, osim skijaških žičara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4) Aerodromi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koji nisu navedeni u Listi 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5) Regionalni putevi uključujući pripadajuće objekte, osim pratećih sadržaja puta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6) Unutrašnji plovni putevi na kojima ne važi međunarodni ili međudržavni režim plovidbe, kao i luke i pristaništa koje se nalaze na unutrašnjem plovnom putu na kojem ne važi međunarodni ili međudržavni režim plovidbe, uključujući i luke, odnosno pristaništa namenjene za ukrcavanje i iskrcavanje putnika ili robe.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7) Kanali, nasipi i drugi objekti za odbranu od poplava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8) Brane i drugi objekti namenjeni zadržavanju ili akumulaciji vode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9) Objekti za javno vodosnabdevanje - izvorišta vodosnabdevanja sa vodozahvatima, transport vode za piće, postrojenja za preradu vode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10) Hidrotehnički objekti za prebacivanje voda između rečnih slivova (izuzimajući prenos vode za piće cevovodima)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11) Trafo-stanice i rasklopna postrojenja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Napona 220 kV ili više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12) Telekomunikacioni predajnici radiorelejni sistemi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Efektivne izračene snage više od 250 W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13) Telekomunikacioni objekti mobilne telefonije (bazne radio stanice)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Efektivne izračene snage više od 250 W </w:t>
            </w:r>
          </w:p>
        </w:tc>
      </w:tr>
      <w:tr w:rsidR="006F3770" w:rsidRPr="006F3770" w:rsidTr="006F3770">
        <w:trPr>
          <w:tblCellSpacing w:w="0" w:type="dxa"/>
        </w:trPr>
        <w:tc>
          <w:tcPr>
            <w:tcW w:w="0" w:type="auto"/>
            <w:gridSpan w:val="2"/>
            <w:tcBorders>
              <w:top w:val="single" w:sz="6" w:space="0" w:color="000000"/>
              <w:left w:val="single" w:sz="2" w:space="0" w:color="000000"/>
              <w:bottom w:val="single" w:sz="6" w:space="0" w:color="000000"/>
              <w:right w:val="single" w:sz="2" w:space="0" w:color="000000"/>
            </w:tcBorders>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13. Turizam i rekreacija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 Skijaške staze, skijaški liftovi i žičare sa pratećim objektima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Površina obuhvata se prostire na više od 5 ha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2) Marine sa pratećim objektima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Područje zatvorene vodene površine prelazi 1.000 m</w:t>
            </w:r>
            <w:r w:rsidRPr="006F3770">
              <w:rPr>
                <w:rFonts w:ascii="Arial" w:eastAsia="Times New Roman" w:hAnsi="Arial" w:cs="Arial"/>
                <w:sz w:val="15"/>
                <w:vertAlign w:val="superscript"/>
                <w:lang w:val="sr-Latn-RS"/>
              </w:rPr>
              <w:t>2</w:t>
            </w:r>
            <w:r w:rsidRPr="006F3770">
              <w:rPr>
                <w:rFonts w:ascii="Arial" w:eastAsia="Times New Roman" w:hAnsi="Arial" w:cs="Arial"/>
                <w:lang w:val="sr-Latn-RS"/>
              </w:rPr>
              <w:t xml:space="preserve"> ili poseduje najmanje 100 vezova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3) Turistička naselja i hotelski kompleksi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1500 kreveta ili više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4) Namenski parkovi (zabavni, sportski, rekreativni, tereni za golf i dr.), uključujući zoo vrtove i safari parkove, sa pratećim objektima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Ukupne površine više od 20 ha </w:t>
            </w:r>
          </w:p>
        </w:tc>
      </w:tr>
      <w:tr w:rsidR="006F3770" w:rsidRPr="006F3770" w:rsidTr="006F3770">
        <w:trPr>
          <w:tblCellSpacing w:w="0" w:type="dxa"/>
        </w:trPr>
        <w:tc>
          <w:tcPr>
            <w:tcW w:w="0" w:type="auto"/>
            <w:gridSpan w:val="2"/>
            <w:tcBorders>
              <w:top w:val="single" w:sz="6" w:space="0" w:color="000000"/>
              <w:left w:val="single" w:sz="2" w:space="0" w:color="000000"/>
              <w:bottom w:val="single" w:sz="6" w:space="0" w:color="000000"/>
              <w:right w:val="single" w:sz="2" w:space="0" w:color="000000"/>
            </w:tcBorders>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14. Ostali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 Automobilske staze za trke ili ispitivanje motornih vozila sa </w:t>
            </w:r>
            <w:r w:rsidRPr="006F3770">
              <w:rPr>
                <w:rFonts w:ascii="Arial" w:eastAsia="Times New Roman" w:hAnsi="Arial" w:cs="Arial"/>
                <w:lang w:val="sr-Latn-RS"/>
              </w:rPr>
              <w:lastRenderedPageBreak/>
              <w:t xml:space="preserve">pratećim objektima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lastRenderedPageBreak/>
              <w:t xml:space="preserve">Područje na kome se </w:t>
            </w:r>
            <w:r w:rsidRPr="006F3770">
              <w:rPr>
                <w:rFonts w:ascii="Arial" w:eastAsia="Times New Roman" w:hAnsi="Arial" w:cs="Arial"/>
                <w:lang w:val="sr-Latn-RS"/>
              </w:rPr>
              <w:lastRenderedPageBreak/>
              <w:t xml:space="preserve">prostire prelazi 10 ha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lastRenderedPageBreak/>
              <w:t xml:space="preserve">2) Postrojenja za upravljanje otpadom: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odlagališta i skladišta opasnog otpada;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Kapaciteta do 10 t na dan*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odlagališta i skladišta otpada koji nije opasan;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Kapaciteta do 50 t na dan*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tretman otpada koji nije opasan;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Svi projekti koji nisu navedeni u Listi 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deponije komunalnog otpada;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Kapaciteta do 10 t na dan ili ukupnog kapaciteta do 25.000 t*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tretman otpada mehaničkim i/ili biološkim postupcima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Mobilna postrojenja za tretman otpada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3) Postrojenja za prečišćavanje otpadnih voda: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komunalne otpadne vode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Svi projekti koji nisu navedeni u Listi 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tehnološke otpadne vode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4) Postrojenje i uređaji za testiranje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motora sa unutrašnjim sagorevanjem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sa toplotnom energijom većom od 10 MW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gasnih turbina ili mlaznih motora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sa toplotnom energijom većom od 100 MW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5) Postrojenja za proizvodnju veštačkih mineralnih vlakana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6) Postrojenja za briketiranje uglja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7) Postrojenja za proizvodnju betona - betonjerke, uključujući i mobilna postrojenja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preko 30 t na sat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8) Postrojenja za reciklažu, regeneraciju ili uništavanje eksplozivnih materija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9) Postrojenja za odlaganje, preradu ili uništavanje životinjskih leševa ili otpadaka životinjskog porekla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od 1 t do 10 t na dan*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10) Postrojenja za preradu duvana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Kapaciteta preko 10.000 t godišnje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11) Postrojenja za proizvodnju bio gasa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12) Groblja i krematorijumi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Za naselja od 40.000 stanovnika i više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13) Objekti za snabdevanje motornih vozila gorivom (benzinske pumpe)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Skladišnog kapaciteta: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preko 100 m</w:t>
            </w:r>
            <w:r w:rsidRPr="006F3770">
              <w:rPr>
                <w:rFonts w:ascii="Arial" w:eastAsia="Times New Roman" w:hAnsi="Arial" w:cs="Arial"/>
                <w:sz w:val="15"/>
                <w:vertAlign w:val="superscript"/>
                <w:lang w:val="sr-Latn-RS"/>
              </w:rPr>
              <w:t>3</w:t>
            </w:r>
            <w:r w:rsidRPr="006F3770">
              <w:rPr>
                <w:rFonts w:ascii="Arial" w:eastAsia="Times New Roman" w:hAnsi="Arial" w:cs="Arial"/>
                <w:lang w:val="sr-Latn-RS"/>
              </w:rPr>
              <w:t xml:space="preserve"> u naseljima </w:t>
            </w:r>
          </w:p>
        </w:tc>
      </w:tr>
      <w:tr w:rsidR="006F3770" w:rsidRPr="006F3770" w:rsidTr="006F3770">
        <w:trPr>
          <w:tblCellSpacing w:w="0" w:type="dxa"/>
        </w:trPr>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  </w:t>
            </w:r>
          </w:p>
        </w:tc>
        <w:tc>
          <w:tcPr>
            <w:tcW w:w="0" w:type="auto"/>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preko 500 m</w:t>
            </w:r>
            <w:r w:rsidRPr="006F3770">
              <w:rPr>
                <w:rFonts w:ascii="Arial" w:eastAsia="Times New Roman" w:hAnsi="Arial" w:cs="Arial"/>
                <w:sz w:val="15"/>
                <w:vertAlign w:val="superscript"/>
                <w:lang w:val="sr-Latn-RS"/>
              </w:rPr>
              <w:t>3</w:t>
            </w:r>
            <w:r w:rsidRPr="006F3770">
              <w:rPr>
                <w:rFonts w:ascii="Arial" w:eastAsia="Times New Roman" w:hAnsi="Arial" w:cs="Arial"/>
                <w:lang w:val="sr-Latn-RS"/>
              </w:rPr>
              <w:t xml:space="preserve"> u nenaseljenim područjima </w:t>
            </w:r>
          </w:p>
        </w:tc>
      </w:tr>
      <w:tr w:rsidR="006F3770" w:rsidRPr="006F3770" w:rsidTr="006F3770">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15. Projekti navedeni u Listi I i Listi II koji se realizuju u zaštićenom prirodnom dobru i zaštićenoj okolini nepokretnog kulturnog dobra, kao i u drugim područjima posebne namene.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t xml:space="preserve">Svi projekti </w:t>
            </w:r>
          </w:p>
        </w:tc>
      </w:tr>
      <w:tr w:rsidR="006F3770" w:rsidRPr="006F3770" w:rsidTr="006F3770">
        <w:trPr>
          <w:tblCellSpacing w:w="0" w:type="dxa"/>
        </w:trPr>
        <w:tc>
          <w:tcPr>
            <w:tcW w:w="0" w:type="auto"/>
            <w:gridSpan w:val="2"/>
            <w:vAlign w:val="center"/>
            <w:hideMark/>
          </w:tcPr>
          <w:p w:rsidR="006F3770" w:rsidRPr="006F3770" w:rsidRDefault="006F3770" w:rsidP="006F3770">
            <w:pPr>
              <w:spacing w:before="100" w:beforeAutospacing="1" w:after="100" w:afterAutospacing="1" w:line="240" w:lineRule="auto"/>
              <w:rPr>
                <w:rFonts w:ascii="Arial" w:eastAsia="Times New Roman" w:hAnsi="Arial" w:cs="Arial"/>
                <w:lang w:val="sr-Latn-RS"/>
              </w:rPr>
            </w:pPr>
            <w:r w:rsidRPr="006F3770">
              <w:rPr>
                <w:rFonts w:ascii="Arial" w:eastAsia="Times New Roman" w:hAnsi="Arial" w:cs="Arial"/>
                <w:lang w:val="sr-Latn-RS"/>
              </w:rPr>
              <w:lastRenderedPageBreak/>
              <w:t>* Napomena: Na projekte posebno označene u Listi II, čiji kapaciteti prevazilaze kapacitete date u koloni br. 2 (Kriterijumi za odlučivanje o potrebi izrade studije o proceni uticaja na životnu sredinu), primenjuje se tačka br. 22 sa Liste I ove uredbe.</w:t>
            </w:r>
          </w:p>
        </w:tc>
      </w:tr>
    </w:tbl>
    <w:p w:rsidR="00726675" w:rsidRDefault="00726675"/>
    <w:sectPr w:rsidR="00726675" w:rsidSect="0072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70"/>
    <w:rsid w:val="004455B8"/>
    <w:rsid w:val="006F3770"/>
    <w:rsid w:val="0072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75"/>
    <w:pPr>
      <w:spacing w:after="200" w:line="276" w:lineRule="auto"/>
    </w:pPr>
    <w:rPr>
      <w:sz w:val="22"/>
      <w:szCs w:val="22"/>
    </w:rPr>
  </w:style>
  <w:style w:type="paragraph" w:styleId="Naslov6">
    <w:name w:val="heading 6"/>
    <w:basedOn w:val="Normal"/>
    <w:link w:val="Naslov6Char"/>
    <w:uiPriority w:val="9"/>
    <w:qFormat/>
    <w:rsid w:val="006F3770"/>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6F3770"/>
    <w:rPr>
      <w:rFonts w:ascii="Times New Roman" w:eastAsia="Times New Roman" w:hAnsi="Times New Roman" w:cs="Times New Roman"/>
      <w:b/>
      <w:bCs/>
      <w:sz w:val="15"/>
      <w:szCs w:val="15"/>
    </w:rPr>
  </w:style>
  <w:style w:type="paragraph" w:customStyle="1" w:styleId="clan">
    <w:name w:val="clan"/>
    <w:basedOn w:val="Normal"/>
    <w:rsid w:val="006F3770"/>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6F3770"/>
    <w:pPr>
      <w:spacing w:before="100" w:beforeAutospacing="1" w:after="100" w:afterAutospacing="1" w:line="240" w:lineRule="auto"/>
    </w:pPr>
    <w:rPr>
      <w:rFonts w:ascii="Arial" w:eastAsia="Times New Roman" w:hAnsi="Arial" w:cs="Arial"/>
    </w:rPr>
  </w:style>
  <w:style w:type="paragraph" w:customStyle="1" w:styleId="normaluvuceni">
    <w:name w:val="normal_uvuceni"/>
    <w:basedOn w:val="Normal"/>
    <w:rsid w:val="006F3770"/>
    <w:pPr>
      <w:spacing w:before="100" w:beforeAutospacing="1" w:after="100" w:afterAutospacing="1" w:line="240" w:lineRule="auto"/>
      <w:ind w:left="1134" w:hanging="142"/>
    </w:pPr>
    <w:rPr>
      <w:rFonts w:ascii="Arial" w:eastAsia="Times New Roman" w:hAnsi="Arial" w:cs="Arial"/>
    </w:rPr>
  </w:style>
  <w:style w:type="paragraph" w:customStyle="1" w:styleId="podnaslovpropisa">
    <w:name w:val="podnaslovpropisa"/>
    <w:basedOn w:val="Normal"/>
    <w:rsid w:val="006F3770"/>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6F3770"/>
    <w:pPr>
      <w:spacing w:after="0" w:line="240" w:lineRule="auto"/>
    </w:pPr>
    <w:rPr>
      <w:rFonts w:ascii="Arial" w:eastAsia="Times New Roman" w:hAnsi="Arial" w:cs="Arial"/>
      <w:sz w:val="26"/>
      <w:szCs w:val="26"/>
    </w:rPr>
  </w:style>
  <w:style w:type="paragraph" w:customStyle="1" w:styleId="wyq080---odsek">
    <w:name w:val="wyq080---odsek"/>
    <w:basedOn w:val="Normal"/>
    <w:rsid w:val="006F3770"/>
    <w:pPr>
      <w:spacing w:after="0" w:line="240" w:lineRule="auto"/>
      <w:jc w:val="center"/>
    </w:pPr>
    <w:rPr>
      <w:rFonts w:ascii="Arial" w:eastAsia="Times New Roman" w:hAnsi="Arial" w:cs="Arial"/>
      <w:b/>
      <w:bCs/>
      <w:sz w:val="29"/>
      <w:szCs w:val="29"/>
    </w:rPr>
  </w:style>
  <w:style w:type="character" w:customStyle="1" w:styleId="stepen1">
    <w:name w:val="stepen1"/>
    <w:basedOn w:val="Podrazumevanifontpasusa"/>
    <w:rsid w:val="006F3770"/>
    <w:rPr>
      <w:sz w:val="15"/>
      <w:szCs w:val="15"/>
      <w:vertAlign w:val="superscript"/>
    </w:rPr>
  </w:style>
  <w:style w:type="paragraph" w:styleId="Naslov">
    <w:name w:val="Title"/>
    <w:basedOn w:val="Normal"/>
    <w:next w:val="Normal"/>
    <w:link w:val="NaslovChar"/>
    <w:uiPriority w:val="10"/>
    <w:qFormat/>
    <w:rsid w:val="004455B8"/>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4455B8"/>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4455B8"/>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4455B8"/>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75"/>
    <w:pPr>
      <w:spacing w:after="200" w:line="276" w:lineRule="auto"/>
    </w:pPr>
    <w:rPr>
      <w:sz w:val="22"/>
      <w:szCs w:val="22"/>
    </w:rPr>
  </w:style>
  <w:style w:type="paragraph" w:styleId="Naslov6">
    <w:name w:val="heading 6"/>
    <w:basedOn w:val="Normal"/>
    <w:link w:val="Naslov6Char"/>
    <w:uiPriority w:val="9"/>
    <w:qFormat/>
    <w:rsid w:val="006F3770"/>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6F3770"/>
    <w:rPr>
      <w:rFonts w:ascii="Times New Roman" w:eastAsia="Times New Roman" w:hAnsi="Times New Roman" w:cs="Times New Roman"/>
      <w:b/>
      <w:bCs/>
      <w:sz w:val="15"/>
      <w:szCs w:val="15"/>
    </w:rPr>
  </w:style>
  <w:style w:type="paragraph" w:customStyle="1" w:styleId="clan">
    <w:name w:val="clan"/>
    <w:basedOn w:val="Normal"/>
    <w:rsid w:val="006F3770"/>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6F3770"/>
    <w:pPr>
      <w:spacing w:before="100" w:beforeAutospacing="1" w:after="100" w:afterAutospacing="1" w:line="240" w:lineRule="auto"/>
    </w:pPr>
    <w:rPr>
      <w:rFonts w:ascii="Arial" w:eastAsia="Times New Roman" w:hAnsi="Arial" w:cs="Arial"/>
    </w:rPr>
  </w:style>
  <w:style w:type="paragraph" w:customStyle="1" w:styleId="normaluvuceni">
    <w:name w:val="normal_uvuceni"/>
    <w:basedOn w:val="Normal"/>
    <w:rsid w:val="006F3770"/>
    <w:pPr>
      <w:spacing w:before="100" w:beforeAutospacing="1" w:after="100" w:afterAutospacing="1" w:line="240" w:lineRule="auto"/>
      <w:ind w:left="1134" w:hanging="142"/>
    </w:pPr>
    <w:rPr>
      <w:rFonts w:ascii="Arial" w:eastAsia="Times New Roman" w:hAnsi="Arial" w:cs="Arial"/>
    </w:rPr>
  </w:style>
  <w:style w:type="paragraph" w:customStyle="1" w:styleId="podnaslovpropisa">
    <w:name w:val="podnaslovpropisa"/>
    <w:basedOn w:val="Normal"/>
    <w:rsid w:val="006F3770"/>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6F3770"/>
    <w:pPr>
      <w:spacing w:after="0" w:line="240" w:lineRule="auto"/>
    </w:pPr>
    <w:rPr>
      <w:rFonts w:ascii="Arial" w:eastAsia="Times New Roman" w:hAnsi="Arial" w:cs="Arial"/>
      <w:sz w:val="26"/>
      <w:szCs w:val="26"/>
    </w:rPr>
  </w:style>
  <w:style w:type="paragraph" w:customStyle="1" w:styleId="wyq080---odsek">
    <w:name w:val="wyq080---odsek"/>
    <w:basedOn w:val="Normal"/>
    <w:rsid w:val="006F3770"/>
    <w:pPr>
      <w:spacing w:after="0" w:line="240" w:lineRule="auto"/>
      <w:jc w:val="center"/>
    </w:pPr>
    <w:rPr>
      <w:rFonts w:ascii="Arial" w:eastAsia="Times New Roman" w:hAnsi="Arial" w:cs="Arial"/>
      <w:b/>
      <w:bCs/>
      <w:sz w:val="29"/>
      <w:szCs w:val="29"/>
    </w:rPr>
  </w:style>
  <w:style w:type="character" w:customStyle="1" w:styleId="stepen1">
    <w:name w:val="stepen1"/>
    <w:basedOn w:val="Podrazumevanifontpasusa"/>
    <w:rsid w:val="006F3770"/>
    <w:rPr>
      <w:sz w:val="15"/>
      <w:szCs w:val="15"/>
      <w:vertAlign w:val="superscript"/>
    </w:rPr>
  </w:style>
  <w:style w:type="paragraph" w:styleId="Naslov">
    <w:name w:val="Title"/>
    <w:basedOn w:val="Normal"/>
    <w:next w:val="Normal"/>
    <w:link w:val="NaslovChar"/>
    <w:uiPriority w:val="10"/>
    <w:qFormat/>
    <w:rsid w:val="004455B8"/>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4455B8"/>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4455B8"/>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4455B8"/>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9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3382</Words>
  <Characters>19283</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2018-09-07T08:07:00Z</dcterms:created>
  <dcterms:modified xsi:type="dcterms:W3CDTF">2018-09-07T08:07:00Z</dcterms:modified>
</cp:coreProperties>
</file>