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F" w:rsidRPr="00825CBF" w:rsidRDefault="00825CBF" w:rsidP="00825CBF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825CBF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825CBF" w:rsidRPr="00825CBF" w:rsidRDefault="00825CBF" w:rsidP="00825CBF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825CBF">
        <w:rPr>
          <w:rFonts w:asciiTheme="majorHAnsi" w:hAnsiTheme="majorHAnsi" w:cstheme="majorBidi"/>
          <w:color w:val="17365D" w:themeColor="text2" w:themeShade="BF"/>
          <w:lang w:eastAsia="sr-Latn-RS"/>
        </w:rPr>
        <w:t>O GRANIČNOJ VREDNOSTI UKUPNOG NIVOA KONCENTRACIJE OLOVA, KADMIJUMA, ŽIVE I ŠESTOVALENTNOG HROMA U AMBALAŽI ILI NJENIM KOMPONENTAMA, IZUZECIMA OD PRIMENE I ROKU ZA PRIMENU GRANIČNE VREDNOSTI</w:t>
      </w:r>
    </w:p>
    <w:p w:rsidR="00825CBF" w:rsidRDefault="00825CBF" w:rsidP="00825CBF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825CBF">
        <w:rPr>
          <w:rFonts w:asciiTheme="majorHAnsi" w:hAnsiTheme="majorHAnsi" w:cstheme="majorBidi"/>
          <w:color w:val="4F81BD" w:themeColor="accent1"/>
          <w:lang w:eastAsia="sr-Latn-RS"/>
        </w:rPr>
        <w:t>("Sl. glasnik RS", br. 70/2</w:t>
      </w:r>
      <w:bookmarkStart w:id="1" w:name="_GoBack"/>
      <w:bookmarkEnd w:id="1"/>
      <w:r w:rsidRPr="00825CBF">
        <w:rPr>
          <w:rFonts w:asciiTheme="majorHAnsi" w:hAnsiTheme="majorHAnsi" w:cstheme="majorBidi"/>
          <w:color w:val="4F81BD" w:themeColor="accent1"/>
          <w:lang w:eastAsia="sr-Latn-RS"/>
        </w:rPr>
        <w:t>009)</w:t>
      </w:r>
    </w:p>
    <w:p w:rsidR="00825CBF" w:rsidRPr="00825CBF" w:rsidRDefault="00825CBF" w:rsidP="00825CBF">
      <w:pPr>
        <w:rPr>
          <w:lang w:val="sr-Latn-RS" w:eastAsia="sr-Latn-RS"/>
        </w:rPr>
      </w:pPr>
    </w:p>
    <w:p w:rsidR="00730265" w:rsidRPr="00825CBF" w:rsidRDefault="00730265" w:rsidP="00825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25CB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Ovim pravilnikom propisuje se granična vrednost ukupnog nivoa koncentracije olova, kadmijuma, žive i šestovalentnog hroma u ambalaži ili njenim komponentama, izuzeci od primene i rok za primenu granične vrednosti.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Pod namernim korišćenjem olova, kadmijuma, žive i šestovalentnog hroma (u daljem tekstu: kontrolisani metali) smatra se svaka njihova upotreba u proizvodnji u cilju obezbeđivanja zahtevanih karakteristika, izgleda ili kvaliteta ambalaže, izuzev korišćenja recikliranih materijala koji sadrže kontrolisane metale za proizvodnju ambalažnog materijala (npr. kao sirovine).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Ukupni nivo kontrolisanih metala u materijalu ambalaže ili njenih komponenti ne sme da prelazi 100 ppm po masi, tj. 100 miligrama po jednom kilogramu mase materijala ambalaže ili njenih komponenti, osim za ambalažu u celini napravljenu od olovnog kristalnog stakla.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Izuzetno od odredbe člana 3. ovog pravilnika granična vrednost kontrolisanih metala ne primenjuje se na staklenu ambalažu, plastične kutije i palete koji potiču od recikliranog materijala.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5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Granična vrednost iz člana 3. ovog pravilnika ne primenjuje se na staklenu ambalažu ako: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1) ne postoji namera za korišćenjem kontrolisanih metala tokom procesa proizvodnje ambalaže ili njenih komponenti;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2) sadržaj kontrolisanih metala ne prelazi dozvoljenu količinu u slučaju upotrebe recikliranih materijala koji već sadrže te metale;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3) proizvođač ambalažnog stakla vrši redovnu mesečnu kontrolu koncentracije kontrolisanih metala na svakoj peći za proizvodnju stakla.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Ukoliko prosečna koncentracija kontrolisanih metala prelazi 200 ppm, proizvođač dostavlja ministarstvu nadležnom za poslove zaštite životne sredine podatke koji se odnose na: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1) izmerenu vrednost koncentracije kontrolisanih metala;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2) opis primenjene metode za merenje;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3) moguće izvore prisustva kontrolisanih metala;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4) detaljan opis mera preduzetih u cilju smanjena koncentracije kontrolisanih metala.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Granična vrednost iz člana 3. ovog pravilnika ne primenjuje se na plastične kutije i palete ako: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1) su napravljene u kontrolisanom procesu reciklaže u kojem reciklabilni materijal potiče samo od plastičnih kutija ili paleta i u kojem je upotreba drugih materijala tehnički manje izvodljiva i ne čini više od 20% ukupne težine;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2) sadržaj kontrolisanih metala prelazi dozvoljenu količinu usled dodavanja reciklabilnih materijala koji sadrže kontrolisane metale.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Plastične kutije i palete koje sadrže kontrolisane metale i na koje se odnosi stav 1. ovog člana, a koje se mogu ponovo upotrebiti, mogu se reciklirati u procesu reciklaže u kojem će se koristiti materijal koji potiče od plastičnih kutija ili paleta u prometu i gde je upotreba drugih materijala tehnički manje izvodljiva, i ne prelazi 20% ukupne težine.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t xml:space="preserve">Granična vrednost kontrolisanih metala ne primenjuje se na staklenu ambalažu, plastične kutije i palete koji potiču od recikliranog materijala do 1. januara 2015. godine. </w:t>
      </w:r>
    </w:p>
    <w:p w:rsidR="00730265" w:rsidRPr="00730265" w:rsidRDefault="00730265" w:rsidP="0073026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73026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730265" w:rsidRPr="00730265" w:rsidRDefault="00730265" w:rsidP="007302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730265">
        <w:rPr>
          <w:rFonts w:ascii="Arial" w:eastAsia="Times New Roman" w:hAnsi="Arial" w:cs="Arial"/>
          <w:lang w:val="sr-Latn-RS"/>
        </w:rPr>
        <w:lastRenderedPageBreak/>
        <w:t xml:space="preserve">Ovaj pravilnik stupa na snagu osmog dana od dana objavljivanja u "Službenom glasniku Republike Srbije".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5"/>
    <w:rsid w:val="00726675"/>
    <w:rsid w:val="00730265"/>
    <w:rsid w:val="008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73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302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3026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302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3026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25C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25CBF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25C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25CBF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73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302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3026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302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3026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25C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25CBF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25C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25CBF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2018-09-06T11:56:00Z</dcterms:created>
  <dcterms:modified xsi:type="dcterms:W3CDTF">2018-09-06T11:56:00Z</dcterms:modified>
</cp:coreProperties>
</file>